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Affectiv Billing Finance Tool</w:t>
      </w:r>
    </w:p>
    <w:p>
      <w:pPr>
        <w:spacing w:after="40"/>
      </w:pPr>
      <w:r>
        <w:rPr>
          <w:color w:val="475569"/>
          <w:sz w:val="26"/>
          <w:szCs w:val="26"/>
        </w:rPr>
        <w:t xml:space="preserve">Testing Bucket — Engineering Status Review</w:t>
      </w:r>
    </w:p>
    <w:p>
      <w:pPr>
        <w:spacing w:after="60"/>
      </w:pPr>
      <w:r>
        <w:rPr>
          <w:i/>
          <w:iCs/>
          <w:color w:val="475569"/>
          <w:sz w:val="20"/>
          <w:szCs w:val="20"/>
        </w:rPr>
        <w:t xml:space="preserve">Prepared for Stockholder Showcase  ·  June 8, 2026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spacing w:after="160" w:before="0"/>
      </w:pPr>
      <w:r>
        <w:rPr>
          <w:b/>
          <w:bCs/>
        </w:rPr>
        <w:t xml:space="preserve">Method:  </w:t>
      </w:r>
      <w:r>
        <w:t xml:space="preserve">Each Planner task was assessed against the actual source tree, git branch and merge state, and an esbuild parse check — not a copy of the Planner status, but a code-grounded verification.</w:t>
      </w:r>
    </w:p>
    <w:p>
      <w:pPr>
        <w:pStyle w:val="Heading1"/>
      </w:pPr>
      <w:r>
        <w:t xml:space="preserve">Headline Finding</w:t>
      </w:r>
    </w:p>
    <w:p>
      <w:pPr>
        <w:spacing w:after="120" w:before="0"/>
      </w:pPr>
      <w:r>
        <w:rPr>
          <w:b/>
          <w:bCs/>
        </w:rPr>
        <w:t xml:space="preserve">The local working copy was 6 commits behind </w:t>
      </w:r>
      <w:r>
        <w:rPr>
          <w:b/>
          <w:bCs/>
          <w:i/>
          <w:iCs/>
        </w:rPr>
        <w:t xml:space="preserve">origin/main</w:t>
      </w:r>
      <w:r>
        <w:rPr>
          <w:b/>
          <w:bCs/>
        </w:rPr>
        <w:t xml:space="preserve">. Every item the Testing bucket describes was built and merged on the remote main; the local checkout predated the last three merges (PRs #23, #24, #25).</w:t>
      </w:r>
    </w:p>
    <w:p>
      <w:pPr>
        <w:spacing w:after="120" w:before="0"/>
      </w:pPr>
      <w:r>
        <w:t xml:space="preserve">The key consequence: the TSC → Scenario tab crashed in the stale local copy — </w:t>
      </w:r>
      <w:r>
        <w:rPr>
          <w:i/>
          <w:iCs/>
        </w:rPr>
        <w:t xml:space="preserve">TSCScenarioTab</w:t>
      </w:r>
      <w:r>
        <w:t xml:space="preserve"> referenced ~12 undeclared variables (base, scenario, delta, bev, rates, G9007_CAP, …), throwing a ReferenceError on render. This was caught by the Phase 4 test work and fixed in </w:t>
      </w:r>
      <w:r>
        <w:rPr>
          <w:b/>
          <w:bCs/>
        </w:rPr>
        <w:t xml:space="preserve">PR #25 (fix/tsc-scenario-tab-crash)</w:t>
      </w:r>
      <w:r>
        <w:t xml:space="preserve">, already merged to origin/main.</w:t>
      </w:r>
    </w:p>
    <w:p>
      <w:pPr>
        <w:spacing w:after="140" w:before="0"/>
      </w:pPr>
      <w:r>
        <w:rPr>
          <w:b/>
          <w:bCs/>
          <w:color w:val="1B7A4B"/>
        </w:rPr>
        <w:t xml:space="preserve">Resolved during this review:  </w:t>
      </w:r>
      <w:r>
        <w:t xml:space="preserve">the local checkout was fast-forwarded to origin/main (now 0 ahead / 0 behind). The Scenario tab renders, the fix is present, and esbuild passes. Note esbuild passes even on the broken file because this is a </w:t>
      </w:r>
      <w:r>
        <w:rPr>
          <w:i/>
          <w:iCs/>
        </w:rPr>
        <w:t xml:space="preserve">runtime</w:t>
      </w:r>
      <w:r>
        <w:t xml:space="preserve"> error — exactly the failure class the project’s verification standard warns esbuild cannot catch.</w:t>
      </w:r>
    </w:p>
    <w:p>
      <w:pPr>
        <w:spacing w:after="100" w:before="0"/>
      </w:pPr>
      <w:r>
        <w:rPr>
          <w:b/>
          <w:bCs/>
        </w:rPr>
        <w:t xml:space="preserve">All eight feature / test branches backing this bucket are merged into origin/main: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Backs task(s)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origin/main</w:t>
            </w:r>
          </w:p>
        </w:tc>
      </w:tr>
      <w:t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feature/concerning-rating-category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1, 5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Merged ✓</w:t>
            </w:r>
          </w:p>
        </w:tc>
      </w:tr>
      <w:t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feat/access-levels-service-lines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2, 3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Merged ✓</w:t>
            </w:r>
          </w:p>
        </w:tc>
      </w:tr>
      <w:t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feat/tsc-reimbursement-panel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Merged ✓</w:t>
            </w:r>
          </w:p>
        </w:tc>
      </w:tr>
      <w:t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feat/ui-improvements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6, 7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Merged ✓</w:t>
            </w:r>
          </w:p>
        </w:tc>
      </w:tr>
      <w:t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docs/track-b-rls-fix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docs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Merged ✓</w:t>
            </w:r>
          </w:p>
        </w:tc>
      </w:tr>
      <w:tr>
        <w:tc>
          <w:tcPr>
            <w:tcW w:type="dxa" w:w="43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feat/test-phase-2 / 3 / 4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Merged ✓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 xml:space="preserve">Per-Task Assessment (against origin/main)</w:t>
      </w:r>
    </w:p>
    <w:p>
      <w:pPr>
        <w:pStyle w:val="Heading2"/>
        <w:spacing w:after="80" w:before="220"/>
      </w:pPr>
      <w:r>
        <w:t xml:space="preserve">Tasks 1 &amp; 5 — “Concerning” labor-efficiency tier  </w:t>
      </w:r>
      <w:r>
        <w:rPr>
          <w:b/>
          <w:bCs/>
          <w:color w:val="1B7A4B"/>
          <w:sz w:val="20"/>
          <w:szCs w:val="20"/>
        </w:rPr>
        <w:t xml:space="preserve">Implemented</w:t>
      </w:r>
    </w:p>
    <w:p>
      <w:pPr>
        <w:spacing w:after="120" w:before="0"/>
      </w:pPr>
      <w:r>
        <w:t xml:space="preserve">The four-tier hierarchy is live in FinancialTool.jsx (LABOR_APPROVAL_THRESHOLDS, getLaborApprovalStatus). “Concerning” exists with distinct orange styling (#fb923c), its own icon, and contextual guidance messages.</w:t>
      </w:r>
    </w:p>
    <w:p>
      <w:pPr>
        <w:spacing w:after="120" w:before="0"/>
      </w:pPr>
      <w:r>
        <w:rPr>
          <w:b/>
          <w:bCs/>
          <w:color w:val="B5790A"/>
        </w:rPr>
        <w:t xml:space="preserve">Threshold discrepancy — needs a business decision. </w:t>
      </w:r>
      <w:r>
        <w:t xml:space="preserve">The code and the two Planner notes state three different “Approved” ceilings. The tier works; the numbers should be reconciled before the showcase: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Planner Task 1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Planner Task 8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(actual)</w:t>
            </w:r>
          </w:p>
        </w:tc>
      </w:tr>
      <w:tr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43%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30%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 47%</w:t>
            </w:r>
          </w:p>
        </w:tc>
      </w:tr>
      <w:tr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Review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44–57%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44–57%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47–58%</w:t>
            </w:r>
          </w:p>
        </w:tc>
      </w:tr>
      <w:tr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Concerning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58–67%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58–67%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58–68%</w:t>
            </w:r>
          </w:p>
        </w:tc>
      </w:tr>
      <w:tr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Viable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68%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68%</w:t>
            </w:r>
          </w:p>
        </w:tc>
        <w:tc>
          <w:tcPr>
            <w:tcW w:type="dxa" w:w="234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68%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t xml:space="preserve">Task 2 — Align TSC / Children’s DDA / Vocational Services access controls  </w:t>
      </w:r>
      <w:r>
        <w:rPr>
          <w:b/>
          <w:bCs/>
          <w:color w:val="1B7A4B"/>
          <w:sz w:val="20"/>
          <w:szCs w:val="20"/>
        </w:rPr>
        <w:t xml:space="preserve">Implemented (client-side)</w:t>
      </w:r>
    </w:p>
    <w:p>
      <w:pPr>
        <w:spacing w:after="120" w:before="0"/>
      </w:pPr>
      <w:r>
        <w:t xml:space="preserve">A complete client-side RBAC layer exists in src/lib/access.js (8 role tiers, 9 rules, fully unit-tested). Edit controls in tsc.jsx, childrens_dda.jsx, and cse.jsx are all gated through canEditServiceLines(userRole) — consistent across the three modules, which is what the task asks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“Home projector” is not a separate permission concept </w:t>
      </w:r>
      <w:r>
        <w:t xml:space="preserve">— it is the in-app label for the client-facing Labor Efficiency view. The alignment was correctly done against the shared access.js rule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Server-side enforcement is not live. </w:t>
      </w:r>
      <w:r>
        <w:t xml:space="preserve">Supabase RLS policies exist but have a known over-restriction bug (an assigned editor cannot SELECT/UPDATE their own company). This is Track B work, not started. Today’s access control is UI-layer only.</w:t>
      </w:r>
    </w:p>
    <w:p>
      <w:pPr>
        <w:pStyle w:val="Heading2"/>
        <w:spacing w:after="80" w:before="220"/>
      </w:pPr>
      <w:r>
        <w:t xml:space="preserve">Task 3 — Limit Scenario tab to top-tier roles  </w:t>
      </w:r>
      <w:r>
        <w:rPr>
          <w:b/>
          <w:bCs/>
          <w:color w:val="1B7A4B"/>
          <w:sz w:val="20"/>
          <w:szCs w:val="20"/>
        </w:rPr>
        <w:t xml:space="preserve">Implemented exactly as specified</w:t>
      </w:r>
    </w:p>
    <w:p>
      <w:pPr>
        <w:spacing w:after="120" w:before="0"/>
      </w:pPr>
      <w:r>
        <w:t xml:space="preserve">The Scenario tab (tsc_scenario) is in SENIOR_GATED_TABS and gated by canEditServiceLines (tiers 1–4 = Owner, CEO, Finance, Regional Director) at three points: the tab-list filter, the initial-tab selection, and the render guard. This matches the task’s role list precisely. Note this is client-side gating — “prevent direct URL access” ultimately depends on the unfinished server-side RLS.</w:t>
      </w:r>
    </w:p>
    <w:p>
      <w:pPr>
        <w:pStyle w:val="Heading2"/>
        <w:spacing w:after="80" w:before="220"/>
      </w:pPr>
      <w:r>
        <w:t xml:space="preserve">Task 4 — TSC Reimbursement Rate side panel  </w:t>
      </w:r>
      <w:r>
        <w:rPr>
          <w:b/>
          <w:bCs/>
          <w:color w:val="1B7A4B"/>
          <w:sz w:val="20"/>
          <w:szCs w:val="20"/>
        </w:rPr>
        <w:t xml:space="preserve">Implemented (was the crash source)</w:t>
      </w:r>
    </w:p>
    <w:p>
      <w:pPr>
        <w:spacing w:after="120" w:before="0"/>
      </w:pPr>
      <w:r>
        <w:t xml:space="preserve">On origin/main the panel is functional: G9002 (Service Coordination + Parapro) and G9007 (Plan Development) rate fields with −2 / −4 / −6% quick buttons and reset, a 15-minute unit basis, and a G9007 48-units/year cap with a progress bar and near-cap warnings.</w:t>
      </w:r>
    </w:p>
    <w:p>
      <w:pPr>
        <w:spacing w:after="120" w:before="0"/>
      </w:pPr>
      <w:r>
        <w:rPr>
          <w:b/>
          <w:bCs/>
          <w:color w:val="B5790A"/>
        </w:rPr>
        <w:t xml:space="preserve">One spec mismatch: </w:t>
      </w:r>
      <w:r>
        <w:t xml:space="preserve">the checklist asks for “18 units/month for service coordination,” but the code displays G9002 as “no monthly cap.” Confirm which is correct — the panel currently shows no 18/month cap.</w:t>
      </w:r>
    </w:p>
    <w:p>
      <w:pPr>
        <w:pStyle w:val="Heading2"/>
        <w:spacing w:after="80" w:before="220"/>
      </w:pPr>
      <w:r>
        <w:t xml:space="preserve">Task 6 — Scenario slider ranges  </w:t>
      </w:r>
      <w:r>
        <w:rPr>
          <w:b/>
          <w:bCs/>
          <w:color w:val="B5790A"/>
          <w:sz w:val="20"/>
          <w:szCs w:val="20"/>
        </w:rPr>
        <w:t xml:space="preserve">Done, with residual polish bugs</w:t>
      </w:r>
    </w:p>
    <w:p>
      <w:pPr>
        <w:spacing w:after="120" w:before="0"/>
      </w:pPr>
      <w:r>
        <w:t xml:space="preserve">The slider range inputs are correct per spec: productivity −100% to +100%, and caseload converted from a percentage to a participant count (1–60). However the paired number box beside every slider is still hardcoded min={-50} max={50} with a hardcoded “%” label — so the caseload box reads “%” and clamps at 50, and the productivity box can’t accept values past ±50. The Reset handler also still writes the old caseloadAdjPct field instead of caseloadCount. None of these crash; they are cosmetic / edge-case. Demo via the sliders, not the number boxes.</w:t>
      </w:r>
    </w:p>
    <w:p>
      <w:pPr>
        <w:pStyle w:val="Heading2"/>
        <w:spacing w:after="80" w:before="220"/>
      </w:pPr>
      <w:r>
        <w:t xml:space="preserve">Task 7 — Staffing section contrast &amp; readability  </w:t>
      </w:r>
      <w:r>
        <w:rPr>
          <w:b/>
          <w:bCs/>
          <w:color w:val="1B7A4B"/>
          <w:sz w:val="20"/>
          <w:szCs w:val="20"/>
        </w:rPr>
        <w:t xml:space="preserve">Implemented</w:t>
      </w:r>
    </w:p>
    <w:p>
      <w:pPr>
        <w:spacing w:after="120" w:before="0"/>
      </w:pPr>
      <w:r>
        <w:t xml:space="preserve">feat/ui-improvements merged, including several targeted commits (readable text color in the TSC productivity table, the Annual Labor cell, and the Note callout). The staffing / productivity styling uses defined palette tokens. This is a judgment-call category — a quick visual pass during demo prep is worthwhile, but the work shipped.</w:t>
      </w:r>
    </w:p>
    <w:p>
      <w:pPr>
        <w:pStyle w:val="Heading2"/>
        <w:spacing w:after="80" w:before="220"/>
      </w:pPr>
      <w:r>
        <w:t xml:space="preserve">Task 8 — Comprehensive ratio documentation  </w:t>
      </w:r>
      <w:r>
        <w:rPr>
          <w:b/>
          <w:bCs/>
          <w:color w:val="B5790A"/>
          <w:sz w:val="20"/>
          <w:szCs w:val="20"/>
        </w:rPr>
        <w:t xml:space="preserve">Partial</w:t>
      </w:r>
    </w:p>
    <w:p>
      <w:pPr>
        <w:spacing w:after="120" w:before="0"/>
      </w:pPr>
      <w:r>
        <w:t xml:space="preserve">A spec exists (spec.md) documenting thresholds, color functions, and acceptance criteria. However it carries the same threshold inconsistency flagged in Task 1, and there is no single consolidated, “formatted-for-AI-agent-consumption” ratio reference as the checklist envisions. This is the least-complete item.</w:t>
      </w:r>
    </w:p>
    <w:p>
      <w:pPr>
        <w:spacing w:after="0"/>
      </w:pPr>
      <w:r>
        <w:br w:type="page"/>
      </w:r>
    </w:p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2200"/>
        <w:gridCol w:w="3000"/>
      </w:tblGrid>
      <w:tr>
        <w:trPr>
          <w:tblHeader/>
        </w:trP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Watch-out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“Concerning” rating tier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Threshold values disagree across sources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Align module access controls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Client-side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RLS unfinished (Track B)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Scenario tab → top-tier only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URL-direct guard needs RLS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TSC reimbursement panel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G9002 “no cap” vs spec’s 18/mo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“Concerning” label in gray zone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threshold question as #1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Scenario slider ranges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790A"/>
                <w:sz w:val="18"/>
                <w:szCs w:val="18"/>
              </w:rPr>
              <w:t xml:space="preserve">Done, minor bugs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Number-box clamp/label + Reset field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Staffing contrast/readability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7A4B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Subjective — eyeball before demo</w:t>
            </w:r>
          </w:p>
        </w:tc>
      </w:tr>
      <w:tr>
        <w:tc>
          <w:tcPr>
            <w:tcW w:type="dxa" w:w="56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Ratio documentation</w:t>
            </w:r>
          </w:p>
        </w:tc>
        <w:tc>
          <w:tcPr>
            <w:tcW w:type="dxa" w:w="22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790A"/>
                <w:sz w:val="18"/>
                <w:szCs w:val="18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Threshold inconsistency; no AI-ready doc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</w:pPr>
      <w:r>
        <w:t xml:space="preserve">Bottom line for the showcase</w:t>
      </w:r>
    </w:p>
    <w:p>
      <w:pPr>
        <w:spacing w:after="120" w:before="0"/>
      </w:pPr>
      <w:r>
        <w:t xml:space="preserve">The bucket is substantially delivered on origin/main — six of eight tasks fully done, two partial. The single demo-blocking risk was mechanical (a stale local checkout that crashed on the Scenario tab) and has been resolved by pulling to origin/main. The two judgment items before showtime are: (a) settling the canonical labor-ratio thresholds, and (b) the G9002 cap wording.</w:t>
      </w:r>
    </w:p>
    <w:p>
      <w:pPr>
        <w:pBdr>
          <w:bottom w:val="single" w:color="2E75B6" w:sz="8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rPr>
          <w:i/>
          <w:iCs/>
          <w:color w:val="475569"/>
          <w:sz w:val="16"/>
          <w:szCs w:val="16"/>
        </w:rPr>
        <w:t xml:space="preserve">Generated from a code-grounded review of the Intrinsic repository · June 8, 2026.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Confidential — Stockholder Showcase  · 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4E4" w:sz="4" w:space="2"/>
      </w:pBdr>
      <w:tabs>
        <w:tab w:val="right" w:pos="9360"/>
      </w:tabs>
    </w:pPr>
    <w:r>
      <w:rPr>
        <w:color w:val="475569"/>
        <w:sz w:val="16"/>
        <w:szCs w:val="16"/>
      </w:rPr>
      <w:t xml:space="preserve">Affectiv Billing Finance Tool</w:t>
    </w:r>
    <w:r>
      <w:rPr>
        <w:color w:val="475569"/>
        <w:sz w:val="16"/>
        <w:szCs w:val="16"/>
      </w:rPr>
      <w:t xml:space="preserve">	Engineering Status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A44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Affectiv Billing Finance Tool — Testing Bucket Review</dc:title>
  <dc:creator>Intrinsic Engineering</dc:creator>
  <cp:lastModifiedBy>Un-named</cp:lastModifiedBy>
  <cp:revision>1</cp:revision>
  <dcterms:created xsi:type="dcterms:W3CDTF">2026-06-08T17:51:02.244Z</dcterms:created>
  <dcterms:modified xsi:type="dcterms:W3CDTF">2026-06-08T17:51:02.244Z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