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7"/>
        <w:gridCol w:w="3002"/>
        <w:gridCol w:w="2363"/>
        <w:gridCol w:w="2297"/>
      </w:tblGrid>
      <w:tr>
        <w:trPr>
          <w:tblHeader w:val="true"/>
        </w:trPr>
        <w:tc>
          <w:tcPr>
            <w:tcW w:w="16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2"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2. 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3. 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 w:name="docs-internal-guid-e4ac7d8a-7fff-fbf7-4d"/>
            <w:bookmarkEnd w:id="1"/>
            <w:r>
              <w:rPr>
                <w:rFonts w:ascii="Arial;sans-serif" w:hAnsi="Arial;sans-serif"/>
                <w:b/>
                <w:i w:val="false"/>
                <w:caps w:val="false"/>
                <w:smallCaps w:val="false"/>
                <w:strike w:val="false"/>
                <w:dstrike w:val="false"/>
                <w:color w:val="000000"/>
                <w:sz w:val="22"/>
                <w:u w:val="none"/>
                <w:effect w:val="none"/>
                <w:shd w:fill="auto" w:val="clear"/>
              </w:rPr>
              <w:t>1. Page Position &amp; Layout Topology:</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Pr>
                <w:rFonts w:ascii="Arial;sans-serif" w:hAnsi="Arial;sans-serif"/>
                <w:b/>
                <w:i w:val="false"/>
                <w:caps w:val="false"/>
                <w:smallCaps w:val="false"/>
                <w:strike w:val="false"/>
                <w:dstrike w:val="false"/>
                <w:color w:val="000000"/>
                <w:sz w:val="22"/>
                <w:u w:val="none"/>
                <w:effect w:val="none"/>
                <w:shd w:fill="auto" w:val="clear"/>
              </w:rPr>
              <w:t>where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and how the text is geometrically placed on the page.</w:t>
            </w:r>
          </w:p>
          <w:p>
            <w:pPr>
              <w:pStyle w:val="BodyText"/>
              <w:bidi w:val="0"/>
              <w:spacing w:lineRule="auto" w:line="331" w:before="0" w:after="80"/>
              <w:ind w:hanging="0" w:left="0" w:right="0"/>
              <w:rPr>
                <w:b w:val="false"/>
              </w:rPr>
            </w:pPr>
            <w:r>
              <w:rPr>
                <w:rFonts w:ascii="Arial;sans-serif" w:hAnsi="Arial;sans-serif"/>
                <w:b/>
                <w:i w:val="false"/>
                <w:caps w:val="false"/>
                <w:smallCaps w:val="false"/>
                <w:strike w:val="false"/>
                <w:dstrike w:val="false"/>
                <w:color w:val="000000"/>
                <w:sz w:val="22"/>
                <w:u w:val="none"/>
                <w:effect w:val="none"/>
                <w:shd w:fill="auto" w:val="clear"/>
              </w:rPr>
              <w:t>2. Font Variations &amp; Scales:</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books use different font sizes and weights for chapter headings, body text, and tiny sub/superscripts in formulas. The OCR model must accurately read the characters regardless of these scaling and styling differences.</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3. Proximity and Lack of Whitespace: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scientific meaning of a formula (like $H_2SO_4$) is invariant to whether it is padded with whitespace or bound tightly to a Bangla suffix (like "$H_2SO_4$-</w:t>
            </w:r>
            <w:r>
              <w:rPr>
                <w:rFonts w:cs="Arial;sans-serif"/>
                <w:bCs w:val="false"/>
                <w:iCs w:val="false"/>
                <w:caps w:val="false"/>
                <w:smallCaps w:val="false"/>
                <w:strike w:val="false"/>
                <w:dstrike w:val="false"/>
                <w:color w:val="000000"/>
                <w:szCs w:val="22"/>
                <w:u w:val="none"/>
                <w:effect w:val="none"/>
                <w:shd w:fill="auto" w:val="clear"/>
              </w:rPr>
              <w:t>এর</w:t>
            </w:r>
            <w:r>
              <w:rPr>
                <w:rFonts w:ascii="Arial;sans-serif" w:hAnsi="Arial;sans-serif"/>
                <w:b w:val="false"/>
                <w:i w:val="false"/>
                <w:caps w:val="false"/>
                <w:smallCaps w:val="false"/>
                <w:strike w:val="false"/>
                <w:dstrike w:val="false"/>
                <w:color w:val="000000"/>
                <w:sz w:val="22"/>
                <w:u w:val="none"/>
                <w:effect w:val="none"/>
                <w:shd w:fill="auto" w:val="clear"/>
              </w:rPr>
              <w:t>"). The sequence models must be robust to these missing token boundaries and not misinterpret the fused string.</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7"/>
        <w:gridCol w:w="2903"/>
        <w:gridCol w:w="3199"/>
        <w:gridCol w:w="1560"/>
      </w:tblGrid>
      <w:tr>
        <w:trPr>
          <w:tblHeader w:val="true"/>
        </w:trPr>
        <w:tc>
          <w:tcPr>
            <w:tcW w:w="16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3"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2" w:name="docs-internal-guid-52421522-7fff-2a18-12"/>
            <w:bookmarkEnd w:id="2"/>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Heuristic (uniform-block segmentation):</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treats the entire page as a single text block. On Physics p. 61, this collapsed the six-column experiment table header into one scrambled string `(cm) (cm) h/L (s) (m/s)` with the table body reduced to bare row numbers — complete failure on structured content.</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Object detection model (YOLO11 fine-tuned on DocLayNet):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draws semantic bounding boxes around distinct page regions — Text, Table, Figure, Title, Formula — before any OCR is run.</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3" w:name="docs-internal-guid-2180b03c-7fff-3b66-df"/>
            <w:bookmarkEnd w:id="3"/>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YOLO11 nano fine-tuned on DocLayNet (`Armaggheddon/yolo11-document-layout`)</w:t>
            </w:r>
          </w:p>
          <w:p>
            <w:pPr>
              <w:pStyle w:val="BodyText"/>
              <w:bidi w:val="0"/>
              <w:spacing w:lineRule="auto" w:line="331" w:before="0" w:after="80"/>
              <w:ind w:hanging="0" w:left="0" w:right="0"/>
              <w:rPr>
                <w:rFonts w:ascii="Arial;sans-serif" w:hAnsi="Arial;sans-serif"/>
                <w:b/>
                <w:i w:val="false"/>
                <w:caps w:val="false"/>
                <w:smallCaps w:val="false"/>
                <w:strike w:val="false"/>
                <w:dstrike w:val="false"/>
                <w:color w:val="000000"/>
                <w:sz w:val="22"/>
                <w:u w:val="none"/>
                <w:effect w:val="none"/>
                <w:shd w:fill="auto" w:val="clear"/>
              </w:rPr>
            </w:pPr>
            <w:r>
              <w:rPr/>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rPr>
                <w:b w:val="false"/>
              </w:rPr>
            </w:pPr>
            <w:r>
              <w:rPr>
                <w:rFonts w:ascii="Arial;sans-serif" w:hAnsi="Arial;sans-serif"/>
                <w:b w:val="false"/>
                <w:i w:val="false"/>
                <w:caps w:val="false"/>
                <w:smallCaps w:val="false"/>
                <w:strike w:val="false"/>
                <w:dstrike w:val="false"/>
                <w:color w:val="000000"/>
                <w:sz w:val="22"/>
                <w:u w:val="none"/>
                <w:effect w:val="none"/>
                <w:shd w:fill="auto" w:val="clear"/>
              </w:rPr>
              <w:t>We tested both options on several pages spanning all three books, covering a deliberate mix of plain prose, multi-column tables, figures with embedded labels, and heading-dense pages. Some example page numbers : Biology p.20, p.80, p.150,</w:t>
              <w:br/>
              <w:t>Chemistry p.15, p.100, p.262,</w:t>
              <w:br/>
              <w:t>Physics p.10, p.61, p.192.</w:t>
            </w:r>
          </w:p>
          <w:p>
            <w:pPr>
              <w:pStyle w:val="BodyText"/>
              <w:rPr/>
            </w:pPr>
            <w:r>
              <w:rPr/>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pPr>
              <w:pStyle w:val="BodyText"/>
              <w:rPr/>
            </w:pPr>
            <w:r>
              <w:rPr/>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pPr>
              <w:pStyle w:val="BodyText"/>
              <w:rPr/>
            </w:pPr>
            <w:r>
              <w:rPr/>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000000"/>
                <w:sz w:val="22"/>
                <w:u w:val="none"/>
                <w:effect w:val="none"/>
                <w:shd w:fill="auto" w:val="clear"/>
              </w:rPr>
              <w:t>The heuristic produces structurally corrupt OCR input; YOLO11-DocLayNet produces clean, semantically meaningful region crops. Given this evidence, we chose YOLO11-DocLayNet as our layout stage.</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caps w:val="false"/>
                <w:smallCaps w:val="false"/>
                <w:strike w:val="false"/>
                <w:dstrike w:val="false"/>
                <w:color w:val="000000"/>
                <w:sz w:val="22"/>
                <w:u w:val="none"/>
                <w:effect w:val="none"/>
                <w:shd w:fill="auto" w:val="clear"/>
              </w:rPr>
            </w:pPr>
            <w:bookmarkStart w:id="4" w:name="docs-internal-guid-8ceffbe4-7fff-eb6e-56"/>
            <w:bookmarkEnd w:id="4"/>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DocLayNet checkpoint.</w:t>
            </w:r>
          </w:p>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3"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iCs w:val="false"/>
                <w:caps w:val="false"/>
                <w:smallCaps w:val="false"/>
                <w:strike w:val="false"/>
                <w:dstrike w:val="false"/>
                <w:color w:val="595959"/>
                <w:sz w:val="18"/>
                <w:u w:val="none"/>
                <w:effect w:val="none"/>
                <w:shd w:fill="auto" w:val="clear"/>
              </w:rPr>
            </w:pPr>
            <w:bookmarkStart w:id="5" w:name="docs-internal-guid-e427ee9a-7fff-dd4d-77"/>
            <w:bookmarkEnd w:id="5"/>
            <w:r>
              <w:rPr>
                <w:rFonts w:ascii="Arial;sans-serif" w:hAnsi="Arial;sans-serif"/>
                <w:b w:val="false"/>
                <w:i w:val="false"/>
                <w:iCs w:val="false"/>
                <w:caps w:val="false"/>
                <w:smallCaps w:val="false"/>
                <w:strike w:val="false"/>
                <w:dstrike w:val="false"/>
                <w:color w:val="595959"/>
                <w:sz w:val="18"/>
                <w:u w:val="none"/>
                <w:effect w:val="none"/>
                <w:shd w:fill="auto" w:val="clear"/>
              </w:rPr>
              <w:t>1. Tesseract (ben+eng, OEM 3, PSM 6)</w:t>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2. EasyOCR (bn+en)</w:t>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3. TrOCR (`microsoft/trocr-base-printed`)</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4. Donut (`naver-clova-ix/donut-base`)</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6" w:name="docs-internal-guid-e21d0c96-7fff-5389-f9"/>
            <w:bookmarkEnd w:id="6"/>
            <w:r>
              <w:rPr>
                <w:rFonts w:ascii="Arial;sans-serif" w:hAnsi="Arial;sans-serif"/>
                <w:b/>
                <w:i w:val="false"/>
                <w:caps w:val="false"/>
                <w:smallCaps w:val="false"/>
                <w:strike w:val="false"/>
                <w:dstrike w:val="false"/>
                <w:color w:val="000000"/>
                <w:sz w:val="22"/>
                <w:u w:val="none"/>
                <w:effect w:val="none"/>
                <w:shd w:fill="auto" w:val="clear"/>
              </w:rPr>
              <w:t xml:space="preserve">Choice: </w:t>
            </w:r>
            <w:r>
              <w:rPr>
                <w:rFonts w:ascii="Arial;sans-serif" w:hAnsi="Arial;sans-serif"/>
                <w:b w:val="false"/>
                <w:i w:val="false"/>
                <w:caps w:val="false"/>
                <w:smallCaps w:val="false"/>
                <w:strike w:val="false"/>
                <w:dstrike w:val="false"/>
                <w:color w:val="000000"/>
                <w:sz w:val="22"/>
                <w:u w:val="none"/>
                <w:effect w:val="none"/>
                <w:shd w:fill="auto" w:val="clear"/>
              </w:rPr>
              <w:t>EasyOCR (bn+en)</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jc w:val="left"/>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We tested all four tools on several pages across all three books, covering plain Bangla prose, code-mixed lines (Bangla + English + Latin variables), and chemical reaction notation.</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 xml:space="preserve">Tesseract (ben+eng): </w:t>
            </w:r>
            <w:r>
              <w:rPr>
                <w:rFonts w:ascii="Arial;sans-serif" w:hAnsi="Arial;sans-serif"/>
                <w:b w:val="false"/>
                <w:i w:val="false"/>
                <w:caps w:val="false"/>
                <w:smallCaps w:val="false"/>
                <w:strike w:val="false"/>
                <w:dstrike w:val="false"/>
                <w:color w:val="000000"/>
                <w:sz w:val="22"/>
                <w:u w:val="none"/>
                <w:effect w:val="none"/>
                <w:shd w:fill="auto" w:val="clear"/>
              </w:rPr>
              <w:t>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EasyOCR (bn+en)</w:t>
            </w:r>
            <w:r>
              <w:rPr>
                <w:rFonts w:ascii="Arial;sans-serif" w:hAnsi="Arial;sans-serif"/>
                <w:b w:val="false"/>
                <w:i w:val="false"/>
                <w:caps w:val="false"/>
                <w:smallCaps w:val="false"/>
                <w:strike w:val="false"/>
                <w:dstrike w:val="false"/>
                <w:color w:val="000000"/>
                <w:sz w:val="22"/>
                <w:u w:val="none"/>
                <w:effect w:val="none"/>
                <w:shd w:fill="auto" w:val="clear"/>
              </w:rPr>
              <w:t>: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TrOCR (`microsoft/trocr-base-printed`):</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exclusively on English printed text. Produced single-word English output on every Bangla page tested. No Bangla-capable public checkpoint exists. Rejected.</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Donut (`naver-clova-ix/donut-base`):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EasyOCR was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 is the only tested tool that correctly handles our corpus's defining characteristic — code-mixed Bangla+Latin+English content — with acceptable accuracy across all three books.</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caps w:val="false"/>
                <w:smallCaps w:val="false"/>
                <w:strike w:val="false"/>
                <w:dstrike w:val="false"/>
                <w:color w:val="000000"/>
                <w:sz w:val="22"/>
                <w:u w:val="none"/>
                <w:effect w:val="none"/>
                <w:shd w:fill="auto" w:val="clear"/>
              </w:rPr>
            </w:pPr>
            <w:bookmarkStart w:id="7" w:name="docs-internal-guid-92ffc3bc-7fff-9cc5-b8"/>
            <w:bookmarkEnd w:id="7"/>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CRNN-based recognition method by using the pre-trained `bn+en` EasyOCR model.</w:t>
            </w:r>
          </w:p>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fixed vs semantic; size/overlap</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7"/>
        <w:gridCol w:w="3403"/>
        <w:gridCol w:w="3760"/>
      </w:tblGrid>
      <w:tr>
        <w:trPr/>
        <w:tc>
          <w:tcPr>
            <w:tcW w:w="21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218</TotalTime>
  <Application>LibreOffice/24.2.7.2$Linux_X86_64 LibreOffice_project/420$Build-2</Application>
  <AppVersion>15.0000</AppVersion>
  <Pages>10</Pages>
  <Words>2254</Words>
  <Characters>12571</Characters>
  <CharactersWithSpaces>14682</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2026-08-13T12:41:39Z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