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F3864"/>
          <w:sz w:val="32"/>
          <w:szCs w:val="32"/>
        </w:rPr>
        <w:t>Assignment 2 — Build Your Knowledge Base</w:t>
      </w:r>
    </w:p>
    <w:p>
      <w:pPr>
        <w:pStyle w:val="Normal"/>
        <w:spacing w:before="0" w:after="100"/>
        <w:rPr/>
      </w:pPr>
      <w:r>
        <w:rPr>
          <w:i/>
          <w:iCs/>
          <w:color w:val="595959"/>
          <w:sz w:val="18"/>
          <w:szCs w:val="18"/>
        </w:rPr>
        <w:t>Team of 3 · Milestone 2 of 4 · Type your answers directly in the blank cells — they grow as you type.</w:t>
      </w:r>
    </w:p>
    <w:tbl>
      <w:tblPr>
        <w:tblW w:w="9360" w:type="dxa"/>
        <w:jc w:val="left"/>
        <w:tblInd w:w="0" w:type="dxa"/>
        <w:tblLayout w:type="fixed"/>
        <w:tblCellMar>
          <w:top w:w="0" w:type="dxa"/>
          <w:left w:w="108" w:type="dxa"/>
          <w:bottom w:w="0" w:type="dxa"/>
          <w:right w:w="108"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shd w:fill="D9E1F2" w:val="clear"/>
          </w:tcPr>
          <w:p>
            <w:pPr>
              <w:pStyle w:val="Normal"/>
              <w:spacing w:before="0" w:after="60"/>
              <w:rPr/>
            </w:pPr>
            <w:r>
              <w:rPr>
                <w:b/>
                <w:bCs/>
              </w:rPr>
              <w:t xml:space="preserve">Strict compliance: </w:t>
            </w:r>
            <w:r>
              <w:rPr/>
              <w:t>your submission ZIP must exactly match the folder/file structure on the Submission page. Automated grading rejects anything that doesn't — check before you submit.</w:t>
            </w:r>
          </w:p>
        </w:tc>
      </w:tr>
    </w:tbl>
    <w:p>
      <w:pPr>
        <w:pStyle w:val="Normal"/>
        <w:spacing w:before="0" w:after="60"/>
        <w:rPr/>
      </w:pPr>
      <w:r>
        <w:rPr/>
      </w:r>
    </w:p>
    <w:tbl>
      <w:tblPr>
        <w:tblW w:w="9360" w:type="dxa"/>
        <w:jc w:val="left"/>
        <w:tblInd w:w="0" w:type="dxa"/>
        <w:tblLayout w:type="fixed"/>
        <w:tblCellMar>
          <w:top w:w="0" w:type="dxa"/>
          <w:left w:w="108" w:type="dxa"/>
          <w:bottom w:w="0" w:type="dxa"/>
          <w:right w:w="108" w:type="dxa"/>
        </w:tblCellMar>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Project name</w:t>
            </w:r>
          </w:p>
          <w:p>
            <w:pPr>
              <w:pStyle w:val="Normal"/>
              <w:spacing w:before="0" w:after="80"/>
              <w:rPr/>
            </w:pPr>
            <w:r>
              <w:rPr>
                <w:i/>
                <w:iCs/>
                <w:color w:val="595959"/>
                <w:sz w:val="18"/>
                <w:szCs w:val="18"/>
              </w:rPr>
              <w:t>the same project name you used in Assignment 1</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Normal"/>
        <w:spacing w:before="120" w:after="60"/>
        <w:rPr/>
      </w:pPr>
      <w:r>
        <w:rPr>
          <w:b/>
          <w:bCs/>
          <w:sz w:val="22"/>
          <w:szCs w:val="22"/>
        </w:rPr>
        <w:t>Team members</w:t>
      </w:r>
    </w:p>
    <w:p>
      <w:pPr>
        <w:pStyle w:val="Normal"/>
        <w:spacing w:before="0" w:after="100"/>
        <w:rPr/>
      </w:pPr>
      <w:r>
        <w:rPr>
          <w:i/>
          <w:iCs/>
          <w:color w:val="595959"/>
          <w:sz w:val="18"/>
          <w:szCs w:val="18"/>
        </w:rPr>
        <w:t>In 'Worked sections', list the sections each member led. Every section must be owned by someone; each member submits the AI-chat behind their own sections (Section 8).</w:t>
      </w:r>
    </w:p>
    <w:tbl>
      <w:tblPr>
        <w:tblW w:w="9360" w:type="dxa"/>
        <w:jc w:val="left"/>
        <w:tblInd w:w="0" w:type="dxa"/>
        <w:tblLayout w:type="fixed"/>
        <w:tblCellMar>
          <w:top w:w="0" w:type="dxa"/>
          <w:left w:w="108" w:type="dxa"/>
          <w:bottom w:w="0" w:type="dxa"/>
          <w:right w:w="108" w:type="dxa"/>
        </w:tblCellMar>
      </w:tblPr>
      <w:tblGrid>
        <w:gridCol w:w="1698"/>
        <w:gridCol w:w="3001"/>
        <w:gridCol w:w="2362"/>
        <w:gridCol w:w="2298"/>
      </w:tblGrid>
      <w:tr>
        <w:trPr>
          <w:tblHeader w:val="true"/>
        </w:trPr>
        <w:tc>
          <w:tcPr>
            <w:tcW w:w="1698"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Team member</w:t>
            </w:r>
          </w:p>
        </w:tc>
        <w:tc>
          <w:tcPr>
            <w:tcW w:w="3001"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Full name</w:t>
            </w:r>
          </w:p>
        </w:tc>
        <w:tc>
          <w:tcPr>
            <w:tcW w:w="2362"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Student number</w:t>
            </w:r>
          </w:p>
        </w:tc>
        <w:tc>
          <w:tcPr>
            <w:tcW w:w="2298"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Worked sections</w:t>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Student 1</w:t>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6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2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Student 2</w:t>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6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2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Student 3</w:t>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6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2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Normal"/>
        <w:spacing w:before="0" w:after="60"/>
        <w:rPr/>
      </w:pPr>
      <w:r>
        <w:rPr/>
      </w:r>
    </w:p>
    <w:tbl>
      <w:tblPr>
        <w:tblW w:w="9360" w:type="dxa"/>
        <w:jc w:val="left"/>
        <w:tblInd w:w="0" w:type="dxa"/>
        <w:tblLayout w:type="fixed"/>
        <w:tblCellMar>
          <w:top w:w="0" w:type="dxa"/>
          <w:left w:w="108" w:type="dxa"/>
          <w:bottom w:w="0" w:type="dxa"/>
          <w:right w:w="108"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shd w:fill="D9E1F2" w:val="clear"/>
          </w:tcPr>
          <w:p>
            <w:pPr>
              <w:pStyle w:val="Normal"/>
              <w:spacing w:before="0" w:after="60"/>
              <w:rPr/>
            </w:pPr>
            <w:r>
              <w:rPr>
                <w:b/>
                <w:bCs/>
              </w:rPr>
              <w:t xml:space="preserve">What this assignment is: </w:t>
            </w:r>
            <w:r>
              <w:rPr/>
              <w:t>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pStyle w:val="Normal"/>
              <w:spacing w:before="0" w:after="60"/>
              <w:rPr/>
            </w:pPr>
            <w:r>
              <w:rPr>
                <w:b/>
                <w:bCs/>
              </w:rPr>
              <w:t xml:space="preserve">What to hand in: </w:t>
            </w:r>
            <w:r>
              <w:rPr/>
              <w:t>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before="240" w:after="100"/>
        <w:rPr/>
      </w:pPr>
      <w:r>
        <w:rPr>
          <w:b/>
          <w:bCs/>
          <w:color w:val="1F3864"/>
          <w:sz w:val="26"/>
          <w:szCs w:val="26"/>
        </w:rPr>
        <w:t>Section 1 — Recap from Assignment 1</w:t>
      </w:r>
    </w:p>
    <w:p>
      <w:pPr>
        <w:pStyle w:val="Normal"/>
        <w:spacing w:before="0" w:after="100"/>
        <w:rPr/>
      </w:pPr>
      <w:r>
        <w:rPr>
          <w:i/>
          <w:iCs/>
          <w:color w:val="595959"/>
          <w:sz w:val="18"/>
          <w:szCs w:val="18"/>
        </w:rPr>
        <w:t>Copy these from A1 so this form stands alone. Do NOT change the success metric — your system in A3 is judged on it.</w:t>
      </w:r>
    </w:p>
    <w:tbl>
      <w:tblPr>
        <w:tblW w:w="9360" w:type="dxa"/>
        <w:jc w:val="left"/>
        <w:tblInd w:w="0" w:type="dxa"/>
        <w:tblLayout w:type="fixed"/>
        <w:tblCellMar>
          <w:top w:w="0" w:type="dxa"/>
          <w:left w:w="108" w:type="dxa"/>
          <w:bottom w:w="0" w:type="dxa"/>
          <w:right w:w="108" w:type="dxa"/>
        </w:tblCellMar>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Our three choices (from A1)</w:t>
            </w:r>
          </w:p>
          <w:p>
            <w:pPr>
              <w:pStyle w:val="Normal"/>
              <w:spacing w:before="0" w:after="80"/>
              <w:rPr/>
            </w:pPr>
            <w:r>
              <w:rPr>
                <w:i/>
                <w:iCs/>
                <w:color w:val="595959"/>
                <w:sz w:val="18"/>
                <w:szCs w:val="18"/>
              </w:rPr>
              <w:t>domain · data speciality · primary NFR + target — one line each.</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Success metric (from A1)</w:t>
            </w:r>
          </w:p>
          <w:p>
            <w:pPr>
              <w:pStyle w:val="Normal"/>
              <w:spacing w:before="0" w:after="80"/>
              <w:rPr/>
            </w:pPr>
            <w:r>
              <w:rPr>
                <w:i/>
                <w:iCs/>
                <w:color w:val="595959"/>
                <w:sz w:val="18"/>
                <w:szCs w:val="18"/>
              </w:rPr>
              <w:t>the single answer-quality metric and target, unchanged.</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Our corpus (from A1)</w:t>
            </w:r>
          </w:p>
          <w:p>
            <w:pPr>
              <w:pStyle w:val="Normal"/>
              <w:spacing w:before="0" w:after="80"/>
              <w:rPr/>
            </w:pPr>
            <w:r>
              <w:rPr>
                <w:i/>
                <w:iCs/>
                <w:color w:val="595959"/>
                <w:sz w:val="18"/>
                <w:szCs w:val="18"/>
              </w:rPr>
              <w:t>source, size (pages/words), and the one thing that makes it hard to read.</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2 — The Structure We Exploit</w:t>
      </w:r>
    </w:p>
    <w:p>
      <w:pPr>
        <w:pStyle w:val="Normal"/>
        <w:spacing w:before="0" w:after="100"/>
        <w:rPr/>
      </w:pPr>
      <w:r>
        <w:rPr>
          <w:i/>
          <w:iCs/>
          <w:color w:val="595959"/>
          <w:sz w:val="18"/>
          <w:szCs w:val="18"/>
        </w:rPr>
        <w:t>Every model choice is a bet on structure in the data. Name the structure your pipeline relies on, and the things it must ignore.</w:t>
      </w:r>
    </w:p>
    <w:tbl>
      <w:tblPr>
        <w:tblW w:w="9360" w:type="dxa"/>
        <w:jc w:val="left"/>
        <w:tblInd w:w="0" w:type="dxa"/>
        <w:tblLayout w:type="fixed"/>
        <w:tblCellMar>
          <w:top w:w="0" w:type="dxa"/>
          <w:left w:w="108" w:type="dxa"/>
          <w:bottom w:w="0" w:type="dxa"/>
          <w:right w:w="108" w:type="dxa"/>
        </w:tblCellMar>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Structure in the page image</w:t>
            </w:r>
          </w:p>
          <w:p>
            <w:pPr>
              <w:pStyle w:val="Normal"/>
              <w:spacing w:before="0" w:after="80"/>
              <w:rPr/>
            </w:pPr>
            <w:r>
              <w:rPr>
                <w:i/>
                <w:iCs/>
                <w:color w:val="595959"/>
                <w:sz w:val="18"/>
                <w:szCs w:val="18"/>
              </w:rPr>
              <w:t>what a vision model can exploit — nearby pixels form strokes/characters; a character looks the same when shifted. Drives your layout &amp; enhancement choices.</w:t>
            </w:r>
          </w:p>
        </w:tc>
        <w:tc>
          <w:tcPr>
            <w:tcW w:w="5860" w:type="dxa"/>
            <w:tcBorders>
              <w:top w:val="single" w:sz="4" w:space="0" w:color="000000"/>
              <w:left w:val="single" w:sz="4" w:space="0" w:color="000000"/>
              <w:bottom w:val="single" w:sz="4" w:space="0" w:color="000000"/>
              <w:right w:val="single" w:sz="4" w:space="0" w:color="000000"/>
            </w:tcBorders>
          </w:tcPr>
          <w:p>
            <w:pPr>
              <w:pStyle w:val="BodyText"/>
              <w:spacing w:before="0" w:after="80"/>
              <w:rPr>
                <w:rFonts w:ascii="Arial;sans-serif" w:hAnsi="Arial;sans-serif"/>
                <w:b w:val="false"/>
                <w:i w:val="false"/>
                <w:i w:val="false"/>
                <w:caps w:val="false"/>
                <w:smallCaps w:val="false"/>
                <w:strike w:val="false"/>
                <w:dstrike w:val="false"/>
                <w:color w:val="000000"/>
                <w:sz w:val="22"/>
                <w:u w:val="none"/>
                <w:effect w:val="none"/>
              </w:rPr>
            </w:pPr>
            <w:bookmarkStart w:id="0" w:name="docs-internal-guid-c591c9f3-7fff-df09-7b"/>
            <w:bookmarkEnd w:id="0"/>
            <w:r>
              <w:rPr>
                <w:rFonts w:ascii="Arial;sans-serif" w:hAnsi="Arial;sans-serif"/>
                <w:b/>
                <w:i w:val="false"/>
                <w:caps w:val="false"/>
                <w:smallCaps w:val="false"/>
                <w:strike w:val="false"/>
                <w:dstrike w:val="false"/>
                <w:color w:val="000000"/>
                <w:sz w:val="22"/>
                <w:u w:val="none"/>
                <w:effect w:val="none"/>
                <w:shd w:fill="auto" w:val="clear"/>
              </w:rPr>
              <w:t>1. Pristine Pixel Quality:</w:t>
            </w:r>
            <w:r>
              <w:rPr>
                <w:rFonts w:ascii="Arial;sans-serif" w:hAnsi="Arial;sans-serif"/>
                <w:b w:val="false"/>
                <w:i w:val="false"/>
                <w:caps w:val="false"/>
                <w:smallCaps w:val="false"/>
                <w:strike w:val="false"/>
                <w:dstrike w:val="false"/>
                <w:color w:val="000000"/>
                <w:sz w:val="22"/>
                <w:u w:val="none"/>
                <w:effect w:val="none"/>
                <w:shd w:fill="auto" w:val="clear"/>
              </w:rPr>
              <w:t xml:space="preserve"> The pages are vector-rendered, resulting in stroke pixels with uniformly high contrast and 0° skew. A vision model can exploit these crisp edges without needing to account for scanner noise or fading.</w:t>
            </w:r>
          </w:p>
          <w:p>
            <w:pPr>
              <w:pStyle w:val="BodyText"/>
              <w:spacing w:before="0" w:after="80"/>
              <w:rPr>
                <w:rFonts w:ascii="Arial;sans-serif" w:hAnsi="Arial;sans-serif"/>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2. Distinct Geometric Layouts:</w:t>
            </w:r>
            <w:r>
              <w:rPr>
                <w:rFonts w:ascii="Arial;sans-serif" w:hAnsi="Arial;sans-serif"/>
                <w:b w:val="false"/>
                <w:i w:val="false"/>
                <w:caps w:val="false"/>
                <w:smallCaps w:val="false"/>
                <w:strike w:val="false"/>
                <w:dstrike w:val="false"/>
                <w:color w:val="000000"/>
                <w:sz w:val="22"/>
                <w:u w:val="none"/>
                <w:effect w:val="none"/>
                <w:shd w:fill="auto" w:val="clear"/>
              </w:rPr>
              <w:t xml:space="preserve"> The model must exploit geometric blocking to separate dense horizontal paragraphs from structured multi-column tables and non-text diagrams (where figure labels are often scattered and rotated).</w:t>
            </w:r>
          </w:p>
          <w:p>
            <w:pPr>
              <w:pStyle w:val="BodyText"/>
              <w:spacing w:before="0" w:after="80"/>
              <w:rPr>
                <w:rFonts w:ascii="Arial;sans-serif" w:hAnsi="Arial;sans-serif"/>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3. Overloaded Vertical Zones:</w:t>
            </w:r>
            <w:r>
              <w:rPr>
                <w:rFonts w:ascii="Arial;sans-serif" w:hAnsi="Arial;sans-serif"/>
                <w:b w:val="false"/>
                <w:i w:val="false"/>
                <w:caps w:val="false"/>
                <w:smallCaps w:val="false"/>
                <w:strike w:val="false"/>
                <w:dstrike w:val="false"/>
                <w:color w:val="000000"/>
                <w:sz w:val="22"/>
                <w:u w:val="none"/>
                <w:effect w:val="none"/>
                <w:shd w:fill="auto" w:val="clear"/>
              </w:rPr>
              <w:t xml:space="preserve"> Latin sub/superscripts in chemical and mathematical formulas occupy the exact same vertical space above and below the baseline as Bangla matras. A vision model cannot safely separate lines based purely on horizontal whitespace gaps, as the vertical zones are structurally mixed.</w:t>
            </w:r>
          </w:p>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Structure in the text</w:t>
            </w:r>
          </w:p>
          <w:p>
            <w:pPr>
              <w:pStyle w:val="Normal"/>
              <w:spacing w:before="0" w:after="80"/>
              <w:rPr/>
            </w:pPr>
            <w:r>
              <w:rPr>
                <w:i/>
                <w:iCs/>
                <w:color w:val="595959"/>
                <w:sz w:val="18"/>
                <w:szCs w:val="18"/>
              </w:rPr>
              <w:t>what a sequence model can exploit — reading order and context carry meaning; conjuncts/ligatures span characters. Drives your OCR &amp; embedding choices.</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b/>
                <w:bCs/>
              </w:rPr>
              <w:t>1.</w:t>
            </w:r>
            <w:r>
              <w:rPr/>
              <w:t xml:space="preserve"> </w:t>
            </w:r>
            <w:r>
              <w:rPr>
                <w:b/>
                <w:bCs/>
              </w:rPr>
              <w:t>Intense Bangla-Latin Code-Mixing:</w:t>
            </w:r>
            <w:r>
              <w:rPr/>
              <w:t xml:space="preserve"> The text frequently switches between Bangla script and Latin/numeric scientific notation (like $H_2SO_4$ or $F=ma$) mid-sentence. A sequence model must learn to predict seamless transitions between these two distinct vocabularies, sometimes even within a single token (e.g., when a formula binds to a Bangla case suffix like "$H_2SO_4$-</w:t>
            </w:r>
            <w:r>
              <w:rPr/>
              <w:t>এর</w:t>
            </w:r>
            <w:r>
              <w:rPr/>
              <w:t>" without whitespace).</w:t>
            </w:r>
          </w:p>
          <w:p>
            <w:pPr>
              <w:pStyle w:val="Normal"/>
              <w:spacing w:before="0" w:after="80"/>
              <w:rPr/>
            </w:pPr>
            <w:r>
              <w:rPr>
                <w:b/>
                <w:bCs/>
              </w:rPr>
              <w:t xml:space="preserve">2. </w:t>
            </w:r>
            <w:r>
              <w:rPr>
                <w:b/>
                <w:bCs/>
              </w:rPr>
              <w:t>High-Density Conjuncts (</w:t>
            </w:r>
            <w:r>
              <w:rPr>
                <w:b/>
                <w:b/>
                <w:bCs/>
              </w:rPr>
              <w:t>যুক্তবর্ণ</w:t>
            </w:r>
            <w:r>
              <w:rPr>
                <w:b/>
                <w:bCs/>
              </w:rPr>
              <w:t>):</w:t>
            </w:r>
            <w:r>
              <w:rPr/>
              <w:t xml:space="preserve"> Scientific vocabulary relies heavily on complex, fused conjuncts (~7% of all characters). A sequence model exploits the fact that these aren't random letter combinations, but specific, predictable linguistic tokens. Accurate prediction here is critical, as a single mis-predicted conjunct destroys the entire word token for downstream retrieval.</w:t>
            </w:r>
          </w:p>
          <w:p>
            <w:pPr>
              <w:pStyle w:val="Normal"/>
              <w:spacing w:before="0" w:after="80"/>
              <w:rPr/>
            </w:pPr>
            <w:r>
              <w:rPr>
                <w:b/>
                <w:bCs/>
              </w:rPr>
              <w:t xml:space="preserve">3. </w:t>
            </w:r>
            <w:r>
              <w:rPr>
                <w:b/>
                <w:bCs/>
              </w:rPr>
              <w:t>Domain-Specific Context:</w:t>
            </w:r>
            <w:r>
              <w:rPr/>
              <w:t xml:space="preserve"> Reading order carries strict scientific meaning. The sequence model (especially during embedding) can exploit the fact that Latin mathematical or chemical formulas are almost always contextually anchored by the surrounding Bangla definitions in the same paragraph.</w:t>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What should NOT change the answer</w:t>
            </w:r>
          </w:p>
          <w:p>
            <w:pPr>
              <w:pStyle w:val="Normal"/>
              <w:spacing w:before="0" w:after="80"/>
              <w:rPr/>
            </w:pPr>
            <w:r>
              <w:rPr>
                <w:i/>
                <w:iCs/>
                <w:color w:val="595959"/>
                <w:sz w:val="18"/>
                <w:szCs w:val="18"/>
              </w:rPr>
              <w:t>variations the system must be robust to — page position, font, mild skew, scan noise, ink bleed. Knowing these points you to the right model and augmentation.</w:t>
            </w:r>
          </w:p>
        </w:tc>
        <w:tc>
          <w:tcPr>
            <w:tcW w:w="5860" w:type="dxa"/>
            <w:tcBorders>
              <w:top w:val="single" w:sz="4" w:space="0" w:color="000000"/>
              <w:left w:val="single" w:sz="4" w:space="0" w:color="000000"/>
              <w:bottom w:val="single" w:sz="4" w:space="0" w:color="000000"/>
              <w:right w:val="single" w:sz="4" w:space="0" w:color="000000"/>
            </w:tcBorders>
          </w:tcPr>
          <w:p>
            <w:pPr>
              <w:pStyle w:val="BodyText"/>
              <w:spacing w:before="0" w:after="80"/>
              <w:rPr>
                <w:b w:val="false"/>
              </w:rPr>
            </w:pPr>
            <w:bookmarkStart w:id="1" w:name="docs-internal-guid-e4ac7d8a-7fff-fbf7-4d"/>
            <w:bookmarkEnd w:id="1"/>
            <w:r>
              <w:rPr>
                <w:rFonts w:ascii="Arial;sans-serif" w:hAnsi="Arial;sans-serif"/>
                <w:b/>
                <w:i w:val="false"/>
                <w:caps w:val="false"/>
                <w:smallCaps w:val="false"/>
                <w:strike w:val="false"/>
                <w:dstrike w:val="false"/>
                <w:color w:val="000000"/>
                <w:sz w:val="22"/>
                <w:u w:val="none"/>
                <w:effect w:val="none"/>
                <w:shd w:fill="auto" w:val="clear"/>
              </w:rPr>
              <w:t>1. Page Position &amp; Layout Topology:</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 xml:space="preserve">The factual meaning of a physics definition or a chemical equation remains exactly the same whether it appears in a standard running paragraph, inside a cell of a multi-column table, or rotated as a label next to a circuit diagram. The layout detection and text extraction must be robust to </w:t>
            </w:r>
            <w:r>
              <w:rPr>
                <w:rFonts w:ascii="Arial;sans-serif" w:hAnsi="Arial;sans-serif"/>
                <w:b/>
                <w:i w:val="false"/>
                <w:caps w:val="false"/>
                <w:smallCaps w:val="false"/>
                <w:strike w:val="false"/>
                <w:dstrike w:val="false"/>
                <w:color w:val="000000"/>
                <w:sz w:val="22"/>
                <w:u w:val="none"/>
                <w:effect w:val="none"/>
                <w:shd w:fill="auto" w:val="clear"/>
              </w:rPr>
              <w:t>where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and how the text is geometrically placed on the page.</w:t>
            </w:r>
          </w:p>
          <w:p>
            <w:pPr>
              <w:pStyle w:val="BodyText"/>
              <w:bidi w:val="0"/>
              <w:spacing w:lineRule="auto" w:line="331" w:before="0" w:after="80"/>
              <w:ind w:hanging="0" w:left="0" w:right="0"/>
              <w:rPr>
                <w:b w:val="false"/>
              </w:rPr>
            </w:pPr>
            <w:r>
              <w:rPr>
                <w:rFonts w:ascii="Arial;sans-serif" w:hAnsi="Arial;sans-serif"/>
                <w:b/>
                <w:i w:val="false"/>
                <w:caps w:val="false"/>
                <w:smallCaps w:val="false"/>
                <w:strike w:val="false"/>
                <w:dstrike w:val="false"/>
                <w:color w:val="000000"/>
                <w:sz w:val="22"/>
                <w:u w:val="none"/>
                <w:effect w:val="none"/>
                <w:shd w:fill="auto" w:val="clear"/>
              </w:rPr>
              <w:t>2. Font Variations &amp; Scales:</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The books use different font sizes and weights for chapter headings, body text, and tiny sub/superscripts in formulas. The OCR model must accurately read the characters regardless of these scaling and styling differences.</w:t>
            </w:r>
          </w:p>
          <w:p>
            <w:pPr>
              <w:pStyle w:val="BodyText"/>
              <w:bidi w:val="0"/>
              <w:spacing w:lineRule="auto" w:line="331" w:before="0" w:after="80"/>
              <w:ind w:hanging="0" w:left="0" w:right="0"/>
              <w:rPr/>
            </w:pPr>
            <w:r>
              <w:rPr>
                <w:rFonts w:ascii="Arial;sans-serif" w:hAnsi="Arial;sans-serif"/>
                <w:b/>
                <w:i w:val="false"/>
                <w:caps w:val="false"/>
                <w:smallCaps w:val="false"/>
                <w:strike w:val="false"/>
                <w:dstrike w:val="false"/>
                <w:color w:val="000000"/>
                <w:sz w:val="22"/>
                <w:u w:val="none"/>
                <w:effect w:val="none"/>
                <w:shd w:fill="auto" w:val="clear"/>
              </w:rPr>
              <w:t>3. Proximity and Lack of Whitespace:</w:t>
            </w:r>
            <w:r>
              <w:rPr>
                <w:b w:val="false"/>
                <w:caps w:val="false"/>
                <w:smallCaps w:val="false"/>
                <w:strike w:val="false"/>
                <w:dstrike w:val="false"/>
                <w:color w:val="000000"/>
                <w:u w:val="none"/>
                <w:effect w:val="none"/>
                <w:shd w:fill="auto" w:val="clear"/>
              </w:rPr>
              <w:t xml:space="preserve"> </w:t>
            </w:r>
            <w:r>
              <w:rPr>
                <w:rFonts w:ascii="Arial;sans-serif" w:hAnsi="Arial;sans-serif"/>
                <w:b w:val="false"/>
                <w:i w:val="false"/>
                <w:caps w:val="false"/>
                <w:smallCaps w:val="false"/>
                <w:strike w:val="false"/>
                <w:dstrike w:val="false"/>
                <w:color w:val="000000"/>
                <w:sz w:val="22"/>
                <w:u w:val="none"/>
                <w:effect w:val="none"/>
                <w:shd w:fill="auto" w:val="clear"/>
              </w:rPr>
              <w:t>The scientific meaning of a formula (like $H_2SO_4$) is invariant to whether it is padded with whitespace or bound tightly to a Bangla suffix (like "$H_2SO_4$-</w:t>
            </w:r>
            <w:r>
              <w:rPr>
                <w:rFonts w:cs="Arial;sans-serif"/>
                <w:bCs w:val="false"/>
                <w:iCs w:val="false"/>
                <w:caps w:val="false"/>
                <w:smallCaps w:val="false"/>
                <w:strike w:val="false"/>
                <w:dstrike w:val="false"/>
                <w:color w:val="000000"/>
                <w:szCs w:val="22"/>
                <w:u w:val="none"/>
                <w:effect w:val="none"/>
                <w:shd w:fill="auto" w:val="clear"/>
              </w:rPr>
              <w:t>এর</w:t>
            </w:r>
            <w:r>
              <w:rPr>
                <w:rFonts w:ascii="Arial;sans-serif" w:hAnsi="Arial;sans-serif"/>
                <w:b w:val="false"/>
                <w:i w:val="false"/>
                <w:caps w:val="false"/>
                <w:smallCaps w:val="false"/>
                <w:strike w:val="false"/>
                <w:dstrike w:val="false"/>
                <w:color w:val="000000"/>
                <w:sz w:val="22"/>
                <w:u w:val="none"/>
                <w:effect w:val="none"/>
                <w:shd w:fill="auto" w:val="clear"/>
              </w:rPr>
              <w:t>"). The sequence models must be robust to these missing token boundaries and not misinterpret the fused string.</w:t>
            </w:r>
          </w:p>
        </w:tc>
      </w:tr>
    </w:tbl>
    <w:p>
      <w:pPr>
        <w:pStyle w:val="Heading2"/>
        <w:spacing w:before="240" w:after="100"/>
        <w:rPr/>
      </w:pPr>
      <w:r>
        <w:rPr>
          <w:b/>
          <w:bCs/>
          <w:color w:val="1F3864"/>
          <w:sz w:val="26"/>
          <w:szCs w:val="26"/>
        </w:rPr>
        <w:t>Section 3 — Components &amp; Options We Considered</w:t>
      </w:r>
    </w:p>
    <w:p>
      <w:pPr>
        <w:pStyle w:val="Normal"/>
        <w:spacing w:before="0" w:after="100"/>
        <w:rPr/>
      </w:pPr>
      <w:r>
        <w:rPr/>
        <w:t xml:space="preserve">For each stage, name the options you compared and your choice. </w:t>
      </w:r>
      <w:r>
        <w:rPr>
          <w:b/>
          <w:bCs/>
        </w:rPr>
        <w:t>At least one choice must be an existing published/pretrained method you reproduce and adapt</w:t>
      </w:r>
      <w:r>
        <w:rPr/>
        <w:t xml:space="preserve"> (your OCR foundation is the natural one — reproducing someone else's method is the core skill for adopting whatever comes next). Mark it in the last column.</w:t>
      </w:r>
    </w:p>
    <w:tbl>
      <w:tblPr>
        <w:tblW w:w="9360" w:type="dxa"/>
        <w:jc w:val="left"/>
        <w:tblInd w:w="0" w:type="dxa"/>
        <w:tblLayout w:type="fixed"/>
        <w:tblCellMar>
          <w:top w:w="0" w:type="dxa"/>
          <w:left w:w="108" w:type="dxa"/>
          <w:bottom w:w="0" w:type="dxa"/>
          <w:right w:w="108" w:type="dxa"/>
        </w:tblCellMar>
      </w:tblPr>
      <w:tblGrid>
        <w:gridCol w:w="1698"/>
        <w:gridCol w:w="2902"/>
        <w:gridCol w:w="3199"/>
        <w:gridCol w:w="1560"/>
      </w:tblGrid>
      <w:tr>
        <w:trPr>
          <w:tblHeader w:val="true"/>
        </w:trPr>
        <w:tc>
          <w:tcPr>
            <w:tcW w:w="1698"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Stage</w:t>
            </w:r>
          </w:p>
        </w:tc>
        <w:tc>
          <w:tcPr>
            <w:tcW w:w="2902"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Options we compared</w:t>
            </w:r>
          </w:p>
        </w:tc>
        <w:tc>
          <w:tcPr>
            <w:tcW w:w="3199"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Our choice + why</w:t>
            </w:r>
          </w:p>
        </w:tc>
        <w:tc>
          <w:tcPr>
            <w:tcW w:w="156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Reproduced? (≥1 yes)</w:t>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Enhancement (bonus)</w:t>
            </w:r>
          </w:p>
        </w:tc>
        <w:tc>
          <w:tcPr>
            <w:tcW w:w="29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e.g. classical denoise vs VAE vs diffusion</w:t>
            </w:r>
          </w:p>
        </w:tc>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Layout detection</w:t>
            </w:r>
          </w:p>
        </w:tc>
        <w:tc>
          <w:tcPr>
            <w:tcW w:w="29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e.g. heuristic vs detection model</w:t>
            </w:r>
          </w:p>
        </w:tc>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 / HTR</w:t>
            </w:r>
          </w:p>
        </w:tc>
        <w:tc>
          <w:tcPr>
            <w:tcW w:w="29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e.g. Tesseract vs TrOCR vs Donut</w:t>
            </w:r>
          </w:p>
        </w:tc>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Chunking</w:t>
            </w:r>
          </w:p>
        </w:tc>
        <w:tc>
          <w:tcPr>
            <w:tcW w:w="29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e.g. fixed vs semantic; size/overlap</w:t>
            </w:r>
          </w:p>
        </w:tc>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Embedding</w:t>
            </w:r>
          </w:p>
        </w:tc>
        <w:tc>
          <w:tcPr>
            <w:tcW w:w="29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e.g. which sentence-embedding model</w:t>
            </w:r>
          </w:p>
        </w:tc>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6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Vector index</w:t>
            </w:r>
          </w:p>
        </w:tc>
        <w:tc>
          <w:tcPr>
            <w:tcW w:w="29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e.g. flat vs HNSW vs IVF/PQ</w:t>
            </w:r>
          </w:p>
        </w:tc>
        <w:tc>
          <w:tcPr>
            <w:tcW w:w="31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15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4 — The Knowledge Base We Built</w:t>
      </w:r>
    </w:p>
    <w:p>
      <w:pPr>
        <w:pStyle w:val="Normal"/>
        <w:spacing w:before="0" w:after="100"/>
        <w:rPr/>
      </w:pPr>
      <w:r>
        <w:rPr>
          <w:i/>
          <w:iCs/>
          <w:color w:val="595959"/>
          <w:sz w:val="18"/>
          <w:szCs w:val="18"/>
        </w:rPr>
        <w:t>What actually runs. State the model/checkpoint and the key parameters per stage, and whether it's pretrained, fine-tuned, or from scratch.</w:t>
      </w:r>
    </w:p>
    <w:tbl>
      <w:tblPr>
        <w:tblW w:w="9360" w:type="dxa"/>
        <w:jc w:val="left"/>
        <w:tblInd w:w="0" w:type="dxa"/>
        <w:tblLayout w:type="fixed"/>
        <w:tblCellMar>
          <w:top w:w="0" w:type="dxa"/>
          <w:left w:w="108" w:type="dxa"/>
          <w:bottom w:w="0" w:type="dxa"/>
          <w:right w:w="108" w:type="dxa"/>
        </w:tblCellMar>
      </w:tblPr>
      <w:tblGrid>
        <w:gridCol w:w="1900"/>
        <w:gridCol w:w="1599"/>
        <w:gridCol w:w="1101"/>
        <w:gridCol w:w="2400"/>
        <w:gridCol w:w="2359"/>
      </w:tblGrid>
      <w:tr>
        <w:trPr>
          <w:tblHeader w:val="true"/>
        </w:trPr>
        <w:tc>
          <w:tcPr>
            <w:tcW w:w="190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Stage</w:t>
            </w:r>
          </w:p>
        </w:tc>
        <w:tc>
          <w:tcPr>
            <w:tcW w:w="2700" w:type="dxa"/>
            <w:gridSpan w:val="2"/>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Model / checkpoint</w:t>
            </w:r>
          </w:p>
        </w:tc>
        <w:tc>
          <w:tcPr>
            <w:tcW w:w="240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Key parameters</w:t>
            </w:r>
          </w:p>
        </w:tc>
        <w:tc>
          <w:tcPr>
            <w:tcW w:w="2359"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Pretrained / fine-tuned / scratch</w:t>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Ingest + enhance</w:t>
            </w:r>
          </w:p>
        </w:tc>
        <w:tc>
          <w:tcPr>
            <w:tcW w:w="2700"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Layout</w:t>
            </w:r>
          </w:p>
        </w:tc>
        <w:tc>
          <w:tcPr>
            <w:tcW w:w="2700"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 / HTR</w:t>
            </w:r>
          </w:p>
        </w:tc>
        <w:tc>
          <w:tcPr>
            <w:tcW w:w="2700"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Chunk</w:t>
            </w:r>
          </w:p>
        </w:tc>
        <w:tc>
          <w:tcPr>
            <w:tcW w:w="2700"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Embed</w:t>
            </w:r>
          </w:p>
        </w:tc>
        <w:tc>
          <w:tcPr>
            <w:tcW w:w="2700"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19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Index</w:t>
            </w:r>
          </w:p>
        </w:tc>
        <w:tc>
          <w:tcPr>
            <w:tcW w:w="2700" w:type="dxa"/>
            <w:gridSpan w:val="2"/>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c>
          <w:tcPr>
            <w:tcW w:w="2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gridSpan w:val="2"/>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The pipeline in one line</w:t>
            </w:r>
          </w:p>
          <w:p>
            <w:pPr>
              <w:pStyle w:val="Normal"/>
              <w:spacing w:before="0" w:after="80"/>
              <w:rPr/>
            </w:pPr>
            <w:r>
              <w:rPr>
                <w:i/>
                <w:iCs/>
                <w:color w:val="595959"/>
                <w:sz w:val="18"/>
                <w:szCs w:val="18"/>
              </w:rPr>
              <w:t>pages → clean → (enhance) → layout → OCR → chunk → embed → store. Note anything you changed from the default.</w:t>
            </w:r>
          </w:p>
        </w:tc>
        <w:tc>
          <w:tcPr>
            <w:tcW w:w="5860" w:type="dxa"/>
            <w:gridSpan w:val="3"/>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5 — Evidence It Works</w:t>
      </w:r>
    </w:p>
    <w:p>
      <w:pPr>
        <w:pStyle w:val="Normal"/>
        <w:spacing w:before="0" w:after="100"/>
        <w:rPr/>
      </w:pPr>
      <w:r>
        <w:rPr>
          <w:i/>
          <w:iCs/>
          <w:color w:val="595959"/>
          <w:sz w:val="18"/>
          <w:szCs w:val="18"/>
        </w:rPr>
        <w:t>A build milestone needs proof, not promises. Show real numbers and one real retrieval.</w:t>
      </w:r>
    </w:p>
    <w:tbl>
      <w:tblPr>
        <w:tblW w:w="9360" w:type="dxa"/>
        <w:jc w:val="left"/>
        <w:tblInd w:w="0" w:type="dxa"/>
        <w:tblLayout w:type="fixed"/>
        <w:tblCellMar>
          <w:top w:w="0" w:type="dxa"/>
          <w:left w:w="108" w:type="dxa"/>
          <w:bottom w:w="0" w:type="dxa"/>
          <w:right w:w="108" w:type="dxa"/>
        </w:tblCellMar>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OCR quality on a sample</w:t>
            </w:r>
          </w:p>
          <w:p>
            <w:pPr>
              <w:pStyle w:val="Normal"/>
              <w:spacing w:before="0" w:after="80"/>
              <w:rPr/>
            </w:pPr>
            <w:r>
              <w:rPr>
                <w:i/>
                <w:iCs/>
                <w:color w:val="595959"/>
                <w:sz w:val="18"/>
                <w:szCs w:val="18"/>
              </w:rPr>
              <w:t>measure reading quality on a labelled sample (character/word error rate, or F1). State the number and the sample size.</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Index statistics</w:t>
            </w:r>
          </w:p>
          <w:p>
            <w:pPr>
              <w:pStyle w:val="Normal"/>
              <w:spacing w:before="0" w:after="80"/>
              <w:rPr/>
            </w:pPr>
            <w:r>
              <w:rPr>
                <w:i/>
                <w:iCs/>
                <w:color w:val="595959"/>
                <w:sz w:val="18"/>
                <w:szCs w:val="18"/>
              </w:rPr>
              <w:t>chunks indexed, embedding dimension, index type, corpus coverage (pages/words indexed vs total).</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One retrieval example</w:t>
            </w:r>
          </w:p>
          <w:p>
            <w:pPr>
              <w:pStyle w:val="Normal"/>
              <w:spacing w:before="0" w:after="80"/>
              <w:rPr/>
            </w:pPr>
            <w:r>
              <w:rPr>
                <w:i/>
                <w:iCs/>
                <w:color w:val="595959"/>
                <w:sz w:val="18"/>
                <w:szCs w:val="18"/>
              </w:rPr>
              <w:t>a real query, the top chunk returned, and whether it's the right page. Show one that worked.</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The worst failure we saw</w:t>
            </w:r>
          </w:p>
          <w:p>
            <w:pPr>
              <w:pStyle w:val="Normal"/>
              <w:spacing w:before="0" w:after="80"/>
              <w:rPr/>
            </w:pPr>
            <w:r>
              <w:rPr>
                <w:i/>
                <w:iCs/>
                <w:color w:val="595959"/>
                <w:sz w:val="18"/>
                <w:szCs w:val="18"/>
              </w:rPr>
              <w:t>where reading or retrieval failed badly, and your read on why (honest — this shapes A3).</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6 — The Plan for A3</w:t>
      </w:r>
    </w:p>
    <w:p>
      <w:pPr>
        <w:pStyle w:val="Normal"/>
        <w:spacing w:before="0" w:after="100"/>
        <w:rPr/>
      </w:pPr>
      <w:r>
        <w:rPr>
          <w:i/>
          <w:iCs/>
          <w:color w:val="595959"/>
          <w:sz w:val="18"/>
          <w:szCs w:val="18"/>
        </w:rPr>
        <w:t>What's left: turn the knowledge base into an answering agent, then evaluate it.</w:t>
      </w:r>
    </w:p>
    <w:tbl>
      <w:tblPr>
        <w:tblW w:w="9360" w:type="dxa"/>
        <w:jc w:val="left"/>
        <w:tblInd w:w="0" w:type="dxa"/>
        <w:tblLayout w:type="fixed"/>
        <w:tblCellMar>
          <w:top w:w="0" w:type="dxa"/>
          <w:left w:w="108" w:type="dxa"/>
          <w:bottom w:w="0" w:type="dxa"/>
          <w:right w:w="108" w:type="dxa"/>
        </w:tblCellMar>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What we'll build next</w:t>
            </w:r>
          </w:p>
          <w:p>
            <w:pPr>
              <w:pStyle w:val="Normal"/>
              <w:spacing w:before="0" w:after="80"/>
              <w:rPr/>
            </w:pPr>
            <w:r>
              <w:rPr>
                <w:i/>
                <w:iCs/>
                <w:color w:val="595959"/>
                <w:sz w:val="18"/>
                <w:szCs w:val="18"/>
              </w:rPr>
              <w:t>retrieval + rerank, the agent loop + tools, guardrails/HITL, grounding, evaluation — and RL/RLVR if you attempt the bonus.</w:t>
            </w:r>
          </w:p>
          <w:p>
            <w:pPr>
              <w:pStyle w:val="Normal"/>
              <w:rPr/>
            </w:pPr>
            <w:r>
              <w:rPr/>
              <w:t>Carry the agent forward: in A3 it must do evidence-gated re-search (widen k on weak evidence, abstain at k_max) — the mandatory agentic behaviour, graded fail-closed in A3.</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Our evaluation set</w:t>
            </w:r>
          </w:p>
          <w:p>
            <w:pPr>
              <w:pStyle w:val="Normal"/>
              <w:spacing w:before="0" w:after="80"/>
              <w:rPr/>
            </w:pPr>
            <w:r>
              <w:rPr>
                <w:i/>
                <w:iCs/>
                <w:color w:val="595959"/>
                <w:sz w:val="18"/>
                <w:szCs w:val="18"/>
              </w:rPr>
              <w:t>how you'll write tasks.jsonl for YOUR domain — the questions your real user would ask; include enough checkable (verifiable) items and abstention cases.</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r>
        <w:trPr/>
        <w:tc>
          <w:tcPr>
            <w:tcW w:w="34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80"/>
              <w:rPr/>
            </w:pPr>
            <w:r>
              <w:rPr>
                <w:b/>
                <w:bCs/>
              </w:rPr>
              <w:t>Biggest risk / unknown</w:t>
            </w:r>
          </w:p>
          <w:p>
            <w:pPr>
              <w:pStyle w:val="Normal"/>
              <w:spacing w:before="0" w:after="80"/>
              <w:rPr/>
            </w:pPr>
            <w:r>
              <w:rPr>
                <w:i/>
                <w:iCs/>
                <w:color w:val="595959"/>
                <w:sz w:val="18"/>
                <w:szCs w:val="18"/>
              </w:rPr>
              <w:t>the thing most likely to break in A3, and your first idea to handle it.</w:t>
            </w:r>
          </w:p>
        </w:tc>
        <w:tc>
          <w:tcPr>
            <w:tcW w:w="58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r>
          </w:p>
        </w:tc>
      </w:tr>
    </w:tbl>
    <w:p>
      <w:pPr>
        <w:pStyle w:val="Heading2"/>
        <w:spacing w:before="240" w:after="100"/>
        <w:rPr/>
      </w:pPr>
      <w:r>
        <w:rPr>
          <w:b/>
          <w:bCs/>
          <w:color w:val="1F3864"/>
          <w:sz w:val="26"/>
          <w:szCs w:val="26"/>
        </w:rPr>
        <w:t>Section 7 — Design Choices &amp; Justification (knowledge-base stages)</w:t>
      </w:r>
    </w:p>
    <w:p>
      <w:pPr>
        <w:pStyle w:val="Normal"/>
        <w:spacing w:before="0" w:after="100"/>
        <w:rPr/>
      </w:pPr>
      <w:r>
        <w:rPr/>
        <w:t>Extend the eight-facet table to the stages you built (Stages 1–4). This is the graded design artifact (</w:t>
      </w:r>
      <w:r>
        <w:rPr>
          <w:i/>
          <w:iCs/>
          <w:color w:val="595959"/>
          <w:sz w:val="18"/>
          <w:szCs w:val="18"/>
        </w:rPr>
        <w:t>configs/design_choices.md</w:t>
      </w:r>
      <w:r>
        <w:rPr/>
        <w:t>).</w:t>
      </w:r>
    </w:p>
    <w:tbl>
      <w:tblPr>
        <w:tblW w:w="9360" w:type="dxa"/>
        <w:jc w:val="left"/>
        <w:tblInd w:w="0" w:type="dxa"/>
        <w:tblLayout w:type="fixed"/>
        <w:tblCellMar>
          <w:top w:w="0" w:type="dxa"/>
          <w:left w:w="108" w:type="dxa"/>
          <w:bottom w:w="0" w:type="dxa"/>
          <w:right w:w="108" w:type="dxa"/>
        </w:tblCellMar>
      </w:tblPr>
      <w:tblGrid>
        <w:gridCol w:w="2198"/>
        <w:gridCol w:w="3402"/>
        <w:gridCol w:w="3760"/>
      </w:tblGrid>
      <w:tr>
        <w:trPr/>
        <w:tc>
          <w:tcPr>
            <w:tcW w:w="2198"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Facet</w:t>
            </w:r>
          </w:p>
        </w:tc>
        <w:tc>
          <w:tcPr>
            <w:tcW w:w="3402"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Our choice across the knowledge-base stages</w:t>
            </w:r>
          </w:p>
        </w:tc>
        <w:tc>
          <w:tcPr>
            <w:tcW w:w="376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Why — fits our corpus · what it costs · what would change it</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Problem statement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what these stages must achieve + success metric</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Data</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inputs, formats, splits, any labels used</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Model</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checkpoints chosen per stage</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Methods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fine-tuning / inference technique, key hyperparameters</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Design</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how the stages connect (the data contracts)</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Development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tests, config, experiment logging</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Deployment</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how indexing runs (batch, device, memory)</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r>
        <w:trPr/>
        <w:tc>
          <w:tcPr>
            <w:tcW w:w="2198"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MLOps</w:t>
            </w:r>
          </w:p>
        </w:tc>
        <w:tc>
          <w:tcPr>
            <w:tcW w:w="3402"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corpus versioning, what you'd monitor</w:t>
            </w:r>
          </w:p>
        </w:tc>
        <w:tc>
          <w:tcPr>
            <w:tcW w:w="37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why this · its cost · what would change our mind</w:t>
            </w:r>
          </w:p>
        </w:tc>
      </w:tr>
    </w:tbl>
    <w:p>
      <w:pPr>
        <w:pStyle w:val="Heading2"/>
        <w:spacing w:before="240" w:after="100"/>
        <w:rPr/>
      </w:pPr>
      <w:r>
        <w:rPr>
          <w:b/>
          <w:bCs/>
          <w:color w:val="1F3864"/>
          <w:sz w:val="26"/>
          <w:szCs w:val="26"/>
        </w:rPr>
        <w:t>Section 8 — How We Worked With AI</w:t>
      </w:r>
    </w:p>
    <w:p>
      <w:pPr>
        <w:pStyle w:val="Normal"/>
        <w:spacing w:before="0" w:after="100"/>
        <w:rPr/>
      </w:pPr>
      <w:r>
        <w:rPr/>
        <w:t xml:space="preserve">One transcript per team member. Each member submits one plain-text file named exactly </w:t>
      </w:r>
      <w:r>
        <w:rPr>
          <w:i/>
          <w:iCs/>
          <w:color w:val="595959"/>
          <w:sz w:val="18"/>
          <w:szCs w:val="18"/>
        </w:rPr>
        <w:t>&lt;their student number&gt;.txt</w:t>
      </w:r>
      <w:r>
        <w:rPr/>
        <w:t>, containing the full AI conversation behind the sections they led.</w:t>
      </w:r>
    </w:p>
    <w:tbl>
      <w:tblPr>
        <w:tblW w:w="9360" w:type="dxa"/>
        <w:jc w:val="left"/>
        <w:tblInd w:w="0" w:type="dxa"/>
        <w:tblLayout w:type="fixed"/>
        <w:tblCellMar>
          <w:top w:w="0" w:type="dxa"/>
          <w:left w:w="108" w:type="dxa"/>
          <w:bottom w:w="0" w:type="dxa"/>
          <w:right w:w="108" w:type="dxa"/>
        </w:tblCellMar>
      </w:tblPr>
      <w:tblGrid>
        <w:gridCol w:w="3399"/>
        <w:gridCol w:w="5960"/>
      </w:tblGrid>
      <w:tr>
        <w:trPr>
          <w:tblHeader w:val="true"/>
        </w:trPr>
        <w:tc>
          <w:tcPr>
            <w:tcW w:w="3399"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Each .txt file must contain</w:t>
            </w:r>
          </w:p>
        </w:tc>
        <w:tc>
          <w:tcPr>
            <w:tcW w:w="596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In this order</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Header</w:t>
            </w:r>
          </w:p>
        </w:tc>
        <w:tc>
          <w:tcPr>
            <w:tcW w:w="59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member name, student number, sections led</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The full conversation</w:t>
            </w:r>
          </w:p>
        </w:tc>
        <w:tc>
          <w:tcPr>
            <w:tcW w:w="59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every prompt and every AI reply, unedited</w:t>
            </w:r>
          </w:p>
        </w:tc>
      </w:tr>
      <w:tr>
        <w:trPr/>
        <w:tc>
          <w:tcPr>
            <w:tcW w:w="339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A short reflection</w:t>
            </w:r>
          </w:p>
        </w:tc>
        <w:tc>
          <w:tcPr>
            <w:tcW w:w="596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i/>
                <w:iCs/>
                <w:color w:val="595959"/>
                <w:sz w:val="18"/>
                <w:szCs w:val="18"/>
              </w:rPr>
              <w:t>what you accepted, changed, or rejected, and why</w:t>
            </w:r>
          </w:p>
        </w:tc>
      </w:tr>
    </w:tbl>
    <w:p>
      <w:pPr>
        <w:pStyle w:val="Heading2"/>
        <w:spacing w:before="240" w:after="100"/>
        <w:rPr/>
      </w:pPr>
      <w:r>
        <w:rPr>
          <w:b/>
          <w:bCs/>
          <w:color w:val="1F3864"/>
          <w:sz w:val="26"/>
          <w:szCs w:val="26"/>
        </w:rPr>
        <w:t>Submission — Required Folder Structure</w:t>
      </w:r>
    </w:p>
    <w:p>
      <w:pPr>
        <w:pStyle w:val="Normal"/>
        <w:spacing w:before="0" w:after="100"/>
        <w:rPr/>
      </w:pPr>
      <w:r>
        <w:rPr/>
        <w:t xml:space="preserve">The autograder enforces this exactly. ZIP named </w:t>
      </w:r>
      <w:r>
        <w:rPr>
          <w:i/>
          <w:iCs/>
          <w:color w:val="595959"/>
          <w:sz w:val="18"/>
          <w:szCs w:val="18"/>
        </w:rPr>
        <w:t>A2_&lt;your team id&gt;.zip</w:t>
      </w:r>
      <w:r>
        <w:rPr/>
        <w:t>, containing:</w:t>
      </w:r>
    </w:p>
    <w:tbl>
      <w:tblPr>
        <w:tblW w:w="9360" w:type="dxa"/>
        <w:jc w:val="left"/>
        <w:tblInd w:w="0" w:type="dxa"/>
        <w:tblLayout w:type="fixed"/>
        <w:tblCellMar>
          <w:top w:w="0" w:type="dxa"/>
          <w:left w:w="108" w:type="dxa"/>
          <w:bottom w:w="0" w:type="dxa"/>
          <w:right w:w="108" w:type="dxa"/>
        </w:tblCellMar>
      </w:tblPr>
      <w:tblGrid>
        <w:gridCol w:w="3800"/>
        <w:gridCol w:w="5559"/>
      </w:tblGrid>
      <w:tr>
        <w:trPr>
          <w:tblHeader w:val="true"/>
        </w:trPr>
        <w:tc>
          <w:tcPr>
            <w:tcW w:w="380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Path</w:t>
            </w:r>
          </w:p>
        </w:tc>
        <w:tc>
          <w:tcPr>
            <w:tcW w:w="5559"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What it is</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A2_form.docx</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this filled form</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src/doc_agent/  (ingest, vision, index)</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the implemented knowledge-base stages</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scripts/build_index.sh</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builds the vector index (edit the stub)</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notebooks/kb_demo.ipynb</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OCR quality + one retrieval example (edit the stub)</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reports/pipeline_diagram.md</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a diagram of the knowledge-base pipeline (edit the stub)</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configs/design_choices.md</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updated with Stages 1–4</w:t>
            </w:r>
          </w:p>
        </w:tc>
      </w:tr>
      <w:tr>
        <w:trPr/>
        <w:tc>
          <w:tcPr>
            <w:tcW w:w="38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transcripts/&lt;student number&gt;.txt  ×3</w:t>
            </w:r>
          </w:p>
        </w:tc>
        <w:tc>
          <w:tcPr>
            <w:tcW w:w="55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one AI-chat transcript per member</w:t>
            </w:r>
          </w:p>
        </w:tc>
      </w:tr>
    </w:tbl>
    <w:p>
      <w:pPr>
        <w:pStyle w:val="Heading2"/>
        <w:spacing w:before="240" w:after="100"/>
        <w:rPr/>
      </w:pPr>
      <w:r>
        <w:rPr>
          <w:b/>
          <w:bCs/>
          <w:color w:val="1F3864"/>
          <w:sz w:val="26"/>
          <w:szCs w:val="26"/>
        </w:rPr>
        <w:t>How You'll Be Graded (100 points)</w:t>
      </w:r>
    </w:p>
    <w:tbl>
      <w:tblPr>
        <w:tblW w:w="9360" w:type="dxa"/>
        <w:jc w:val="left"/>
        <w:tblInd w:w="0" w:type="dxa"/>
        <w:tblLayout w:type="fixed"/>
        <w:tblCellMar>
          <w:top w:w="0" w:type="dxa"/>
          <w:left w:w="108" w:type="dxa"/>
          <w:bottom w:w="0" w:type="dxa"/>
          <w:right w:w="108" w:type="dxa"/>
        </w:tblCellMar>
      </w:tblPr>
      <w:tblGrid>
        <w:gridCol w:w="7359"/>
        <w:gridCol w:w="2000"/>
      </w:tblGrid>
      <w:tr>
        <w:trPr/>
        <w:tc>
          <w:tcPr>
            <w:tcW w:w="9359" w:type="dxa"/>
            <w:gridSpan w:val="2"/>
            <w:tcBorders>
              <w:top w:val="single" w:sz="4" w:space="0" w:color="000000"/>
              <w:left w:val="single" w:sz="4" w:space="0" w:color="000000"/>
              <w:bottom w:val="single" w:sz="4" w:space="0" w:color="000000"/>
              <w:right w:val="single" w:sz="4" w:space="0" w:color="000000"/>
            </w:tcBorders>
            <w:shd w:fill="D9E1F2" w:val="clear"/>
          </w:tcPr>
          <w:p>
            <w:pPr>
              <w:pStyle w:val="Normal"/>
              <w:spacing w:before="0" w:after="60"/>
              <w:rPr/>
            </w:pPr>
            <w:r>
              <w:rPr>
                <w:b/>
                <w:bCs/>
              </w:rPr>
              <w:t xml:space="preserve">Grounding gate: </w:t>
            </w:r>
            <w:r>
              <w:rPr/>
              <w:t>every claim in the form must match your own code, index, and notebook outputs. Numbers with no notebook evidence score zero for that item.</w:t>
            </w:r>
          </w:p>
        </w:tc>
      </w:tr>
      <w:tr>
        <w:trPr/>
        <w:tc>
          <w:tcPr>
            <w:tcW w:w="7359"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What we assess</w:t>
            </w:r>
          </w:p>
        </w:tc>
        <w:tc>
          <w:tcPr>
            <w:tcW w:w="2000" w:type="dxa"/>
            <w:tcBorders>
              <w:top w:val="single" w:sz="4" w:space="0" w:color="000000"/>
              <w:left w:val="single" w:sz="4" w:space="0" w:color="000000"/>
              <w:bottom w:val="single" w:sz="4" w:space="0" w:color="000000"/>
              <w:right w:val="single" w:sz="4" w:space="0" w:color="000000"/>
            </w:tcBorders>
            <w:shd w:fill="1F3864" w:val="clear"/>
          </w:tcPr>
          <w:p>
            <w:pPr>
              <w:pStyle w:val="Normal"/>
              <w:spacing w:before="0" w:after="80"/>
              <w:rPr/>
            </w:pPr>
            <w:r>
              <w:rPr>
                <w:b/>
                <w:bCs/>
                <w:color w:val="FFFFFF"/>
              </w:rPr>
              <w:t>Points</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1 — recap accurate and consistent with A1</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5</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2 — structure and invariances identified correctly</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10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3 — options compared, with ≥1 reproduced published/pretrained method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20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4 — knowledge base built; models and parameters justified</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20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5 — real evidence: OCR quality + a working retrieval</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25</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6 — a concrete, sensible plan for A3</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5</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7 — eight-facet design table for Stages 1–4</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10</w:t>
            </w:r>
          </w:p>
        </w:tc>
      </w:tr>
      <w:tr>
        <w:trPr/>
        <w:tc>
          <w:tcPr>
            <w:tcW w:w="7359"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Section 8 + submission structure correct</w:t>
            </w:r>
          </w:p>
        </w:tc>
        <w:tc>
          <w:tcPr>
            <w:tcW w:w="2000" w:type="dxa"/>
            <w:tcBorders>
              <w:top w:val="single" w:sz="4" w:space="0" w:color="000000"/>
              <w:left w:val="single" w:sz="4" w:space="0" w:color="000000"/>
              <w:bottom w:val="single" w:sz="4" w:space="0" w:color="000000"/>
              <w:right w:val="single" w:sz="4" w:space="0" w:color="000000"/>
            </w:tcBorders>
          </w:tcPr>
          <w:p>
            <w:pPr>
              <w:pStyle w:val="Normal"/>
              <w:spacing w:before="0" w:after="80"/>
              <w:rPr/>
            </w:pPr>
            <w:r>
              <w:rPr/>
              <w:t>5</w:t>
            </w:r>
          </w:p>
        </w:tc>
      </w:tr>
    </w:tbl>
    <w:sectPr>
      <w:type w:val="nextPage"/>
      <w:pgSz w:w="12240" w:h="15840"/>
      <w:pgMar w:left="1440" w:right="1440" w:gutter="0" w:header="0" w:top="1440" w:footer="0" w:bottom="144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altName w:val="sans-serif"/>
    <w:charset w:val="01"/>
    <w:family w:val="roman"/>
    <w:pitch w:val="variable"/>
  </w:font>
  <w:font w:name="Arial">
    <w:altName w:val="sans-serif"/>
    <w:charset w:val="01"/>
    <w:family w:val="auto"/>
    <w:pitch w:val="default"/>
  </w:font>
</w:fonts>
</file>

<file path=word/settings.xml><?xml version="1.0" encoding="utf-8"?>
<w:settings xmlns:w="http://schemas.openxmlformats.org/wordprocessingml/2006/main">
  <w:zoom w:percent="2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LibreOffice/24.2.7.2$Linux_X86_64 LibreOffice_project/420$Build-2</Application>
  <AppVersion>15.0000</AppVersion>
  <Pages>7</Pages>
  <Words>1733</Words>
  <Characters>9311</Characters>
  <CharactersWithSpaces>10906</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2026-07-04T23:56:32Z</dcterms:created>
  <dc:creator>Un-named</dc:creator>
  <dc:description/>
  <dc:language>en-US</dc:language>
  <cp:lastModifiedBy/>
  <dcterms:modified xsi:type="dcterms:W3CDTF">2026-08-12T15:41:31Z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