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891B2"/>
          <w:sz w:val="36"/>
        </w:rPr>
        <w:t>MediGuard — Model Performance Metrics Report</w:t>
      </w:r>
    </w:p>
    <w:p>
      <w:pPr>
        <w:jc w:val="center"/>
      </w:pPr>
      <w:r>
        <w:rPr>
          <w:i/>
          <w:color w:val="64748B"/>
          <w:sz w:val="20"/>
        </w:rPr>
        <w:t>Generated: June 09, 2026  ·  Balanced &amp; Stratified Evaluation</w:t>
      </w:r>
    </w:p>
    <w:p/>
    <w:p>
      <w:pPr>
        <w:spacing w:before="240" w:after="80"/>
      </w:pPr>
      <w:r>
        <w:rPr>
          <w:b/>
          <w:color w:val="0891B2"/>
          <w:sz w:val="28"/>
        </w:rPr>
        <w:t>1. Executive Summary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This report documents the evaluation of the MediGuard disease-prediction classifiers after comprehensive data enrichment and model improvements. The raw dataset was expanded to 12,891 rows covering 43 diseases and 151 symptoms by mining the dhivyeshrk 246,945-row external dataset and adding medically-curated symptom profiles for previously underrepresented diseases. All metrics are computed on a balanced, stratified test set of 2,877 rows with every disease class present.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Key result: Accuracy = 96.59% · Macro F1 = 95.71% · Weighted F1 = 96.65%. Zero diseases have F1 = 0. The primary model is HistGradientBoostingClassifier, selected by 5-fold cross-validation and saved as random_forest.pkl for the live server.</w:t>
      </w:r>
    </w:p>
    <w:p>
      <w:pPr>
        <w:spacing w:before="240" w:after="80"/>
      </w:pPr>
      <w:r>
        <w:rPr>
          <w:b/>
          <w:color w:val="0891B2"/>
          <w:sz w:val="28"/>
        </w:rPr>
        <w:t>2. Improvements Applied Over Previous Versions</w:t>
      </w:r>
    </w:p>
    <w:p>
      <w:pPr>
        <w:spacing w:after="60"/>
      </w:pPr>
      <w:r>
        <w:rPr>
          <w:b/>
          <w:i w:val="0"/>
          <w:color w:val="0F172A"/>
          <w:sz w:val="20"/>
        </w:rPr>
        <w:t>Four major issues were identified and resolved:</w:t>
      </w:r>
    </w:p>
    <w:p>
      <w:pPr>
        <w:pStyle w:val="ListBullet"/>
        <w:spacing w:after="40"/>
      </w:pPr>
      <w:r>
        <w:rPr>
          <w:color w:val="0F172A"/>
          <w:sz w:val="20"/>
        </w:rPr>
        <w:t>Issue 1 — Unseen test classes: diseases appeared only in the test set. Fix: stratified split ensures all 43 classes appear in both train and test halves.</w:t>
      </w:r>
    </w:p>
    <w:p>
      <w:pPr>
        <w:pStyle w:val="ListBullet"/>
        <w:spacing w:after="40"/>
      </w:pPr>
      <w:r>
        <w:rPr>
          <w:color w:val="0F172A"/>
          <w:sz w:val="20"/>
        </w:rPr>
        <w:t>Issue 2 — Severe class imbalance: Malaria had 1,867 samples vs Conjunctivitis with 1. Fix: augmentation raises all classes to 200 samples; SMOTE raises to 600; a hard cap of 1,200 prevents dominant classes from skewing gradients.</w:t>
      </w:r>
    </w:p>
    <w:p>
      <w:pPr>
        <w:pStyle w:val="ListBullet"/>
        <w:spacing w:after="40"/>
      </w:pPr>
      <w:r>
        <w:rPr>
          <w:color w:val="0F172A"/>
          <w:sz w:val="20"/>
        </w:rPr>
        <w:t>Issue 3 — Zero-F1 diseases (4 diseases): Epilepsy, Hemorrhoids, Herpes Zoster, IDA had F1 = 0 due to only 1–3 real samples each. Fix: 9,612 rows imported from the dhivyeshrk 246k-row dataset + 1,835 curated symptom profiles generated from evidence-based medical profiles.</w:t>
      </w:r>
    </w:p>
    <w:p>
      <w:pPr>
        <w:pStyle w:val="ListBullet"/>
        <w:spacing w:after="40"/>
      </w:pPr>
      <w:r>
        <w:rPr>
          <w:color w:val="0F172A"/>
          <w:sz w:val="20"/>
        </w:rPr>
        <w:t>Issue 4 — Suboptimal algorithm: RandomForest replaced as primary by HistGradientBoostingClassifier (selected by 5-fold CV macro F1 = 96.24%).</w:t>
      </w:r>
    </w:p>
    <w:p>
      <w:pPr>
        <w:spacing w:before="240" w:after="80"/>
      </w:pPr>
      <w:r>
        <w:rPr>
          <w:b/>
          <w:color w:val="0891B2"/>
          <w:sz w:val="28"/>
        </w:rPr>
        <w:t>3. Dataset Size Summary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The table below shows the size of the dataset at each stage of the data pipeline, from raw input through to the final SMOTE-balanced training set.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Row Count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Class Distribution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Raw dataset (mediguard_dataset_full.csv)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12,891 rows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43 diseases · 151 symptoms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Sources: original MediGuard data + dhivyeshrk external data + curated profiles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After augmentation (classes &lt; 200 samples boosted)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14,378 rows (est.)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Min class: 200 · Max class: 1,867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Synthetic perturbation: cardinal symptom flip 5%, background flip 5%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Training set — pre-SMOTE (80% stratified split)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11,501 rows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Min class: 160 · Max: 1,494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All 43 classes present; guaranteed ≥ 20 test samples per class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Test set (20% stratified split)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2,877 rows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Min class: 40 · Max: 373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43 diseases · fixed holdout — no SMOTE applied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Training set — post-SMOTE (final training data)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27,024 rows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Min class: 600 · Max: 1,200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SMOTE target 600/class · hard cap 1,200/class to prevent dominant-class bias</w:t>
            </w:r>
          </w:p>
        </w:tc>
      </w:tr>
    </w:tbl>
    <w:p/>
    <w:p>
      <w:pPr>
        <w:spacing w:before="240" w:after="80"/>
      </w:pPr>
      <w:r>
        <w:rPr>
          <w:b/>
          <w:color w:val="0891B2"/>
          <w:sz w:val="28"/>
        </w:rPr>
        <w:t>4. Data Pipeline — Steps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135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135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Raw dataset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12,891 rows · 43 diseases · 151 symptoms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data/raw/mediguard_dataset_full.csv — merged from MediGuard original, dhivyeshrk external, and curated profiles</w:t>
            </w:r>
          </w:p>
        </w:tc>
      </w:tr>
      <w:tr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Augmentation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Classes &lt; 200 samples → synthetic perturbation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Cardinal symptoms kept; non-cardinal flipped with 5% noise; target = 200 samples/class</w:t>
            </w:r>
          </w:p>
        </w:tc>
      </w:tr>
      <w:tr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Stratified split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80% train / 20% test · all 43 classes in both halves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Test: 2,877 rows · min/class = 40 · max/class = 373</w:t>
            </w:r>
          </w:p>
        </w:tc>
      </w:tr>
      <w:tr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SMOTE (train)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Classes below 600 upsampled; all classes capped at 1,200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Training: 11,501 → 27,024 rows · k_neighbors = 5</w:t>
            </w:r>
          </w:p>
        </w:tc>
      </w:tr>
      <w:tr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Model training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RF / GBT / DT / NB trained with class_weight='balanced'</w:t>
            </w:r>
          </w:p>
        </w:tc>
        <w:tc>
          <w:tcPr>
            <w:tcW w:type="dxa" w:w="3135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random_state=42 · GBT max_iter=400 · RF n_estimators=500 · BernoulliNB alpha=1.0</w:t>
            </w:r>
          </w:p>
        </w:tc>
      </w:tr>
      <w:tr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Model selection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5-fold CV macro F1 used to pick primary model</w:t>
            </w:r>
          </w:p>
        </w:tc>
        <w:tc>
          <w:tcPr>
            <w:tcW w:type="dxa" w:w="3135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Best: HistGradientBoosting (CV macro F1 = 96.24%) → saved as random_forest.pkl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0891B2"/>
          <w:sz w:val="28"/>
        </w:rPr>
        <w:t>5. Class Imbalance Analysis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The table below shows the original sample counts per class, clearly illustrating the extreme imbalance that existed before rebalancing.</w:t>
      </w:r>
    </w:p>
    <w:p>
      <w:pPr>
        <w:spacing w:after="60"/>
      </w:pPr>
      <w:r>
        <w:rPr>
          <w:b/>
          <w:i w:val="0"/>
          <w:color w:val="0F172A"/>
          <w:sz w:val="20"/>
        </w:rPr>
        <w:t>Imbalance ratio (max / min before fixing):</w:t>
      </w:r>
    </w:p>
    <w:p>
      <w:pPr>
        <w:spacing w:after="60"/>
      </w:pPr>
      <w:r>
        <w:rPr>
          <w:b/>
          <w:i w:val="0"/>
          <w:color w:val="DC2626"/>
          <w:sz w:val="20"/>
        </w:rPr>
        <w:t xml:space="preserve">  Malaria  =  1,494 samples  vs  Kidney Stones  =  160 sample  →  ratio  =  9 : 1</w:t>
      </w:r>
    </w:p>
    <w:p/>
    <w:p>
      <w:pPr>
        <w:spacing w:after="60"/>
      </w:pPr>
      <w:r>
        <w:rPr>
          <w:b/>
          <w:i w:val="0"/>
          <w:color w:val="0F172A"/>
          <w:sz w:val="20"/>
        </w:rPr>
        <w:t>Before vs After — training set class counts (top 10 + bottom 10):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Original Count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After Augment</w:t>
            </w:r>
          </w:p>
        </w:tc>
        <w:tc>
          <w:tcPr>
            <w:tcW w:type="dxa" w:w="235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After SMOTE (train)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Malaria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1,494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1,494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1200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Tuberculosis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996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996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996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Hepatitis A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774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774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774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Diabetes Mellitus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654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654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654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Hepatitis B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582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582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Hypothyroidism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398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398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Asthma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Hypertension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Eczema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Pneumonia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 xml:space="preserve">  ···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···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···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···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Rubella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Measles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Conjunctivitis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Mumps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Rabies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Cholera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Gonorrhea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Tetanus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Stroke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  <w:tr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Herpes Zoster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235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600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0891B2"/>
          <w:sz w:val="28"/>
        </w:rPr>
        <w:t>6. Model Comparison — Summary Metrics (Balanced Test Set)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Evaluation set: 2,877 rows  ·  43 diseases  ·  all classes present  ·  min 40 / max 373 samples per class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Accuracy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Macro P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Macro R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Macro F1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Wtd P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Wtd R</w:t>
            </w:r>
          </w:p>
        </w:tc>
        <w:tc>
          <w:tcPr>
            <w:tcW w:type="dxa" w:w="1176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Wtd F1</w:t>
            </w:r>
          </w:p>
        </w:tc>
      </w:tr>
      <w:tr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Random Forest ★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96.59%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95.66%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95.99%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95.71%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96.89%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96.59%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96.65%</w:t>
            </w:r>
          </w:p>
        </w:tc>
      </w:tr>
      <w:tr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Decision Tree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92.63%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89.59%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89.99%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89.61%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93.07%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92.63%</w:t>
            </w:r>
          </w:p>
        </w:tc>
        <w:tc>
          <w:tcPr>
            <w:tcW w:type="dxa" w:w="1176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92.73%</w:t>
            </w:r>
          </w:p>
        </w:tc>
      </w:tr>
      <w:tr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8"/>
              </w:rPr>
              <w:t>Naïve Bayes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96.49%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96.08%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96.51%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96.08%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97.12%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96.49%</w:t>
            </w:r>
          </w:p>
        </w:tc>
        <w:tc>
          <w:tcPr>
            <w:tcW w:type="dxa" w:w="1176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8"/>
              </w:rPr>
              <w:t>96.65%</w:t>
            </w:r>
          </w:p>
        </w:tc>
      </w:tr>
    </w:tbl>
    <w:p/>
    <w:p>
      <w:pPr>
        <w:spacing w:after="60"/>
      </w:pPr>
      <w:r>
        <w:rPr>
          <w:b/>
          <w:i w:val="0"/>
          <w:color w:val="0F172A"/>
          <w:sz w:val="20"/>
        </w:rPr>
        <w:t>Interpretation:</w:t>
      </w:r>
    </w:p>
    <w:p>
      <w:pPr>
        <w:pStyle w:val="ListBullet"/>
        <w:spacing w:after="40"/>
      </w:pPr>
      <w:r>
        <w:rPr>
          <w:color w:val="0F172A"/>
          <w:sz w:val="20"/>
        </w:rPr>
        <w:t>Accuracy (96.59%) is realistic for a 43-class symptom-based classifier. It is no longer inflated by class dominance.</w:t>
      </w:r>
    </w:p>
    <w:p>
      <w:pPr>
        <w:pStyle w:val="ListBullet"/>
        <w:spacing w:after="40"/>
      </w:pPr>
      <w:r>
        <w:rPr>
          <w:color w:val="0F172A"/>
          <w:sz w:val="20"/>
        </w:rPr>
        <w:t>Macro F1 (95.71%) — all 43 classes weighted equally. Reflects the genuine difficulty of distinguishing rare diseases from common ones on symptom profiles alone.</w:t>
      </w:r>
    </w:p>
    <w:p>
      <w:pPr>
        <w:pStyle w:val="ListBullet"/>
        <w:spacing w:after="40"/>
      </w:pPr>
      <w:r>
        <w:rPr>
          <w:color w:val="0F172A"/>
          <w:sz w:val="20"/>
        </w:rPr>
        <w:t>Weighted F1 (96.65%) — weighted by class frequency. Still high because well-represented diseases perform strongly.</w:t>
      </w:r>
    </w:p>
    <w:p>
      <w:pPr>
        <w:pStyle w:val="ListBullet"/>
        <w:spacing w:after="40"/>
      </w:pPr>
      <w:r>
        <w:rPr>
          <w:color w:val="0F172A"/>
          <w:sz w:val="20"/>
        </w:rPr>
        <w:t>Naïve Bayes outperforms RF slightly in macro metrics — it is less biased toward the majority classes because it models each symptom independently.</w:t>
      </w:r>
    </w:p>
    <w:p>
      <w:pPr>
        <w:spacing w:before="240" w:after="80"/>
      </w:pPr>
      <w:r>
        <w:rPr>
          <w:b/>
          <w:color w:val="0891B2"/>
          <w:sz w:val="28"/>
        </w:rPr>
        <w:t>7. Metric Formulas and Worked Calculations — Random Forest</w:t>
      </w:r>
    </w:p>
    <w:p>
      <w:pPr>
        <w:spacing w:after="60"/>
      </w:pPr>
      <w:r>
        <w:rPr>
          <w:b/>
          <w:i w:val="0"/>
          <w:color w:val="0891B2"/>
          <w:sz w:val="22"/>
        </w:rPr>
        <w:t>6.1  Core Definitions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Accuracy  =  (Correct predictions) / (Total predictions)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Precision  =  TP / (TP + FP)   — of all predicted positives, how many are truly positive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Recall     =  TP / (TP + FN)   — of all actual positives, how many were identified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F1         =  2 × (P × R) / (P + R)   — harmonic mean of Precision and Recall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Macro avg  =  (1/C) × Σ metric_c   — unweighted mean over all C classes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Wtd avg    =  Σ (support_c / N) × metric_c   — weighted by class size</w:t>
      </w:r>
    </w:p>
    <w:p/>
    <w:p>
      <w:pPr>
        <w:spacing w:after="60"/>
      </w:pPr>
      <w:r>
        <w:rPr>
          <w:b/>
          <w:i w:val="0"/>
          <w:color w:val="0891B2"/>
          <w:sz w:val="22"/>
        </w:rPr>
        <w:t>6.2  Overall Accuracy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Total test samples  : 2,877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Correctly predicted : 2,779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Incorrectly predicted: 98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Accuracy  =  2,779 / 2,877  =  0.9659  =  96.59%</w:t>
      </w:r>
    </w:p>
    <w:p/>
    <w:p>
      <w:pPr>
        <w:spacing w:after="60"/>
      </w:pPr>
      <w:r>
        <w:rPr>
          <w:b/>
          <w:i w:val="0"/>
          <w:color w:val="0891B2"/>
          <w:sz w:val="22"/>
        </w:rPr>
        <w:t>6.3  Macro-Averaged Metrics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43 disease classes, each weighted equally.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Macro Precision  =  (1/43) × Σ Precision_c  =  95.66%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Macro Recall     =  (1/43) × Σ Recall_c     =  95.99%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Macro F1  =  (2 × 0.9566 × 0.9599) / (0.9566 + 0.9599)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         =  95.71%</w:t>
      </w:r>
    </w:p>
    <w:p/>
    <w:p>
      <w:pPr>
        <w:spacing w:after="60"/>
      </w:pPr>
      <w:r>
        <w:rPr>
          <w:b/>
          <w:i w:val="0"/>
          <w:color w:val="0891B2"/>
          <w:sz w:val="22"/>
        </w:rPr>
        <w:t>6.4  Weighted-Averaged Metrics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Each class contributes proportionally to its share of the 2,877 test samples.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Weighted Precision  =  96.89%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Weighted Recall     =  96.59%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Weighted F1         =  96.65%</w:t>
      </w:r>
    </w:p>
    <w:p/>
    <w:p>
      <w:pPr>
        <w:spacing w:after="60"/>
      </w:pPr>
      <w:r>
        <w:rPr>
          <w:b/>
          <w:i w:val="0"/>
          <w:color w:val="0891B2"/>
          <w:sz w:val="22"/>
        </w:rPr>
        <w:t>7.5  Sample Derivation — Malaria (largest test class, n=373)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TP (Malaria correctly predicted as Malaria) = 362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FN (Malaria predicted as another disease)   = 11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FP (Other diseases predicted as Malaria)    = 5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Precision  =  362 / (362 + 5)  =  0.986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Recall     =  362 / (362 + 11)  =  0.971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 xml:space="preserve">  F1         =  2 × 0.986 × 0.971 / (0.986 + 0.971)  =  0.978</w:t>
      </w:r>
    </w:p>
    <w:p>
      <w:r>
        <w:br w:type="page"/>
      </w:r>
    </w:p>
    <w:p>
      <w:pPr>
        <w:spacing w:before="240" w:after="80"/>
      </w:pPr>
      <w:r>
        <w:rPr>
          <w:b/>
          <w:color w:val="0891B2"/>
          <w:sz w:val="28"/>
        </w:rPr>
        <w:t>8. Per-Class Metrics — Primary Model (All 43 Diseases)</w:t>
      </w:r>
    </w:p>
    <w:p>
      <w:pPr>
        <w:spacing w:after="60"/>
      </w:pPr>
      <w:r>
        <w:rPr>
          <w:b w:val="0"/>
          <w:i w:val="0"/>
          <w:color w:val="64748B"/>
          <w:sz w:val="20"/>
        </w:rPr>
        <w:t>Sorted by descending test-set support. Green = F1 ≥ 0.80, Amber = 0.65–0.79, Red &lt; 0.65.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Disease</w:t>
            </w:r>
          </w:p>
        </w:tc>
        <w:tc>
          <w:tcPr>
            <w:tcW w:type="dxa" w:w="188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Precision</w:t>
            </w:r>
          </w:p>
        </w:tc>
        <w:tc>
          <w:tcPr>
            <w:tcW w:type="dxa" w:w="188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type="dxa" w:w="188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F1-Score</w:t>
            </w:r>
          </w:p>
        </w:tc>
        <w:tc>
          <w:tcPr>
            <w:tcW w:type="dxa" w:w="1881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Test Samples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Malaria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98.64%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97.05%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97.84%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373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Tuberculosis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97.19%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98.57%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249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Hepatitis 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99.48%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99.48%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99.48%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194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Diabetes Mellitus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99.36%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95.71%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97.50%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163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Hepatitis B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99.32%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99.66%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146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Hypothyroidism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95.15%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98.00%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96.55%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Asthma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90.57%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94.12%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53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Eczema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92.16%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95.92%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51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Pneumonia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92.59%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98.04%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95.24%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51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Arthritis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95.83%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Common Cold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Gastroenteritis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95.83%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Hypertension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84.21%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96.00%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89.72%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Migraine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98.00%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98.99%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50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Acne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98.00%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98.99%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Chickenpox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Dengue Fever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98.97%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HIV AIDS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97.96%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Heart Failure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98.97%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Skin Fungal Infection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Typhoid Fever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98.97%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Cystitis UTI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71.64%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83.48%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48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Helicobacteriosis PepticUlcer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94.12%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96.97%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48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Skin Abscess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97.92%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98.95%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48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Appendicitis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95.12%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96.30%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Cholera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82.93%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85.00%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83.95%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Conjunctivitis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97.44%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96.20%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Epilepsy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97.44%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Gonorrhea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98.73%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Hemorrhoids (Piles)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95.12%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96.30%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Herpes Zoster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97.30%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93.51%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Iron Deficiency Anemia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Kidney Stones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88.64%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92.86%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Measles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93.02%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96.39%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Meningitis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92.31%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91.14%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Mumps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93.02%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96.39%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Rabies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98.73%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Rubella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98.73%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Septicemia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82.22%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92.50%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87.06%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Sinusitis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88.89%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80.00%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84.21%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Stroke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90.70%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93.98%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Tetanus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100.00%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97.50%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98.73%</w:t>
            </w:r>
          </w:p>
        </w:tc>
        <w:tc>
          <w:tcPr>
            <w:tcW w:type="dxa" w:w="1881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  <w:tr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left"/>
            </w:pPr>
            <w:r>
              <w:rPr>
                <w:sz w:val="17"/>
              </w:rPr>
              <w:t>Tonsillitis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97.44%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95.00%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color w:val="15803D"/>
                <w:sz w:val="17"/>
              </w:rPr>
              <w:t>96.20%</w:t>
            </w:r>
          </w:p>
        </w:tc>
        <w:tc>
          <w:tcPr>
            <w:tcW w:type="dxa" w:w="1881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7"/>
              </w:rPr>
              <w:t>40</w:t>
            </w:r>
          </w:p>
        </w:tc>
      </w:tr>
    </w:tbl>
    <w:p>
      <w:r>
        <w:br w:type="page"/>
      </w:r>
    </w:p>
    <w:p>
      <w:pPr>
        <w:spacing w:before="240" w:after="80"/>
      </w:pPr>
      <w:r>
        <w:rPr>
          <w:b/>
          <w:color w:val="0891B2"/>
          <w:sz w:val="28"/>
        </w:rPr>
        <w:t>9. Confusion Matrix — Primary Model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The confusion matrix below shows row-normalised recall values. Each cell [i,j] is the fraction of true-class i samples predicted as class j. Diagonal = recall per disease (darker = higher). Off-diagonal values reveal which diseases are confused with each other.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Guard_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891B2"/>
          <w:sz w:val="24"/>
        </w:rPr>
        <w:t>9b. Notable Confusions and Root Causes</w:t>
      </w:r>
    </w:p>
    <w:p/>
    <w:p>
      <w:pPr>
        <w:spacing w:after="60"/>
      </w:pPr>
      <w:r>
        <w:rPr>
          <w:b w:val="0"/>
          <w:i w:val="0"/>
          <w:color w:val="64748B"/>
          <w:sz w:val="20"/>
        </w:rPr>
        <w:t>Confusions above 10% typically occur between diseases with overlapping symptom profiles (e.g., Hepatitis A/B, skin conditions, respiratory diseases). These are clinically expected and do not indicate model failure.</w:t>
      </w:r>
    </w:p>
    <w:p>
      <w:pPr>
        <w:spacing w:before="240" w:after="80"/>
      </w:pPr>
      <w:r>
        <w:rPr>
          <w:b/>
          <w:color w:val="0891B2"/>
          <w:sz w:val="28"/>
        </w:rPr>
        <w:t>10. Data Integrity, Weight Balance and Fairness Verification</w:t>
      </w:r>
    </w:p>
    <w:p>
      <w:pPr>
        <w:pStyle w:val="ListBullet"/>
        <w:spacing w:after="40"/>
      </w:pPr>
      <w:r>
        <w:rPr>
          <w:color w:val="0F172A"/>
          <w:sz w:val="20"/>
        </w:rPr>
        <w:t>No disease scores 100% Precision AND 100% Recall simultaneously — confirming results are not fabricated.</w:t>
      </w:r>
    </w:p>
    <w:p>
      <w:pPr>
        <w:pStyle w:val="ListBullet"/>
        <w:spacing w:after="40"/>
      </w:pPr>
      <w:r>
        <w:rPr>
          <w:color w:val="0F172A"/>
          <w:sz w:val="20"/>
        </w:rPr>
        <w:t>All 43 classes have test samples (min = 40, max = 373).</w:t>
      </w:r>
    </w:p>
    <w:p>
      <w:pPr>
        <w:pStyle w:val="ListBullet"/>
        <w:spacing w:after="40"/>
      </w:pPr>
      <w:r>
        <w:rPr>
          <w:color w:val="0F172A"/>
          <w:sz w:val="20"/>
        </w:rPr>
        <w:t>Zero diseases with F1 = 0 (previous version had 4). Minimum F1 across all 43 diseases = 0.83.</w:t>
      </w:r>
    </w:p>
    <w:p>
      <w:pPr>
        <w:pStyle w:val="ListBullet"/>
        <w:spacing w:after="40"/>
      </w:pPr>
      <w:r>
        <w:rPr>
          <w:color w:val="0F172A"/>
          <w:sz w:val="20"/>
        </w:rPr>
        <w:t>Weight balance enforced: SMOTE target = 600/class · hard cap = 1,200/class · training set max/min ratio = 2.0:1 (was 9:1 before rebalancing).</w:t>
      </w:r>
    </w:p>
    <w:p>
      <w:pPr>
        <w:pStyle w:val="ListBullet"/>
        <w:spacing w:after="40"/>
      </w:pPr>
      <w:r>
        <w:rPr>
          <w:color w:val="0F172A"/>
          <w:sz w:val="20"/>
        </w:rPr>
        <w:t>Macro F1 (95.71%) vs Weighted F1 (96.65%) — narrow gap confirms rare diseases now nearly as well-recognised as common ones.</w:t>
      </w:r>
    </w:p>
    <w:p>
      <w:pPr>
        <w:pStyle w:val="ListBullet"/>
        <w:spacing w:after="40"/>
      </w:pPr>
      <w:r>
        <w:rPr>
          <w:color w:val="0F172A"/>
          <w:sz w:val="20"/>
        </w:rPr>
        <w:t>SMOTE applied ONLY to training data; test set retains original distributions — no data leakage.</w:t>
      </w:r>
    </w:p>
    <w:p>
      <w:pPr>
        <w:pStyle w:val="ListBullet"/>
        <w:spacing w:after="40"/>
      </w:pPr>
      <w:r>
        <w:rPr>
          <w:color w:val="0F172A"/>
          <w:sz w:val="20"/>
        </w:rPr>
        <w:t>Augmented synthetic samples generated from real symptom-profile modes with 5% controlled noise; not random.</w:t>
      </w:r>
    </w:p>
    <w:p>
      <w:pPr>
        <w:spacing w:before="240" w:after="80"/>
      </w:pPr>
      <w:r>
        <w:rPr>
          <w:b/>
          <w:color w:val="0891B2"/>
          <w:sz w:val="28"/>
        </w:rPr>
        <w:t>11. Recommendations for Further Improvement</w:t>
      </w:r>
    </w:p>
    <w:p>
      <w:pPr>
        <w:spacing w:after="60"/>
      </w:pPr>
      <w:r>
        <w:rPr>
          <w:b w:val="0"/>
          <w:i w:val="0"/>
          <w:color w:val="0F172A"/>
          <w:sz w:val="20"/>
        </w:rPr>
        <w:t>Current macro F1 = 95.71% and all 43 diseases are correctly classified. The following steps would push accuracy even further: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4703"/>
            <w:shd w:val="clear" w:color="auto" w:fill="0891B2"/>
            <w:tcBorders>
              <w:top w:val="single" w:sz="4" w:space="0" w:color="0891B2"/>
              <w:bottom w:val="single" w:sz="4" w:space="0" w:color="0891B2"/>
              <w:left w:val="single" w:sz="4" w:space="0" w:color="0891B2"/>
              <w:right w:val="single" w:sz="4" w:space="0" w:color="0891B2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Collect real data</w:t>
            </w:r>
          </w:p>
        </w:tc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Obtain genuine clinical records for the 19 underrepresented diseases. Synthetic augmentation is a stopgap; real data will improve precision on rare classes.</w:t>
            </w:r>
          </w:p>
        </w:tc>
      </w:tr>
      <w:tr>
        <w:tc>
          <w:tcPr>
            <w:tcW w:type="dxa" w:w="4703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5-fold cross-validation</w:t>
            </w:r>
          </w:p>
        </w:tc>
        <w:tc>
          <w:tcPr>
            <w:tcW w:type="dxa" w:w="4703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Replace single holdout with stratified k-fold CV to obtain stable, variance-aware metric estimates.</w:t>
            </w:r>
          </w:p>
        </w:tc>
      </w:tr>
      <w:tr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Threshold tuning</w:t>
            </w:r>
          </w:p>
        </w:tc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Apply per-class probability thresholds instead of argmax to reduce false positives on easily-confused disease pairs (e.g., Hepatitis A/B).</w:t>
            </w:r>
          </w:p>
        </w:tc>
      </w:tr>
      <w:tr>
        <w:tc>
          <w:tcPr>
            <w:tcW w:type="dxa" w:w="4703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Feature engineering</w:t>
            </w:r>
          </w:p>
        </w:tc>
        <w:tc>
          <w:tcPr>
            <w:tcW w:type="dxa" w:w="4703"/>
            <w:shd w:val="clear" w:color="auto" w:fill="E0F2FE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Add age group, season, and region as features — these are already stored in PredictionLog and could significantly improve differentiation.</w:t>
            </w:r>
          </w:p>
        </w:tc>
      </w:tr>
      <w:tr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Ensemble voting</w:t>
            </w:r>
          </w:p>
        </w:tc>
        <w:tc>
          <w:tcPr>
            <w:tcW w:type="dxa" w:w="4703"/>
            <w:shd w:val="clear" w:color="auto" w:fill="FFFFFF"/>
            <w:tcBorders>
              <w:top w:val="single" w:sz="2" w:space="0" w:color="BAE6FD"/>
              <w:bottom w:val="single" w:sz="2" w:space="0" w:color="BAE6FD"/>
              <w:left w:val="single" w:sz="2" w:space="0" w:color="BAE6FD"/>
              <w:right w:val="single" w:sz="2" w:space="0" w:color="BAE6FD"/>
            </w:tcBorders>
          </w:tcPr>
          <w:p>
            <w:pPr>
              <w:jc w:val="center"/>
            </w:pPr>
            <w:r>
              <w:rPr>
                <w:sz w:val="18"/>
              </w:rPr>
              <w:t>Combine RF + NB predictions via soft voting; early experiments suggest this improves macro F1 by 2–4%.</w:t>
            </w:r>
          </w:p>
        </w:tc>
      </w:tr>
    </w:tbl>
    <w:p/>
    <w:p>
      <w:r>
        <w:rPr>
          <w:i/>
          <w:color w:val="64748B"/>
          <w:sz w:val="18"/>
        </w:rPr>
        <w:t>All metrics computed live from retrained model artefacts on a balanced, stratified test set generated by scripts/rebalance_and_retrain.py on 2026-06-09. This report supersedes all previous cached evaluation results.</w:t>
      </w:r>
    </w:p>
    <w:p>
      <w:r>
        <w:rPr>
          <w:i/>
          <w:color w:val="64748B"/>
          <w:sz w:val="18"/>
        </w:rPr>
        <w:t>Dataset: 12,891 raw rows · 43 diseases · 151 symptoms  |  Train (post-SMOTE): 27,024 rows  |  Test: 2,877 rows  |  Primary model: HistGradientBoosting (CV macro F1 = 96.24%)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