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Quillmarsh Mutual Assurance - Home Insurance Policy</w:t>
      </w:r>
    </w:p>
    <w:p>
      <w:r>
        <w:t>Policy Number: POL-004821</w:t>
      </w:r>
    </w:p>
    <w:p>
      <w:r>
        <w:t>Policyholder: Priya Wexford</w:t>
      </w:r>
    </w:p>
    <w:p>
      <w:r>
        <w:t>Property Address: 42 Windmere Lane, Rivermouth RM1 4QS</w:t>
      </w:r>
    </w:p>
    <w:p>
      <w:r>
        <w:t>This policy provides cover for the property and contents named above, subject to the limits and exclusions set out in the schedule below.</w:t>
      </w:r>
    </w:p>
    <w:p>
      <w:pPr>
        <w:pStyle w:val="Heading2"/>
      </w:pPr>
      <w:r>
        <w:t>Coverage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Coverage Type</w:t>
            </w:r>
          </w:p>
        </w:tc>
        <w:tc>
          <w:tcPr>
            <w:tcW w:type="dxa" w:w="4320"/>
          </w:tcPr>
          <w:p>
            <w:r>
              <w:t>Limit</w:t>
            </w:r>
          </w:p>
        </w:tc>
      </w:tr>
      <w:tr>
        <w:tc>
          <w:tcPr>
            <w:tcW w:type="dxa" w:w="4320"/>
          </w:tcPr>
          <w:p>
            <w:r>
              <w:t>Buildings</w:t>
            </w:r>
          </w:p>
        </w:tc>
        <w:tc>
          <w:tcPr>
            <w:tcW w:type="dxa" w:w="4320"/>
          </w:tcPr>
          <w:p>
            <w:r>
              <w:t>250,000.00</w:t>
            </w:r>
          </w:p>
        </w:tc>
      </w:tr>
      <w:tr>
        <w:tc>
          <w:tcPr>
            <w:tcW w:type="dxa" w:w="4320"/>
          </w:tcPr>
          <w:p>
            <w:r>
              <w:t>Contents</w:t>
            </w:r>
          </w:p>
        </w:tc>
        <w:tc>
          <w:tcPr>
            <w:tcW w:type="dxa" w:w="4320"/>
          </w:tcPr>
          <w:p>
            <w:r>
              <w:t>60,000.00</w:t>
            </w:r>
          </w:p>
        </w:tc>
      </w:tr>
      <w:tr>
        <w:tc>
          <w:tcPr>
            <w:tcW w:type="dxa" w:w="4320"/>
          </w:tcPr>
          <w:p>
            <w:r>
              <w:t>Accidental Water Damage</w:t>
            </w:r>
          </w:p>
        </w:tc>
        <w:tc>
          <w:tcPr>
            <w:tcW w:type="dxa" w:w="4320"/>
          </w:tcPr>
          <w:p>
            <w:r>
              <w:t>25,000.00</w:t>
            </w:r>
          </w:p>
        </w:tc>
      </w:tr>
      <w:tr>
        <w:tc>
          <w:tcPr>
            <w:tcW w:type="dxa" w:w="4320"/>
          </w:tcPr>
          <w:p>
            <w:r>
              <w:t>Alternative Accommodation</w:t>
            </w:r>
          </w:p>
        </w:tc>
        <w:tc>
          <w:tcPr>
            <w:tcW w:type="dxa" w:w="4320"/>
          </w:tcPr>
          <w:p>
            <w:r>
              <w:t>10,000.00</w:t>
            </w:r>
          </w:p>
        </w:tc>
      </w:tr>
    </w:tbl>
    <w:p>
      <w:pPr>
        <w:pStyle w:val="Heading2"/>
      </w:pPr>
      <w:r>
        <w:t>General Conditions</w:t>
      </w:r>
    </w:p>
    <w:p>
      <w:r>
        <w:t>The policyholder must notify the insurer of any incident within 14 days of it occurring. Claims are assessed against the coverage schedule above.</w:t>
      </w:r>
    </w:p>
    <w:p>
      <w:r>
        <w:t>Policy period: 2026-01-01 to 2026-12-31.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