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Wexford</w:t>
      </w:r>
    </w:p>
    <w:p>
      <w:r>
        <w:t>42 Windmere Lane, Rivermouth RM1 4QS</w:t>
      </w:r>
    </w:p>
    <w:p>
      <w:r>
        <w:t>2026-07-02</w:t>
      </w:r>
    </w:p>
    <w:p/>
    <w:p>
      <w:r>
        <w:t>Re: Claim CLM-2026-00931 - Request for Update</w:t>
      </w:r>
    </w:p>
    <w:p/>
    <w:p>
      <w:r>
        <w:t>Dear Quillmarsh Mutual Assurance Claims Team,</w:t>
      </w:r>
    </w:p>
    <w:p>
      <w:r>
        <w:t>I am writing regarding my claim, reference CLM-2026-00931, filed on 2026-06-10 under policy POL-004821. It has now been several weeks since I reported the water damage to my kitchen, and I have not received any update on the assessment.</w:t>
      </w:r>
    </w:p>
    <w:p>
      <w:r>
        <w:t>I would appreciate a call back this week with a status update, and an indication of when the repair estimate will be reviewed. My contact details are on file.</w:t>
      </w:r>
    </w:p>
    <w:p>
      <w:r>
        <w:t>Yours sincerely,</w:t>
      </w:r>
    </w:p>
    <w:p>
      <w:r>
        <w:t>Priya Wexford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