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20"/>
        <w:jc w:val="left"/>
      </w:pPr>
      <w:r>
        <w:rPr>
          <w:rFonts w:ascii="Arial" w:hAnsi="Arial"/>
          <w:b/>
          <w:color w:val="17365D"/>
          <w:sz w:val="36"/>
        </w:rPr>
        <w:t>NORTHWIND HARBOR INSURANCE</w:t>
      </w:r>
    </w:p>
    <w:p>
      <w:pPr>
        <w:spacing w:after="200"/>
      </w:pPr>
      <w:r>
        <w:rPr>
          <w:rFonts w:ascii="Arial" w:hAnsi="Arial"/>
          <w:color w:val="667085"/>
          <w:sz w:val="16"/>
        </w:rPr>
        <w:t>88 Lantern Quay, Caldrin, Elandor | hello@example.com</w:t>
      </w:r>
    </w:p>
    <w:p>
      <w:pPr>
        <w:spacing w:after="40"/>
      </w:pPr>
      <w:r>
        <w:rPr>
          <w:rFonts w:ascii="Arial" w:hAnsi="Arial"/>
          <w:b/>
          <w:color w:val="000000"/>
          <w:sz w:val="32"/>
        </w:rPr>
        <w:t>Policy Schedule</w:t>
      </w:r>
    </w:p>
    <w:p>
      <w:pPr>
        <w:spacing w:after="180"/>
      </w:pPr>
      <w:r>
        <w:rPr>
          <w:rFonts w:ascii="Arial" w:hAnsi="Arial"/>
          <w:color w:val="505050"/>
          <w:sz w:val="18"/>
        </w:rPr>
        <w:t>Personal Horizon Home Cover</w:t>
      </w:r>
    </w:p>
    <w:p>
      <w:r>
        <w:rPr>
          <w:rFonts w:ascii="Arial" w:hAnsi="Arial"/>
          <w:sz w:val="18"/>
        </w:rPr>
        <w:t>This schedule confirms the selected cover for Neve Calder. It is a fictional specimen and does not provide insurance cover.</w:t>
      </w:r>
    </w:p>
    <w:p>
      <w:r>
        <w:rPr>
          <w:b/>
        </w:rPr>
        <w:t>Policy and insured details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E2E8"/>
          <w:left w:val="single" w:sz="4" w:color="D9E2E8"/>
          <w:bottom w:val="single" w:sz="4" w:color="D9E2E8"/>
          <w:right w:val="single" w:sz="4" w:color="D9E2E8"/>
          <w:insideH w:val="single" w:sz="4" w:color="D9E2E8"/>
          <w:insideV w:val="single" w:sz="4" w:color="D9E2E8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AF2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Policy number</w:t>
            </w:r>
          </w:p>
        </w:tc>
        <w:tc>
          <w:tcPr>
            <w:tcW w:type="dxa" w:w="2520"/>
            <w:vAlign w:val="center"/>
            <w:shd w:fill="EAF2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POL-807214</w:t>
            </w:r>
          </w:p>
        </w:tc>
        <w:tc>
          <w:tcPr>
            <w:tcW w:type="dxa" w:w="2520"/>
            <w:vAlign w:val="center"/>
            <w:shd w:fill="EAF2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Schedule issued</w:t>
            </w:r>
          </w:p>
        </w:tc>
        <w:tc>
          <w:tcPr>
            <w:tcW w:type="dxa" w:w="2520"/>
            <w:vAlign w:val="center"/>
            <w:shd w:fill="EAF2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2026-09-02</w:t>
            </w:r>
          </w:p>
        </w:tc>
      </w:tr>
      <w:tr>
        <w:tc>
          <w:tcPr>
            <w:tcW w:type="dxa" w:w="2520"/>
            <w:vAlign w:val="center"/>
            <w:shd w:fill="EAF2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Policyholder</w:t>
            </w:r>
          </w:p>
        </w:tc>
        <w:tc>
          <w:tcPr>
            <w:tcW w:type="dxa" w:w="2520"/>
            <w:vAlign w:val="center"/>
            <w:shd w:fill="EAF2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Neve Calder</w:t>
            </w:r>
          </w:p>
        </w:tc>
        <w:tc>
          <w:tcPr>
            <w:tcW w:type="dxa" w:w="2520"/>
            <w:vAlign w:val="center"/>
            <w:shd w:fill="EAF2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Period of cover</w:t>
            </w:r>
          </w:p>
        </w:tc>
        <w:tc>
          <w:tcPr>
            <w:tcW w:type="dxa" w:w="2520"/>
            <w:vAlign w:val="center"/>
            <w:shd w:fill="EAF2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2026-09-03 to 2027-09-02</w:t>
            </w:r>
          </w:p>
        </w:tc>
      </w:tr>
      <w:tr>
        <w:tc>
          <w:tcPr>
            <w:tcW w:type="dxa" w:w="2520"/>
            <w:vAlign w:val="center"/>
            <w:shd w:fill="EAF2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Insured address</w:t>
            </w:r>
          </w:p>
        </w:tc>
        <w:tc>
          <w:tcPr>
            <w:tcW w:type="dxa" w:w="2520"/>
            <w:vAlign w:val="center"/>
            <w:shd w:fill="EAF2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31 Wrenmere Rise, Solhaven, Elandor</w:t>
            </w:r>
          </w:p>
        </w:tc>
        <w:tc>
          <w:tcPr>
            <w:tcW w:type="dxa" w:w="2520"/>
            <w:vAlign w:val="center"/>
            <w:shd w:fill="EAF2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Property type</w:t>
            </w:r>
          </w:p>
        </w:tc>
        <w:tc>
          <w:tcPr>
            <w:tcW w:type="dxa" w:w="2520"/>
            <w:vAlign w:val="center"/>
            <w:shd w:fill="EAF2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Detached residence</w:t>
            </w:r>
          </w:p>
        </w:tc>
      </w:tr>
    </w:tbl>
    <w:p/>
    <w:p>
      <w:r>
        <w:rPr>
          <w:b/>
        </w:rPr>
        <w:t>Coverage schedule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E2E8"/>
          <w:left w:val="single" w:sz="4" w:color="D9E2E8"/>
          <w:bottom w:val="single" w:sz="4" w:color="D9E2E8"/>
          <w:right w:val="single" w:sz="4" w:color="D9E2E8"/>
          <w:insideH w:val="single" w:sz="4" w:color="D9E2E8"/>
          <w:insideV w:val="single" w:sz="4" w:color="D9E2E8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AF2F5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Coverage section</w:t>
            </w:r>
          </w:p>
        </w:tc>
        <w:tc>
          <w:tcPr>
            <w:tcW w:type="dxa" w:w="2520"/>
            <w:vAlign w:val="center"/>
            <w:shd w:fill="EAF2F5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Limit</w:t>
            </w:r>
          </w:p>
        </w:tc>
        <w:tc>
          <w:tcPr>
            <w:tcW w:type="dxa" w:w="2520"/>
            <w:vAlign w:val="center"/>
            <w:shd w:fill="EAF2F5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Excess</w:t>
            </w:r>
          </w:p>
        </w:tc>
        <w:tc>
          <w:tcPr>
            <w:tcW w:type="dxa" w:w="2520"/>
            <w:vAlign w:val="center"/>
            <w:shd w:fill="EAF2F5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520"/>
            <w:vAlign w:val="center"/>
            <w:shd w:fill="EAF2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Buildings and permanent fixtures</w:t>
            </w:r>
          </w:p>
        </w:tc>
        <w:tc>
          <w:tcPr>
            <w:tcW w:type="dxa" w:w="2520"/>
            <w:vAlign w:val="center"/>
            <w:shd w:fill="EAF2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350,000.00</w:t>
            </w:r>
          </w:p>
        </w:tc>
        <w:tc>
          <w:tcPr>
            <w:tcW w:type="dxa" w:w="2520"/>
            <w:vAlign w:val="center"/>
            <w:shd w:fill="EAF2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750.00</w:t>
            </w:r>
          </w:p>
        </w:tc>
        <w:tc>
          <w:tcPr>
            <w:tcW w:type="dxa" w:w="2520"/>
            <w:vAlign w:val="center"/>
            <w:shd w:fill="EAF2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Included</w:t>
            </w:r>
          </w:p>
        </w:tc>
      </w:tr>
      <w:tr>
        <w:tc>
          <w:tcPr>
            <w:tcW w:type="dxa" w:w="2520"/>
            <w:vAlign w:val="center"/>
            <w:shd w:fill="EAF2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Contents and personal possessions</w:t>
            </w:r>
          </w:p>
        </w:tc>
        <w:tc>
          <w:tcPr>
            <w:tcW w:type="dxa" w:w="2520"/>
            <w:vAlign w:val="center"/>
            <w:shd w:fill="EAF2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85,000.00</w:t>
            </w:r>
          </w:p>
        </w:tc>
        <w:tc>
          <w:tcPr>
            <w:tcW w:type="dxa" w:w="2520"/>
            <w:vAlign w:val="center"/>
            <w:shd w:fill="EAF2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500.00</w:t>
            </w:r>
          </w:p>
        </w:tc>
        <w:tc>
          <w:tcPr>
            <w:tcW w:type="dxa" w:w="2520"/>
            <w:vAlign w:val="center"/>
            <w:shd w:fill="EAF2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Included</w:t>
            </w:r>
          </w:p>
        </w:tc>
      </w:tr>
      <w:tr>
        <w:tc>
          <w:tcPr>
            <w:tcW w:type="dxa" w:w="2520"/>
            <w:vAlign w:val="center"/>
            <w:shd w:fill="EAF2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Temporary accommodation</w:t>
            </w:r>
          </w:p>
        </w:tc>
        <w:tc>
          <w:tcPr>
            <w:tcW w:type="dxa" w:w="2520"/>
            <w:vAlign w:val="center"/>
            <w:shd w:fill="EAF2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18,000.00</w:t>
            </w:r>
          </w:p>
        </w:tc>
        <w:tc>
          <w:tcPr>
            <w:tcW w:type="dxa" w:w="2520"/>
            <w:vAlign w:val="center"/>
            <w:shd w:fill="EAF2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0.00</w:t>
            </w:r>
          </w:p>
        </w:tc>
        <w:tc>
          <w:tcPr>
            <w:tcW w:type="dxa" w:w="2520"/>
            <w:vAlign w:val="center"/>
            <w:shd w:fill="EAF2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Included</w:t>
            </w:r>
          </w:p>
        </w:tc>
      </w:tr>
      <w:tr>
        <w:tc>
          <w:tcPr>
            <w:tcW w:type="dxa" w:w="2520"/>
            <w:vAlign w:val="center"/>
            <w:shd w:fill="EAF2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Personal liability</w:t>
            </w:r>
          </w:p>
        </w:tc>
        <w:tc>
          <w:tcPr>
            <w:tcW w:type="dxa" w:w="2520"/>
            <w:vAlign w:val="center"/>
            <w:shd w:fill="EAF2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1,000,000.00</w:t>
            </w:r>
          </w:p>
        </w:tc>
        <w:tc>
          <w:tcPr>
            <w:tcW w:type="dxa" w:w="2520"/>
            <w:vAlign w:val="center"/>
            <w:shd w:fill="EAF2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0.00</w:t>
            </w:r>
          </w:p>
        </w:tc>
        <w:tc>
          <w:tcPr>
            <w:tcW w:type="dxa" w:w="2520"/>
            <w:vAlign w:val="center"/>
            <w:shd w:fill="EAF2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Included</w:t>
            </w:r>
          </w:p>
        </w:tc>
      </w:tr>
      <w:tr>
        <w:tc>
          <w:tcPr>
            <w:tcW w:type="dxa" w:w="2520"/>
            <w:vAlign w:val="center"/>
            <w:shd w:fill="EAF2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Accidental damage extension</w:t>
            </w:r>
          </w:p>
        </w:tc>
        <w:tc>
          <w:tcPr>
            <w:tcW w:type="dxa" w:w="2520"/>
            <w:vAlign w:val="center"/>
            <w:shd w:fill="EAF2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25,000.00</w:t>
            </w:r>
          </w:p>
        </w:tc>
        <w:tc>
          <w:tcPr>
            <w:tcW w:type="dxa" w:w="2520"/>
            <w:vAlign w:val="center"/>
            <w:shd w:fill="EAF2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250.00</w:t>
            </w:r>
          </w:p>
        </w:tc>
        <w:tc>
          <w:tcPr>
            <w:tcW w:type="dxa" w:w="2520"/>
            <w:vAlign w:val="center"/>
            <w:shd w:fill="EAF2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Included</w:t>
            </w:r>
          </w:p>
        </w:tc>
      </w:tr>
    </w:tbl>
    <w:p/>
    <w:p>
      <w:r>
        <w:rPr>
          <w:rFonts w:ascii="Arial" w:hAnsi="Arial"/>
          <w:b/>
          <w:sz w:val="18"/>
        </w:rPr>
        <w:t xml:space="preserve">Important terms. </w:t>
      </w:r>
      <w:r>
        <w:rPr>
          <w:rFonts w:ascii="Arial" w:hAnsi="Arial"/>
          <w:sz w:val="18"/>
        </w:rPr>
        <w:t>Cover is subject to the policy wording, exclusions, limits, and excesses stated above. Keep this schedule with your policy documents.</w:t>
      </w:r>
    </w:p>
    <w:p/>
    <w:p>
      <w:r>
        <w:rPr>
          <w:rFonts w:ascii="Arial" w:hAnsi="Arial"/>
          <w:sz w:val="18"/>
        </w:rPr>
        <w:t>Authorised by: ______________________________    Date: 2026-09-02</w:t>
      </w:r>
    </w:p>
    <w:sectPr>
      <w:headerReference r:id="rId7" w:type="default"/>
      <w:footerReference r:id="rId8" w:type="default"/>
      <w:pgSz w:h="15840" w:w="12240" w:orient="portrait"/>
      <w:pgMar w:bottom="1008" w:top="720" w:left="1080" w:right="1080" w:header="49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