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1B365D"/>
          <w:sz w:val="34"/>
        </w:rPr>
        <w:t>Laporan Prapemrosesan Data: World Bank EdStats</w:t>
      </w:r>
    </w:p>
    <w:p>
      <w:pPr>
        <w:spacing w:before="20" w:after="80"/>
      </w:pPr>
      <w:r>
        <w:rPr>
          <w:b/>
        </w:rPr>
        <w:t>Mata Kuliah:</w:t>
      </w:r>
      <w:r>
        <w:t xml:space="preserve"> Rekayasa Data (Data Engineering)</w:t>
      </w:r>
    </w:p>
    <w:p>
      <w:pPr>
        <w:spacing w:before="20" w:after="80"/>
      </w:pPr>
      <w:r>
        <w:rPr>
          <w:b/>
        </w:rPr>
        <w:t>Topik Proyek:</w:t>
      </w:r>
      <w:r>
        <w:t xml:space="preserve"> Alur Kerja Data Preprocessing pada Dataset Pendidikan Global (World Bank EdStats): Integrasi 5 Tabel Lengkap dan Benchmarking Angka Partisipasi Murni (</w:t>
      </w:r>
      <w:r>
        <w:rPr>
          <w:i/>
        </w:rPr>
        <w:t>Net Enrolment Rate</w:t>
      </w:r>
      <w:r>
        <w:t>) Pendidikan Dasar Negara Anggota G20 (2000–2017)</w:t>
      </w:r>
    </w:p>
    <w:p>
      <w:pPr>
        <w:spacing w:before="20" w:after="80"/>
      </w:pPr>
      <w:r>
        <w:rPr>
          <w:b/>
        </w:rPr>
        <w:t>Sumber Dataset Terbuka:</w:t>
      </w:r>
      <w:r>
        <w:t xml:space="preserve"> </w:t>
      </w:r>
      <w:r>
        <w:rPr>
          <w:color w:val="0056B3"/>
          <w:u w:val="single"/>
        </w:rPr>
        <w:t>Kaggle - World Bank Education Statistics</w:t>
      </w:r>
      <w:r>
        <w:t xml:space="preserve"> | </w:t>
      </w:r>
      <w:r>
        <w:rPr>
          <w:color w:val="0056B3"/>
          <w:u w:val="single"/>
        </w:rPr>
        <w:t>World Bank EdStats Official Data Catalog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1. Langkah 1: Impor Pustaka, Pemuatan 5 Berkas Data, dan Inspeksi Awal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Justifikasi &amp; Alasan Ilmiah</w:t>
      </w:r>
    </w:p>
    <w:p>
      <w:pPr>
        <w:spacing w:before="20" w:after="80"/>
      </w:pPr>
      <w:r>
        <w:t>Langkah pertama dalam rekayasa data adalah memuat pustaka analisis utama (</w:t>
      </w:r>
      <w:r>
        <w:rPr>
          <w:rFonts w:ascii="Consolas" w:hAnsi="Consolas"/>
          <w:color w:val="8B0000"/>
          <w:sz w:val="19"/>
        </w:rPr>
        <w:t>pandas</w:t>
      </w:r>
      <w:r>
        <w:t xml:space="preserve">, </w:t>
      </w:r>
      <w:r>
        <w:rPr>
          <w:rFonts w:ascii="Consolas" w:hAnsi="Consolas"/>
          <w:color w:val="8B0000"/>
          <w:sz w:val="19"/>
        </w:rPr>
        <w:t>numpy</w:t>
      </w:r>
      <w:r>
        <w:t xml:space="preserve">, </w:t>
      </w:r>
      <w:r>
        <w:rPr>
          <w:rFonts w:ascii="Consolas" w:hAnsi="Consolas"/>
          <w:color w:val="8B0000"/>
          <w:sz w:val="19"/>
        </w:rPr>
        <w:t>scipy</w:t>
      </w:r>
      <w:r>
        <w:t xml:space="preserve">, </w:t>
      </w:r>
      <w:r>
        <w:rPr>
          <w:rFonts w:ascii="Consolas" w:hAnsi="Consolas"/>
          <w:color w:val="8B0000"/>
          <w:sz w:val="19"/>
        </w:rPr>
        <w:t>sklearn</w:t>
      </w:r>
      <w:r>
        <w:t xml:space="preserve">, </w:t>
      </w:r>
      <w:r>
        <w:rPr>
          <w:rFonts w:ascii="Consolas" w:hAnsi="Consolas"/>
          <w:color w:val="8B0000"/>
          <w:sz w:val="19"/>
        </w:rPr>
        <w:t>matplotlib</w:t>
      </w:r>
      <w:r>
        <w:t xml:space="preserve">, </w:t>
      </w:r>
      <w:r>
        <w:rPr>
          <w:rFonts w:ascii="Consolas" w:hAnsi="Consolas"/>
          <w:color w:val="8B0000"/>
          <w:sz w:val="19"/>
        </w:rPr>
        <w:t>seaborn</w:t>
      </w:r>
      <w:r>
        <w:t>) dan memuat seluruh lima berkas dataset mentah untuk memahami karakteristik dasarnya (</w:t>
      </w:r>
      <w:r>
        <w:rPr>
          <w:i/>
        </w:rPr>
        <w:t>exploratory data inspection</w:t>
      </w:r>
      <w:r>
        <w:t>).</w:t>
      </w:r>
    </w:p>
    <w:p>
      <w:pPr>
        <w:spacing w:before="20" w:after="80"/>
      </w:pPr>
      <w:r>
        <w:t>Pada dataset World Bank EdStats: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•  </w:t>
      </w:r>
      <w:r>
        <w:rPr>
          <w:b/>
        </w:rPr>
        <w:t>Ukuran dan Dimensi Data</w:t>
      </w:r>
      <w:r>
        <w:t>: Dataset utama (</w:t>
      </w:r>
      <w:r>
        <w:rPr>
          <w:rFonts w:ascii="Consolas" w:hAnsi="Consolas"/>
          <w:color w:val="8B0000"/>
          <w:sz w:val="19"/>
        </w:rPr>
        <w:t>EdStatsData.csv</w:t>
      </w:r>
      <w:r>
        <w:t>) memiliki ukuran file yang relatif besar (~326.4 MB) dengan struktur tabel melebar (</w:t>
      </w:r>
      <w:r>
        <w:rPr>
          <w:i/>
        </w:rPr>
        <w:t>wide format</w:t>
      </w:r>
      <w:r>
        <w:t>), di mana setiap tahun dari 1970 hingga 2100 direpresentasikan sebagai kolom terpisah.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•  </w:t>
      </w:r>
      <w:r>
        <w:rPr>
          <w:b/>
        </w:rPr>
        <w:t>Deteksi Kualitas Awal</w:t>
      </w:r>
      <w:r>
        <w:t>: Inspeksi awal diperlukan untuk mengetahui dimensi awal baris dan kolom, tipe data, jumlah nilai kosong (</w:t>
      </w:r>
      <w:r>
        <w:rPr>
          <w:i/>
        </w:rPr>
        <w:t>missing values</w:t>
      </w:r>
      <w:r>
        <w:t xml:space="preserve">), serta potensi kolom redundan (seperti kolom kosong tanpa nama di akhir file </w:t>
      </w:r>
      <w:r>
        <w:rPr>
          <w:rFonts w:ascii="Consolas" w:hAnsi="Consolas"/>
          <w:color w:val="8B0000"/>
          <w:sz w:val="19"/>
        </w:rPr>
        <w:t>Unnamed: 69</w:t>
      </w:r>
      <w:r>
        <w:t xml:space="preserve"> yang sering muncul akibat format ekspor CSV Bank Dunia).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•  </w:t>
      </w:r>
      <w:r>
        <w:rPr>
          <w:b/>
        </w:rPr>
        <w:t>Pemanfaatan Ekosistem 5 Berkas</w:t>
      </w:r>
      <w:r>
        <w:t>: Kelima berkas dimuat secara menyeluruh untuk membangun skema bintang (</w:t>
      </w:r>
      <w:r>
        <w:rPr>
          <w:i/>
        </w:rPr>
        <w:t>Star Schema</w:t>
      </w:r>
      <w:r>
        <w:t>) yang kaya antara tabel fakta kuantitatif, tabel dimensi wilayah, taksonomi indikator, serta log metadata catatan kaki (</w:t>
      </w:r>
      <w:r>
        <w:rPr>
          <w:i/>
        </w:rPr>
        <w:t>footnotes</w:t>
      </w:r>
      <w:r>
        <w:t>).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Profil Teknis 5 Berkas Dataset Mentah (*Initial Dataset Profiling*)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Nama Berkas (</w:t>
            </w:r>
            <w:r>
              <w:rPr>
                <w:b/>
                <w:i/>
                <w:color w:val="FFFFFF"/>
                <w:sz w:val="18"/>
              </w:rPr>
              <w:t>Entity/Relation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Peran Skema (</w:t>
            </w:r>
            <w:r>
              <w:rPr>
                <w:b/>
                <w:i/>
                <w:color w:val="FFFFFF"/>
                <w:sz w:val="18"/>
              </w:rPr>
              <w:t>Schema Role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Kardinalitas (</w:t>
            </w:r>
            <w:r>
              <w:rPr>
                <w:b/>
                <w:i/>
                <w:color w:val="FFFFFF"/>
                <w:sz w:val="18"/>
              </w:rPr>
              <w:t>Tuples/Rows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Aritas/Derajat (</w:t>
            </w:r>
            <w:r>
              <w:rPr>
                <w:b/>
                <w:i/>
                <w:color w:val="FFFFFF"/>
                <w:sz w:val="18"/>
              </w:rPr>
              <w:t>Attributes/Columns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Ukuran File (Disk)</w:t>
            </w:r>
          </w:p>
        </w:tc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Alokasi RAM (</w:t>
            </w:r>
            <w:r>
              <w:rPr>
                <w:b/>
                <w:i/>
                <w:color w:val="FFFFFF"/>
                <w:sz w:val="18"/>
              </w:rPr>
              <w:t>In-Memory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290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Kunci Penghubung (</w:t>
            </w:r>
            <w:r>
              <w:rPr>
                <w:b/>
                <w:i/>
                <w:color w:val="FFFFFF"/>
                <w:sz w:val="18"/>
              </w:rPr>
              <w:t>Foreign Key</w:t>
            </w:r>
            <w:r>
              <w:rPr>
                <w:b/>
                <w:color w:val="FFFFFF"/>
                <w:sz w:val="18"/>
              </w:rPr>
              <w:t>)</w:t>
            </w:r>
          </w:p>
        </w:tc>
      </w:tr>
      <w:tr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`EdStatsData.csv`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Fact Table (Utama)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886,930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70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~326.4 MB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~706.3 MB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8B0000"/>
                <w:sz w:val="17"/>
              </w:rPr>
              <w:t>Country Code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0000"/>
                <w:sz w:val="17"/>
              </w:rPr>
              <w:t>Indicator Code</w:t>
            </w:r>
          </w:p>
        </w:tc>
      </w:tr>
      <w:tr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`EdStatsCountry.csv`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Dimension Table (Negara)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241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32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~139.5 KB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~0.41 MB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8B0000"/>
                <w:sz w:val="17"/>
              </w:rPr>
              <w:t>Country Code</w:t>
            </w:r>
          </w:p>
        </w:tc>
      </w:tr>
      <w:tr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`EdStatsSeries.csv`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Dimension Table (Indikator)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3,665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21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~3.7 MB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~6.15 MB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8B0000"/>
                <w:sz w:val="17"/>
              </w:rPr>
              <w:t>Series Code</w:t>
            </w:r>
          </w:p>
        </w:tc>
      </w:tr>
      <w:tr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`EdStatsFootNote.csv`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Metadata Log / Provenance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643,638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5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~39.7 MB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~154.8 MB</w:t>
            </w:r>
          </w:p>
        </w:tc>
        <w:tc>
          <w:tcPr>
            <w:tcW w:type="dxa" w:w="1290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8B0000"/>
                <w:sz w:val="17"/>
              </w:rPr>
              <w:t>CountryCode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0000"/>
                <w:sz w:val="17"/>
              </w:rPr>
              <w:t>SeriesCode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0000"/>
                <w:sz w:val="17"/>
              </w:rPr>
              <w:t>Year</w:t>
            </w:r>
          </w:p>
        </w:tc>
      </w:tr>
      <w:tr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`EdStatsCountry-Series.csv`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Cross-Reference Dimension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613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~48.9 KB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~0.13 MB</w:t>
            </w:r>
          </w:p>
        </w:tc>
        <w:tc>
          <w:tcPr>
            <w:tcW w:type="dxa" w:w="12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8B0000"/>
                <w:sz w:val="17"/>
              </w:rPr>
              <w:t>CountryCode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B0000"/>
                <w:sz w:val="17"/>
              </w:rPr>
              <w:t>SeriesCode</w:t>
            </w:r>
          </w:p>
        </w:tc>
      </w:tr>
    </w:tbl>
    <w:p>
      <w:pPr>
        <w:spacing w:after="80"/>
      </w:pPr>
    </w:p>
    <w:p>
      <w:pPr>
        <w:keepNext/>
        <w:spacing w:before="180" w:after="40"/>
      </w:pPr>
      <w:r>
        <w:rPr>
          <w:b/>
          <w:color w:val="2C3E50"/>
          <w:sz w:val="22"/>
        </w:rPr>
        <w:t>Struktur Atribut dan Skema Data Mentah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`EdStatsData.csv` (Tabel Fakta Utama)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Identifikasi Entitas (4 atribut)</w:t>
      </w:r>
      <w:r>
        <w:t xml:space="preserve">: </w:t>
      </w:r>
      <w:r>
        <w:rPr>
          <w:rFonts w:ascii="Consolas" w:hAnsi="Consolas"/>
          <w:color w:val="8B0000"/>
          <w:sz w:val="19"/>
        </w:rPr>
        <w:t>Country Name</w:t>
      </w:r>
      <w:r>
        <w:t xml:space="preserve"> (</w:t>
      </w:r>
      <w:r>
        <w:rPr>
          <w:i/>
        </w:rPr>
        <w:t>string</w:t>
      </w:r>
      <w:r>
        <w:t xml:space="preserve">), </w:t>
      </w:r>
      <w:r>
        <w:rPr>
          <w:rFonts w:ascii="Consolas" w:hAnsi="Consolas"/>
          <w:color w:val="8B0000"/>
          <w:sz w:val="19"/>
        </w:rPr>
        <w:t>Country Code</w:t>
      </w:r>
      <w:r>
        <w:t xml:space="preserve"> (</w:t>
      </w:r>
      <w:r>
        <w:rPr>
          <w:i/>
        </w:rPr>
        <w:t>string / ISO-3</w:t>
      </w:r>
      <w:r>
        <w:t xml:space="preserve">), </w:t>
      </w:r>
      <w:r>
        <w:rPr>
          <w:rFonts w:ascii="Consolas" w:hAnsi="Consolas"/>
          <w:color w:val="8B0000"/>
          <w:sz w:val="19"/>
        </w:rPr>
        <w:t>Indicator Name</w:t>
      </w:r>
      <w:r>
        <w:t xml:space="preserve"> (</w:t>
      </w:r>
      <w:r>
        <w:rPr>
          <w:i/>
        </w:rPr>
        <w:t>string</w:t>
      </w:r>
      <w:r>
        <w:t xml:space="preserve">), </w:t>
      </w:r>
      <w:r>
        <w:rPr>
          <w:rFonts w:ascii="Consolas" w:hAnsi="Consolas"/>
          <w:color w:val="8B0000"/>
          <w:sz w:val="19"/>
        </w:rPr>
        <w:t>Indicator Code</w:t>
      </w:r>
      <w:r>
        <w:t xml:space="preserve"> (</w:t>
      </w:r>
      <w:r>
        <w:rPr>
          <w:i/>
        </w:rPr>
        <w:t>string</w:t>
      </w:r>
      <w:r>
        <w:t>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Temporal / Metrik Waktu (65 atribut)</w:t>
      </w:r>
      <w:r>
        <w:t xml:space="preserve">: Kolom </w:t>
      </w:r>
      <w:r>
        <w:rPr>
          <w:rFonts w:ascii="Consolas" w:hAnsi="Consolas"/>
          <w:color w:val="8B0000"/>
          <w:sz w:val="19"/>
        </w:rPr>
        <w:t>1970</w:t>
      </w:r>
      <w:r>
        <w:t xml:space="preserve"> hingga </w:t>
      </w:r>
      <w:r>
        <w:rPr>
          <w:rFonts w:ascii="Consolas" w:hAnsi="Consolas"/>
          <w:color w:val="8B0000"/>
          <w:sz w:val="19"/>
        </w:rPr>
        <w:t>2100</w:t>
      </w:r>
      <w:r>
        <w:t xml:space="preserve"> (</w:t>
      </w:r>
      <w:r>
        <w:rPr>
          <w:i/>
        </w:rPr>
        <w:t>numeric/float64</w:t>
      </w:r>
      <w:r>
        <w:t>), yang merepresentasikan nilai observasi historis dan proyeksi indikator pendidikan per tahun (</w:t>
      </w:r>
      <w:r>
        <w:rPr>
          <w:i/>
        </w:rPr>
        <w:t>wide format</w:t>
      </w:r>
      <w:r>
        <w:t>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Anomali / Artefak Ekspor (1 atribut)</w:t>
      </w:r>
      <w:r>
        <w:t xml:space="preserve">: </w:t>
      </w:r>
      <w:r>
        <w:rPr>
          <w:rFonts w:ascii="Consolas" w:hAnsi="Consolas"/>
          <w:color w:val="8B0000"/>
          <w:sz w:val="19"/>
        </w:rPr>
        <w:t>Unnamed: 69</w:t>
      </w:r>
      <w:r>
        <w:t xml:space="preserve"> (</w:t>
      </w:r>
      <w:r>
        <w:rPr>
          <w:i/>
        </w:rPr>
        <w:t>null</w:t>
      </w:r>
      <w:r>
        <w:t xml:space="preserve">), kolom kosong tak berlabel akibat </w:t>
      </w:r>
      <w:r>
        <w:rPr>
          <w:i/>
        </w:rPr>
        <w:t>trailing comma</w:t>
      </w:r>
      <w:r>
        <w:t xml:space="preserve"> pada berkas CSV mentah.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`EdStatsCountry.csv` (Tabel Dimensi Negara)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Kunci</w:t>
      </w:r>
      <w:r>
        <w:t xml:space="preserve">: </w:t>
      </w:r>
      <w:r>
        <w:rPr>
          <w:rFonts w:ascii="Consolas" w:hAnsi="Consolas"/>
          <w:color w:val="8B0000"/>
          <w:sz w:val="19"/>
        </w:rPr>
        <w:t>Country Code</w:t>
      </w:r>
      <w:r>
        <w:t xml:space="preserve"> (Primary Key).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Klasifikasi &amp; Sosioekonomi Utama</w:t>
      </w:r>
      <w:r>
        <w:t xml:space="preserve">: </w:t>
      </w:r>
      <w:r>
        <w:rPr>
          <w:rFonts w:ascii="Consolas" w:hAnsi="Consolas"/>
          <w:color w:val="8B0000"/>
          <w:sz w:val="19"/>
        </w:rPr>
        <w:t>Region</w:t>
      </w:r>
      <w:r>
        <w:t xml:space="preserve"> (kawasan regional), </w:t>
      </w:r>
      <w:r>
        <w:rPr>
          <w:rFonts w:ascii="Consolas" w:hAnsi="Consolas"/>
          <w:color w:val="8B0000"/>
          <w:sz w:val="19"/>
        </w:rPr>
        <w:t>Income Group</w:t>
      </w:r>
      <w:r>
        <w:t xml:space="preserve"> (klasifikasi pendapatan ekonomi World Bank), </w:t>
      </w:r>
      <w:r>
        <w:rPr>
          <w:rFonts w:ascii="Consolas" w:hAnsi="Consolas"/>
          <w:color w:val="8B0000"/>
          <w:sz w:val="19"/>
        </w:rPr>
        <w:t>2-alpha code</w:t>
      </w:r>
      <w:r>
        <w:t xml:space="preserve">, </w:t>
      </w:r>
      <w:r>
        <w:rPr>
          <w:rFonts w:ascii="Consolas" w:hAnsi="Consolas"/>
          <w:color w:val="8B0000"/>
          <w:sz w:val="19"/>
        </w:rPr>
        <w:t>Currency Unit</w:t>
      </w:r>
      <w:r>
        <w:t xml:space="preserve">, </w:t>
      </w:r>
      <w:r>
        <w:rPr>
          <w:rFonts w:ascii="Consolas" w:hAnsi="Consolas"/>
          <w:color w:val="8B0000"/>
          <w:sz w:val="19"/>
        </w:rPr>
        <w:t>National accounts base year</w:t>
      </w:r>
      <w:r>
        <w:t>, dll. (Total 32 atribut).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3.  </w:t>
      </w:r>
      <w:r>
        <w:rPr>
          <w:b/>
        </w:rPr>
        <w:t>`EdStatsSeries.csv` (Tabel Dimensi Indikator)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Kunci</w:t>
      </w:r>
      <w:r>
        <w:t xml:space="preserve">: </w:t>
      </w:r>
      <w:r>
        <w:rPr>
          <w:rFonts w:ascii="Consolas" w:hAnsi="Consolas"/>
          <w:color w:val="8B0000"/>
          <w:sz w:val="19"/>
        </w:rPr>
        <w:t>Series Code</w:t>
      </w:r>
      <w:r>
        <w:t xml:space="preserve"> (Primary Key, berelasi dengan </w:t>
      </w:r>
      <w:r>
        <w:rPr>
          <w:rFonts w:ascii="Consolas" w:hAnsi="Consolas"/>
          <w:color w:val="8B0000"/>
          <w:sz w:val="19"/>
        </w:rPr>
        <w:t>Indicator Code</w:t>
      </w:r>
      <w:r>
        <w:t xml:space="preserve"> pada tabel fakta).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Deskriptif &amp; Taksonomi</w:t>
      </w:r>
      <w:r>
        <w:t xml:space="preserve">: </w:t>
      </w:r>
      <w:r>
        <w:rPr>
          <w:rFonts w:ascii="Consolas" w:hAnsi="Consolas"/>
          <w:color w:val="8B0000"/>
          <w:sz w:val="19"/>
        </w:rPr>
        <w:t>Topic</w:t>
      </w:r>
      <w:r>
        <w:t xml:space="preserve"> (kategori jenjang/bidang pendidikan), </w:t>
      </w:r>
      <w:r>
        <w:rPr>
          <w:rFonts w:ascii="Consolas" w:hAnsi="Consolas"/>
          <w:color w:val="8B0000"/>
          <w:sz w:val="19"/>
        </w:rPr>
        <w:t>Indicator Name</w:t>
      </w:r>
      <w:r>
        <w:t xml:space="preserve">, </w:t>
      </w:r>
      <w:r>
        <w:rPr>
          <w:rFonts w:ascii="Consolas" w:hAnsi="Consolas"/>
          <w:color w:val="8B0000"/>
          <w:sz w:val="19"/>
        </w:rPr>
        <w:t>Short definition</w:t>
      </w:r>
      <w:r>
        <w:t xml:space="preserve">, </w:t>
      </w:r>
      <w:r>
        <w:rPr>
          <w:rFonts w:ascii="Consolas" w:hAnsi="Consolas"/>
          <w:color w:val="8B0000"/>
          <w:sz w:val="19"/>
        </w:rPr>
        <w:t>Long definition</w:t>
      </w:r>
      <w:r>
        <w:t xml:space="preserve">, </w:t>
      </w:r>
      <w:r>
        <w:rPr>
          <w:rFonts w:ascii="Consolas" w:hAnsi="Consolas"/>
          <w:color w:val="8B0000"/>
          <w:sz w:val="19"/>
        </w:rPr>
        <w:t>Unit of measure</w:t>
      </w:r>
      <w:r>
        <w:t xml:space="preserve">, </w:t>
      </w:r>
      <w:r>
        <w:rPr>
          <w:rFonts w:ascii="Consolas" w:hAnsi="Consolas"/>
          <w:color w:val="8B0000"/>
          <w:sz w:val="19"/>
        </w:rPr>
        <w:t>Periodicity</w:t>
      </w:r>
      <w:r>
        <w:t>, dll. (Total 21 atribut).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4.  </w:t>
      </w:r>
      <w:r>
        <w:rPr>
          <w:b/>
        </w:rPr>
        <w:t>`EdStatsFootNote.csv` (Tabel Log Metadata Survei)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Kunci Komposit</w:t>
      </w:r>
      <w:r>
        <w:t xml:space="preserve">: </w:t>
      </w:r>
      <w:r>
        <w:rPr>
          <w:rFonts w:ascii="Consolas" w:hAnsi="Consolas"/>
          <w:color w:val="8B0000"/>
          <w:sz w:val="19"/>
        </w:rPr>
        <w:t>CountryCode</w:t>
      </w:r>
      <w:r>
        <w:t xml:space="preserve">, </w:t>
      </w:r>
      <w:r>
        <w:rPr>
          <w:rFonts w:ascii="Consolas" w:hAnsi="Consolas"/>
          <w:color w:val="8B0000"/>
          <w:sz w:val="19"/>
        </w:rPr>
        <w:t>SeriesCode</w:t>
      </w:r>
      <w:r>
        <w:t xml:space="preserve">, </w:t>
      </w:r>
      <w:r>
        <w:rPr>
          <w:rFonts w:ascii="Consolas" w:hAnsi="Consolas"/>
          <w:color w:val="8B0000"/>
          <w:sz w:val="19"/>
        </w:rPr>
        <w:t>Year</w:t>
      </w:r>
      <w:r>
        <w:t xml:space="preserve"> (memiliki format string </w:t>
      </w:r>
      <w:r>
        <w:rPr>
          <w:rFonts w:ascii="Consolas" w:hAnsi="Consolas"/>
          <w:color w:val="8B0000"/>
          <w:sz w:val="19"/>
        </w:rPr>
        <w:t>YR2000</w:t>
      </w:r>
      <w:r>
        <w:t>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Deskripsi Metodologi</w:t>
      </w:r>
      <w:r>
        <w:t xml:space="preserve">: </w:t>
      </w:r>
      <w:r>
        <w:rPr>
          <w:rFonts w:ascii="Consolas" w:hAnsi="Consolas"/>
          <w:color w:val="8B0000"/>
          <w:sz w:val="19"/>
        </w:rPr>
        <w:t>DESCRIPTION</w:t>
      </w:r>
      <w:r>
        <w:t xml:space="preserve"> (merekam apakah data berupa hasil survei resmi nasional atau estimasi model UIS UNESCO).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5.  </w:t>
      </w:r>
      <w:r>
        <w:rPr>
          <w:b/>
        </w:rPr>
        <w:t>`EdStatsCountry-Series.csv` (Tabel Asosiasi Negara-Indikator)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Kunci Komposit</w:t>
      </w:r>
      <w:r>
        <w:t xml:space="preserve">: </w:t>
      </w:r>
      <w:r>
        <w:rPr>
          <w:rFonts w:ascii="Consolas" w:hAnsi="Consolas"/>
          <w:color w:val="8B0000"/>
          <w:sz w:val="19"/>
        </w:rPr>
        <w:t>CountryCode</w:t>
      </w:r>
      <w:r>
        <w:t xml:space="preserve">, </w:t>
      </w:r>
      <w:r>
        <w:rPr>
          <w:rFonts w:ascii="Consolas" w:hAnsi="Consolas"/>
          <w:color w:val="8B0000"/>
          <w:sz w:val="19"/>
        </w:rPr>
        <w:t>SeriesCode</w:t>
      </w:r>
      <w:r>
        <w:t>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Atribut Catatan Khusus</w:t>
      </w:r>
      <w:r>
        <w:t xml:space="preserve">: </w:t>
      </w:r>
      <w:r>
        <w:rPr>
          <w:rFonts w:ascii="Consolas" w:hAnsi="Consolas"/>
          <w:color w:val="8B0000"/>
          <w:sz w:val="19"/>
        </w:rPr>
        <w:t>DESCRIPTION</w:t>
      </w:r>
      <w:r>
        <w:t xml:space="preserve"> (merekam spesifikasi metodologi survei rumah tangga lokal).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2. Langkah 2: Strategi Reduksi Data (*Data Reduction*)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Justifikasi &amp; Rasional Metodologis</w:t>
      </w:r>
    </w:p>
    <w:p>
      <w:pPr>
        <w:spacing w:before="20" w:after="80"/>
      </w:pPr>
      <w:r>
        <w:t xml:space="preserve">Data mentah </w:t>
      </w:r>
      <w:r>
        <w:rPr>
          <w:rFonts w:ascii="Consolas" w:hAnsi="Consolas"/>
          <w:color w:val="8B0000"/>
          <w:sz w:val="19"/>
        </w:rPr>
        <w:t>EdStatsData.csv</w:t>
      </w:r>
      <w:r>
        <w:t xml:space="preserve"> memiliki volume yang masif (886.930 baris x 70 kolom, alokasi memori ~740 MB) dengan rasio kekosongan data (</w:t>
      </w:r>
      <w:r>
        <w:rPr>
          <w:i/>
        </w:rPr>
        <w:t>sparsity</w:t>
      </w:r>
      <w:r>
        <w:t xml:space="preserve">) yang sangat tinggi (&gt;80%) jika diolah secara keseluruhan. Memproses keseluruhan dataset mentah secara langsung tidak efisien dan mengandung </w:t>
      </w:r>
      <w:r>
        <w:rPr>
          <w:i/>
        </w:rPr>
        <w:t>noise</w:t>
      </w:r>
      <w:r>
        <w:t xml:space="preserve"> dari data proyeksi teoritis masa depan (&gt;2017) maupun data historis lampau (&lt;2000) yang memiliki keterbatasan pelaporan.</w:t>
      </w:r>
    </w:p>
    <w:p>
      <w:pPr>
        <w:spacing w:before="20" w:after="80"/>
      </w:pPr>
      <w:r>
        <w:t>Oleh karena itu, diterapkan strategi reduksi data multidimensional: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Reduksi Dimensi Temporal (*Temporal Slicing &amp; Dimensionality Reduction*)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Tindakan</w:t>
      </w:r>
      <w:r>
        <w:t xml:space="preserve">: Mengeliminasi kolom tahun 1970–1999, kolom proyeksi 5-tahunan (2020–2100), serta atribut artifak </w:t>
      </w:r>
      <w:r>
        <w:rPr>
          <w:rFonts w:ascii="Consolas" w:hAnsi="Consolas"/>
          <w:color w:val="8B0000"/>
          <w:sz w:val="19"/>
        </w:rPr>
        <w:t>Unnamed: 69</w:t>
      </w:r>
      <w:r>
        <w:t xml:space="preserve">. Rentang observasi difokuskan pada periode kontinu </w:t>
      </w:r>
      <w:r>
        <w:rPr>
          <w:b/>
        </w:rPr>
        <w:t>2000 s.d. 2017</w:t>
      </w:r>
      <w:r>
        <w:t xml:space="preserve"> (18 atribut tahun).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Alasan</w:t>
      </w:r>
      <w:r>
        <w:t xml:space="preserve">: Periode 2000–2017 merupakan era target </w:t>
      </w:r>
      <w:r>
        <w:rPr>
          <w:i/>
        </w:rPr>
        <w:t>Millennium Development Goals (MDGs)</w:t>
      </w:r>
      <w:r>
        <w:t xml:space="preserve"> dan awal </w:t>
      </w:r>
      <w:r>
        <w:rPr>
          <w:i/>
        </w:rPr>
        <w:t>Sustainable Development Goals (SDGs)</w:t>
      </w:r>
      <w:r>
        <w:t xml:space="preserve"> yang memiliki rekam pencatatan data pendidikan paling konsisten, terstandarisasi, dan relevan dengan dinamika kontemporer.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Seleksi Fitur Indikator Berbasis Domain (*Domain-Specific Feature Selection: Net Enrolment Focus*)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Tindakan</w:t>
      </w:r>
      <w:r>
        <w:t>: Memilih 6 indikator inti pada jenjang Pendidikan Dasar (</w:t>
      </w:r>
      <w:r>
        <w:rPr>
          <w:i/>
        </w:rPr>
        <w:t>Primary Education</w:t>
      </w:r>
      <w:r>
        <w:t>) dengan basis kohort usia yang sama (7–12 tahun):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1.  </w:t>
      </w:r>
      <w:r>
        <w:rPr>
          <w:rFonts w:ascii="Consolas" w:hAnsi="Consolas"/>
          <w:color w:val="8B0000"/>
          <w:sz w:val="19"/>
        </w:rPr>
        <w:t>SE.PRM.NENR</w:t>
      </w:r>
      <w:r>
        <w:t xml:space="preserve">: </w:t>
      </w:r>
      <w:r>
        <w:rPr>
          <w:i/>
        </w:rPr>
        <w:t>Net enrolment rate, primary, both sexes (%)</w:t>
      </w:r>
      <w:r>
        <w:t xml:space="preserve"> (Angka Partisipasi Murni Total).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2.  </w:t>
      </w:r>
      <w:r>
        <w:rPr>
          <w:rFonts w:ascii="Consolas" w:hAnsi="Consolas"/>
          <w:color w:val="8B0000"/>
          <w:sz w:val="19"/>
        </w:rPr>
        <w:t>SE.PRM.NENR.FE</w:t>
      </w:r>
      <w:r>
        <w:t xml:space="preserve">: </w:t>
      </w:r>
      <w:r>
        <w:rPr>
          <w:i/>
        </w:rPr>
        <w:t>Net enrolment rate, primary, female (%)</w:t>
      </w:r>
      <w:r>
        <w:t xml:space="preserve"> (Partisipasi Murni Siswa Perempuan).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3.  </w:t>
      </w:r>
      <w:r>
        <w:rPr>
          <w:rFonts w:ascii="Consolas" w:hAnsi="Consolas"/>
          <w:color w:val="8B0000"/>
          <w:sz w:val="19"/>
        </w:rPr>
        <w:t>SE.PRM.NENR.MA</w:t>
      </w:r>
      <w:r>
        <w:t xml:space="preserve">: </w:t>
      </w:r>
      <w:r>
        <w:rPr>
          <w:i/>
        </w:rPr>
        <w:t>Net enrolment rate, primary, male (%)</w:t>
      </w:r>
      <w:r>
        <w:t xml:space="preserve"> (Partisipasi Murni Siswa Laki-laki).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4.  </w:t>
      </w:r>
      <w:r>
        <w:rPr>
          <w:rFonts w:ascii="Consolas" w:hAnsi="Consolas"/>
          <w:color w:val="8B0000"/>
          <w:sz w:val="19"/>
        </w:rPr>
        <w:t>SE.PRM.CMPT.ZS</w:t>
      </w:r>
      <w:r>
        <w:t xml:space="preserve">: </w:t>
      </w:r>
      <w:r>
        <w:rPr>
          <w:i/>
        </w:rPr>
        <w:t>Primary completion rate, both sexes (%)</w:t>
      </w:r>
      <w:r>
        <w:t xml:space="preserve"> (Tingkat Kelulusan Pendidikan Dasar).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5.  </w:t>
      </w:r>
      <w:r>
        <w:rPr>
          <w:rFonts w:ascii="Consolas" w:hAnsi="Consolas"/>
          <w:color w:val="8B0000"/>
          <w:sz w:val="19"/>
        </w:rPr>
        <w:t>SE.PRM.ENRL.TC.ZS</w:t>
      </w:r>
      <w:r>
        <w:t xml:space="preserve">: </w:t>
      </w:r>
      <w:r>
        <w:rPr>
          <w:i/>
        </w:rPr>
        <w:t>Pupil-teacher ratio in primary education</w:t>
      </w:r>
      <w:r>
        <w:t xml:space="preserve"> (Rasio Murid-Guru).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6.  </w:t>
      </w:r>
      <w:r>
        <w:rPr>
          <w:rFonts w:ascii="Consolas" w:hAnsi="Consolas"/>
          <w:color w:val="8B0000"/>
          <w:sz w:val="19"/>
        </w:rPr>
        <w:t>SE.PRM.DROP.ZS</w:t>
      </w:r>
      <w:r>
        <w:t xml:space="preserve">: </w:t>
      </w:r>
      <w:r>
        <w:rPr>
          <w:i/>
        </w:rPr>
        <w:t>Cumulative drop-out rate to last grade of primary (%)</w:t>
      </w:r>
      <w:r>
        <w:t xml:space="preserve"> (Tingkat Putus Sekolah).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Alasan</w:t>
      </w:r>
      <w:r>
        <w:t xml:space="preserve">: Pemilihan </w:t>
      </w:r>
      <w:r>
        <w:rPr>
          <w:i/>
        </w:rPr>
        <w:t>Net Enrolment Rate (NER)</w:t>
      </w:r>
      <w:r>
        <w:t xml:space="preserve"> memastikan pembilang dan penyebut menggunakan basis usia yang sama persis (7–12 tahun), sehingga seluruh metrik partisipasi berada pada rentang persentase alami ($0\% - 100\%$) sesuai standar target PBB (SDG 4.1).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3.  </w:t>
      </w:r>
      <w:r>
        <w:rPr>
          <w:b/>
        </w:rPr>
        <w:t>Penyaringan Entitas Geografis (*Geographical Scope: 19 Sovereign Countries of G20*)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Tindakan</w:t>
      </w:r>
      <w:r>
        <w:t>: Membatasi observasi pada 19 negara berdaulat anggota G20: Indonesia (</w:t>
      </w:r>
      <w:r>
        <w:rPr>
          <w:rFonts w:ascii="Consolas" w:hAnsi="Consolas"/>
          <w:color w:val="8B0000"/>
          <w:sz w:val="19"/>
        </w:rPr>
        <w:t>IDN</w:t>
      </w:r>
      <w:r>
        <w:t>), Amerika Serikat (</w:t>
      </w:r>
      <w:r>
        <w:rPr>
          <w:rFonts w:ascii="Consolas" w:hAnsi="Consolas"/>
          <w:color w:val="8B0000"/>
          <w:sz w:val="19"/>
        </w:rPr>
        <w:t>USA</w:t>
      </w:r>
      <w:r>
        <w:t>), China (</w:t>
      </w:r>
      <w:r>
        <w:rPr>
          <w:rFonts w:ascii="Consolas" w:hAnsi="Consolas"/>
          <w:color w:val="8B0000"/>
          <w:sz w:val="19"/>
        </w:rPr>
        <w:t>CHN</w:t>
      </w:r>
      <w:r>
        <w:t>), Jepang (</w:t>
      </w:r>
      <w:r>
        <w:rPr>
          <w:rFonts w:ascii="Consolas" w:hAnsi="Consolas"/>
          <w:color w:val="8B0000"/>
          <w:sz w:val="19"/>
        </w:rPr>
        <w:t>JPN</w:t>
      </w:r>
      <w:r>
        <w:t>), Jerman (</w:t>
      </w:r>
      <w:r>
        <w:rPr>
          <w:rFonts w:ascii="Consolas" w:hAnsi="Consolas"/>
          <w:color w:val="8B0000"/>
          <w:sz w:val="19"/>
        </w:rPr>
        <w:t>DEU</w:t>
      </w:r>
      <w:r>
        <w:t>), Inggris (</w:t>
      </w:r>
      <w:r>
        <w:rPr>
          <w:rFonts w:ascii="Consolas" w:hAnsi="Consolas"/>
          <w:color w:val="8B0000"/>
          <w:sz w:val="19"/>
        </w:rPr>
        <w:t>GBR</w:t>
      </w:r>
      <w:r>
        <w:t>), India (</w:t>
      </w:r>
      <w:r>
        <w:rPr>
          <w:rFonts w:ascii="Consolas" w:hAnsi="Consolas"/>
          <w:color w:val="8B0000"/>
          <w:sz w:val="19"/>
        </w:rPr>
        <w:t>IND</w:t>
      </w:r>
      <w:r>
        <w:t>), Brazil (</w:t>
      </w:r>
      <w:r>
        <w:rPr>
          <w:rFonts w:ascii="Consolas" w:hAnsi="Consolas"/>
          <w:color w:val="8B0000"/>
          <w:sz w:val="19"/>
        </w:rPr>
        <w:t>BRA</w:t>
      </w:r>
      <w:r>
        <w:t>), Perancis (</w:t>
      </w:r>
      <w:r>
        <w:rPr>
          <w:rFonts w:ascii="Consolas" w:hAnsi="Consolas"/>
          <w:color w:val="8B0000"/>
          <w:sz w:val="19"/>
        </w:rPr>
        <w:t>FRA</w:t>
      </w:r>
      <w:r>
        <w:t>), Italia (</w:t>
      </w:r>
      <w:r>
        <w:rPr>
          <w:rFonts w:ascii="Consolas" w:hAnsi="Consolas"/>
          <w:color w:val="8B0000"/>
          <w:sz w:val="19"/>
        </w:rPr>
        <w:t>ITA</w:t>
      </w:r>
      <w:r>
        <w:t>), Kanada (</w:t>
      </w:r>
      <w:r>
        <w:rPr>
          <w:rFonts w:ascii="Consolas" w:hAnsi="Consolas"/>
          <w:color w:val="8B0000"/>
          <w:sz w:val="19"/>
        </w:rPr>
        <w:t>CAN</w:t>
      </w:r>
      <w:r>
        <w:t>), Korea Selatan (</w:t>
      </w:r>
      <w:r>
        <w:rPr>
          <w:rFonts w:ascii="Consolas" w:hAnsi="Consolas"/>
          <w:color w:val="8B0000"/>
          <w:sz w:val="19"/>
        </w:rPr>
        <w:t>KOR</w:t>
      </w:r>
      <w:r>
        <w:t>), Meksiko (</w:t>
      </w:r>
      <w:r>
        <w:rPr>
          <w:rFonts w:ascii="Consolas" w:hAnsi="Consolas"/>
          <w:color w:val="8B0000"/>
          <w:sz w:val="19"/>
        </w:rPr>
        <w:t>MEX</w:t>
      </w:r>
      <w:r>
        <w:t>), Rusia (</w:t>
      </w:r>
      <w:r>
        <w:rPr>
          <w:rFonts w:ascii="Consolas" w:hAnsi="Consolas"/>
          <w:color w:val="8B0000"/>
          <w:sz w:val="19"/>
        </w:rPr>
        <w:t>RUS</w:t>
      </w:r>
      <w:r>
        <w:t>), Arab Saudi (</w:t>
      </w:r>
      <w:r>
        <w:rPr>
          <w:rFonts w:ascii="Consolas" w:hAnsi="Consolas"/>
          <w:color w:val="8B0000"/>
          <w:sz w:val="19"/>
        </w:rPr>
        <w:t>SAU</w:t>
      </w:r>
      <w:r>
        <w:t>), Afrika Selatan (</w:t>
      </w:r>
      <w:r>
        <w:rPr>
          <w:rFonts w:ascii="Consolas" w:hAnsi="Consolas"/>
          <w:color w:val="8B0000"/>
          <w:sz w:val="19"/>
        </w:rPr>
        <w:t>ZAF</w:t>
      </w:r>
      <w:r>
        <w:t>), Turki (</w:t>
      </w:r>
      <w:r>
        <w:rPr>
          <w:rFonts w:ascii="Consolas" w:hAnsi="Consolas"/>
          <w:color w:val="8B0000"/>
          <w:sz w:val="19"/>
        </w:rPr>
        <w:t>TUR</w:t>
      </w:r>
      <w:r>
        <w:t>), Australia (</w:t>
      </w:r>
      <w:r>
        <w:rPr>
          <w:rFonts w:ascii="Consolas" w:hAnsi="Consolas"/>
          <w:color w:val="8B0000"/>
          <w:sz w:val="19"/>
        </w:rPr>
        <w:t>AUS</w:t>
      </w:r>
      <w:r>
        <w:t>), dan Argentina (</w:t>
      </w:r>
      <w:r>
        <w:rPr>
          <w:rFonts w:ascii="Consolas" w:hAnsi="Consolas"/>
          <w:color w:val="8B0000"/>
          <w:sz w:val="19"/>
        </w:rPr>
        <w:t>ARG</w:t>
      </w:r>
      <w:r>
        <w:t>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Alasan</w:t>
      </w:r>
      <w:r>
        <w:t>: Memberikan tolok ukur (</w:t>
      </w:r>
      <w:r>
        <w:rPr>
          <w:i/>
        </w:rPr>
        <w:t>benchmarking</w:t>
      </w:r>
      <w:r>
        <w:t>) strategis terhadap kapasitas dan performa pendidikan dasar Indonesia di tengah kekuatan ekonomi dunia dengan representasi negara maju (OECD) dan negara berkembang besar (</w:t>
      </w:r>
      <w:r>
        <w:rPr>
          <w:i/>
        </w:rPr>
        <w:t>emerging economies</w:t>
      </w:r>
      <w:r>
        <w:t>).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3. Langkah 3: Integrasi Data Multi-Sumber (*5-Table Integration &amp; Schema Matching*)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Justifikasi &amp; Rasional Metodologis</w:t>
      </w:r>
    </w:p>
    <w:p>
      <w:pPr>
        <w:spacing w:before="20" w:after="80"/>
      </w:pPr>
      <w:r>
        <w:t xml:space="preserve">Data kuantitatif fakta pada </w:t>
      </w:r>
      <w:r>
        <w:rPr>
          <w:rFonts w:ascii="Consolas" w:hAnsi="Consolas"/>
          <w:color w:val="8B0000"/>
          <w:sz w:val="19"/>
        </w:rPr>
        <w:t>EdStatsData.csv</w:t>
      </w:r>
      <w:r>
        <w:t xml:space="preserve"> tidak memiliki label sosioekonomi, kategori topik indikator, maupun catatan metodologi survei. Oleh karena itu, seluruh 5 tabel diintegrasikan dengan menyelesaikan konflik skema dan representasi nilai: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Resolusi Ketidakcocokan Kunci (*Key Mismatch Resolution*)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Menghubungkan relasi antara </w:t>
      </w:r>
      <w:r>
        <w:rPr>
          <w:rFonts w:ascii="Consolas" w:hAnsi="Consolas"/>
          <w:color w:val="8B0000"/>
          <w:sz w:val="19"/>
        </w:rPr>
        <w:t>Indicator Code</w:t>
      </w:r>
      <w:r>
        <w:t xml:space="preserve"> (pada tabel fakta) dengan </w:t>
      </w:r>
      <w:r>
        <w:rPr>
          <w:rFonts w:ascii="Consolas" w:hAnsi="Consolas"/>
          <w:color w:val="8B0000"/>
          <w:sz w:val="19"/>
        </w:rPr>
        <w:t>Series Code</w:t>
      </w:r>
      <w:r>
        <w:t xml:space="preserve"> (pada tabel dimensi indikator </w:t>
      </w:r>
      <w:r>
        <w:rPr>
          <w:rFonts w:ascii="Consolas" w:hAnsi="Consolas"/>
          <w:color w:val="8B0000"/>
          <w:sz w:val="19"/>
        </w:rPr>
        <w:t>EdStatsSeries.csv</w:t>
      </w:r>
      <w:r>
        <w:t>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Resolusi Konflik Nilai Representasi (*Data Value Representation Conflict Resolution*)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Kolom </w:t>
      </w:r>
      <w:r>
        <w:rPr>
          <w:rFonts w:ascii="Consolas" w:hAnsi="Consolas"/>
          <w:color w:val="8B0000"/>
          <w:sz w:val="19"/>
        </w:rPr>
        <w:t>Year</w:t>
      </w:r>
      <w:r>
        <w:t xml:space="preserve"> pada </w:t>
      </w:r>
      <w:r>
        <w:rPr>
          <w:rFonts w:ascii="Consolas" w:hAnsi="Consolas"/>
          <w:color w:val="8B0000"/>
          <w:sz w:val="19"/>
        </w:rPr>
        <w:t>EdStatsFootNote.csv</w:t>
      </w:r>
      <w:r>
        <w:t xml:space="preserve"> menggunakan format string </w:t>
      </w:r>
      <w:r>
        <w:rPr>
          <w:rFonts w:ascii="Consolas" w:hAnsi="Consolas"/>
          <w:color w:val="8B0000"/>
          <w:sz w:val="19"/>
        </w:rPr>
        <w:t>YR2000</w:t>
      </w:r>
      <w:r>
        <w:t xml:space="preserve">, </w:t>
      </w:r>
      <w:r>
        <w:rPr>
          <w:rFonts w:ascii="Consolas" w:hAnsi="Consolas"/>
          <w:color w:val="8B0000"/>
          <w:sz w:val="19"/>
        </w:rPr>
        <w:t>YR2001</w:t>
      </w:r>
      <w:r>
        <w:t>, dst. Dilakukan pembersihan ekspresi reguler (</w:t>
      </w:r>
      <w:r>
        <w:rPr>
          <w:i/>
        </w:rPr>
        <w:t>regex parsing</w:t>
      </w:r>
      <w:r>
        <w:t xml:space="preserve">) untuk mengekstrak angka integer </w:t>
      </w:r>
      <w:r>
        <w:rPr>
          <w:rFonts w:ascii="Consolas" w:hAnsi="Consolas"/>
          <w:color w:val="8B0000"/>
          <w:sz w:val="19"/>
        </w:rPr>
        <w:t>2000</w:t>
      </w:r>
      <w:r>
        <w:t>–</w:t>
      </w:r>
      <w:r>
        <w:rPr>
          <w:rFonts w:ascii="Consolas" w:hAnsi="Consolas"/>
          <w:color w:val="8B0000"/>
          <w:sz w:val="19"/>
        </w:rPr>
        <w:t>2017</w:t>
      </w:r>
      <w:r>
        <w:t xml:space="preserve"> agar dapat digabungkan dengan kunci komposit </w:t>
      </w:r>
      <w:r>
        <w:rPr>
          <w:rFonts w:ascii="Consolas" w:hAnsi="Consolas"/>
          <w:color w:val="8B0000"/>
          <w:sz w:val="19"/>
        </w:rPr>
        <w:t>(CountryCode, SeriesCode, Year)</w:t>
      </w:r>
      <w:r>
        <w:t>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3.  </w:t>
      </w:r>
      <w:r>
        <w:rPr>
          <w:b/>
        </w:rPr>
        <w:t>Ekstraksi Fitur Provenance Data (*Data Provenance &amp; Lineage*)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Dari kolom teks </w:t>
      </w:r>
      <w:r>
        <w:rPr>
          <w:rFonts w:ascii="Consolas" w:hAnsi="Consolas"/>
          <w:color w:val="8B0000"/>
          <w:sz w:val="19"/>
        </w:rPr>
        <w:t>DESCRIPTION</w:t>
      </w:r>
      <w:r>
        <w:t xml:space="preserve"> pada </w:t>
      </w:r>
      <w:r>
        <w:rPr>
          <w:rFonts w:ascii="Consolas" w:hAnsi="Consolas"/>
          <w:color w:val="8B0000"/>
          <w:sz w:val="19"/>
        </w:rPr>
        <w:t>EdStatsFootNote</w:t>
      </w:r>
      <w:r>
        <w:t xml:space="preserve">, diekstraksi fitur biner baru: </w:t>
      </w:r>
      <w:r>
        <w:rPr>
          <w:b/>
        </w:rPr>
        <w:t>`Is_Estimated`</w:t>
      </w:r>
      <w:r>
        <w:t xml:space="preserve"> (True = data hasil estimasi/model UNESCO UIS, False = data hasil sensus langsung).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4.  </w:t>
      </w:r>
      <w:r>
        <w:rPr>
          <w:b/>
        </w:rPr>
        <w:t>Redundansi Atribut &amp; Uji Chi-Square ($\chi^2$)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Sesuai materi kuliah (Han &amp; Kamber Bab 3: </w:t>
      </w:r>
      <w:r>
        <w:rPr>
          <w:i/>
        </w:rPr>
        <w:t>Handling Redundancy in Data Integration</w:t>
      </w:r>
      <w:r>
        <w:t xml:space="preserve">), uji Chi-Square antara </w:t>
      </w:r>
      <w:r>
        <w:rPr>
          <w:rFonts w:ascii="Consolas" w:hAnsi="Consolas"/>
          <w:color w:val="8B0000"/>
          <w:sz w:val="19"/>
        </w:rPr>
        <w:t>Income Group</w:t>
      </w:r>
      <w:r>
        <w:t xml:space="preserve"> dan </w:t>
      </w:r>
      <w:r>
        <w:rPr>
          <w:rFonts w:ascii="Consolas" w:hAnsi="Consolas"/>
          <w:color w:val="8B0000"/>
          <w:sz w:val="19"/>
        </w:rPr>
        <w:t>Region</w:t>
      </w:r>
      <w:r>
        <w:t xml:space="preserve"> menghasilkan $\chi^2 = 557.33$ ($df = 18, p = 8.80 \times 10^{-107} &lt; 0.05$), membuktikan adanya dependensi regional-sosioekonomi yang sangat signifikan.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5.  </w:t>
      </w:r>
      <w:r>
        <w:rPr>
          <w:b/>
        </w:rPr>
        <w:t>Validasi Integritas Relasional (*Referential Integrity Validation*)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Penggabungan 5 tabel dieksekusi dengan operasi </w:t>
      </w:r>
      <w:r>
        <w:rPr>
          <w:i/>
        </w:rPr>
        <w:t>Left Join</w:t>
      </w:r>
      <w:r>
        <w:t xml:space="preserve"> bertingkat. Hasil audit menunjukkan integritas referensial 100% tanpa adanya ledakan kartesian (</w:t>
      </w:r>
      <w:r>
        <w:rPr>
          <w:i/>
        </w:rPr>
        <w:t>cartesian explosion</w:t>
      </w:r>
      <w:r>
        <w:t>).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4. Langkah 4: Pembersihan Data (*Data Cleaning*) dan Transformasi Struktur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Justifikasi &amp; Rasional Metodologis</w:t>
      </w:r>
    </w:p>
    <w:p>
      <w:pPr>
        <w:spacing w:before="20" w:after="80"/>
      </w:pPr>
      <w:r>
        <w:t>Data hasil reduksi dan integrasi masih memiliki struktur horizontal (</w:t>
      </w:r>
      <w:r>
        <w:rPr>
          <w:i/>
        </w:rPr>
        <w:t>wide format</w:t>
      </w:r>
      <w:r>
        <w:t xml:space="preserve">) yang menyulitkan pemodelan regresi, korelasi, dan analisis </w:t>
      </w:r>
      <w:r>
        <w:rPr>
          <w:i/>
        </w:rPr>
        <w:t>time-series</w:t>
      </w:r>
      <w:r>
        <w:t xml:space="preserve">. Selain itu, terdapat </w:t>
      </w:r>
      <w:r>
        <w:rPr>
          <w:i/>
        </w:rPr>
        <w:t>missing values</w:t>
      </w:r>
      <w:r>
        <w:t xml:space="preserve"> sebesar 46,54% pada observasi panel mentah sebelum imputasi. Oleh karena itu, diterapkan serangkaian pembersihan data: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Restrukturisasi Tidy Data (*Wide-to-Long via Unpivot/Melt*) &amp; Format Panel (*Long-to-Feature Pivot*)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Tindakan</w:t>
      </w:r>
      <w:r>
        <w:t>: Melakukan transformasi unpivot (</w:t>
      </w:r>
      <w:r>
        <w:rPr>
          <w:rFonts w:ascii="Consolas" w:hAnsi="Consolas"/>
          <w:color w:val="8B0000"/>
          <w:sz w:val="19"/>
        </w:rPr>
        <w:t>pd.melt</w:t>
      </w:r>
      <w:r>
        <w:t>) untuk menyatukan atribut tahun (</w:t>
      </w:r>
      <w:r>
        <w:rPr>
          <w:rFonts w:ascii="Consolas" w:hAnsi="Consolas"/>
          <w:color w:val="8B0000"/>
          <w:sz w:val="19"/>
        </w:rPr>
        <w:t>2000</w:t>
      </w:r>
      <w:r>
        <w:t>–</w:t>
      </w:r>
      <w:r>
        <w:rPr>
          <w:rFonts w:ascii="Consolas" w:hAnsi="Consolas"/>
          <w:color w:val="8B0000"/>
          <w:sz w:val="19"/>
        </w:rPr>
        <w:t>2017</w:t>
      </w:r>
      <w:r>
        <w:t xml:space="preserve">) ke dalam satu atribut temporal </w:t>
      </w:r>
      <w:r>
        <w:rPr>
          <w:rFonts w:ascii="Consolas" w:hAnsi="Consolas"/>
          <w:color w:val="8B0000"/>
          <w:sz w:val="19"/>
        </w:rPr>
        <w:t>Year</w:t>
      </w:r>
      <w:r>
        <w:t xml:space="preserve"> (</w:t>
      </w:r>
      <w:r>
        <w:rPr>
          <w:i/>
        </w:rPr>
        <w:t>integer</w:t>
      </w:r>
      <w:r>
        <w:t>), lalu memutarbalikkan (</w:t>
      </w:r>
      <w:r>
        <w:rPr>
          <w:i/>
        </w:rPr>
        <w:t>pivot</w:t>
      </w:r>
      <w:r>
        <w:t>) indikator menjadi kolom fitur analitis.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Alasan</w:t>
      </w:r>
      <w:r>
        <w:t>: Format panel (</w:t>
      </w:r>
      <w:r>
        <w:rPr>
          <w:i/>
        </w:rPr>
        <w:t>Tidy Data Principle</w:t>
      </w:r>
      <w:r>
        <w:t xml:space="preserve">) menghasilkan tepat </w:t>
      </w:r>
      <w:r>
        <w:rPr>
          <w:b/>
        </w:rPr>
        <w:t>342 observasi unik (19 Negara x 18 Tahun)</w:t>
      </w:r>
      <w:r>
        <w:t xml:space="preserve"> di mana setiap kolom merepresentasikan variabel fitur kuantitatif independen.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Strategi Imputasi Cerdas Bertingkat (*Hierarchical Domain-Specific Imputation*)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Menghindari pengisian sembarangan (</w:t>
      </w:r>
      <w:r>
        <w:rPr>
          <w:i/>
        </w:rPr>
        <w:t>naive mean/zero imputation</w:t>
      </w:r>
      <w:r>
        <w:t>) yang dapat merusak autokorelasi serial atau mengaburkan perbedaan sosioekonomi antarnegara: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Tingkat 1 (Interpolasi Linier Temporal per Negara)</w:t>
      </w:r>
      <w:r>
        <w:t>: Mengisi kekosongan data historis di antara dua titik waktu yang ada untuk negara yang sama (</w:t>
      </w:r>
      <w:r>
        <w:rPr>
          <w:rFonts w:ascii="Consolas" w:hAnsi="Consolas"/>
          <w:color w:val="8B0000"/>
          <w:sz w:val="19"/>
        </w:rPr>
        <w:t>group.interpolate(method='linear')</w:t>
      </w:r>
      <w:r>
        <w:t>), menjaga kontinuitas tren waktu.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Tingkat 2 (Imputasi Median Berbasis Income Group)</w:t>
      </w:r>
      <w:r>
        <w:t>: Untuk negara yang tidak memiliki observasi pada rentang awal/akhir, nilai diestimasi menggunakan nilai median negara-negara sebaya dalam kelompok pendapatan ekonomi yang sama (</w:t>
      </w:r>
      <w:r>
        <w:rPr>
          <w:i/>
        </w:rPr>
        <w:t>peer income group</w:t>
      </w:r>
      <w:r>
        <w:t>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Tingkat 3 (Median Global G20)</w:t>
      </w:r>
      <w:r>
        <w:t xml:space="preserve">: </w:t>
      </w:r>
      <w:r>
        <w:rPr>
          <w:i/>
        </w:rPr>
        <w:t>Fallback</w:t>
      </w:r>
      <w:r>
        <w:t xml:space="preserve"> pengisian terakhir menggunakan nilai median kelompok G20 untuk menjamin 0% missing value tanpa mendistorsi skala data.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3.  </w:t>
      </w:r>
      <w:r>
        <w:rPr>
          <w:b/>
        </w:rPr>
        <w:t>Deteksi Outlier &amp; Verifikasi Konsistensi Batas Logis (*Data Consistency Checks*)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Melakukan evaluasi statistik deskriptif dan visualisasi boxplot terhadap domain indikator: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Angka Partisipasi Murni (</w:t>
      </w:r>
      <w:r>
        <w:rPr>
          <w:rFonts w:ascii="Consolas" w:hAnsi="Consolas"/>
          <w:color w:val="8B0000"/>
          <w:sz w:val="19"/>
        </w:rPr>
        <w:t>SE.PRM.NENR</w:t>
      </w:r>
      <w:r>
        <w:t>): Berada pada rentang logis 79,23% s.d. 100,00% (rata-rata 95,21%), membuktikan cakupan akses pendidikan dasar yang sangat kuat di G20.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Rasio Murid-Guru (</w:t>
      </w:r>
      <w:r>
        <w:rPr>
          <w:rFonts w:ascii="Consolas" w:hAnsi="Consolas"/>
          <w:color w:val="8B0000"/>
          <w:sz w:val="19"/>
        </w:rPr>
        <w:t>SE.PRM.ENRL.TC.ZS</w:t>
      </w:r>
      <w:r>
        <w:t>): Berkisar antara 10,33 hingga 41,33 (mencerminkan variasi kapasitas ruang kelas nyata di G20).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Tingkat Putus Sekolah (</w:t>
      </w:r>
      <w:r>
        <w:rPr>
          <w:rFonts w:ascii="Consolas" w:hAnsi="Consolas"/>
          <w:color w:val="8B0000"/>
          <w:sz w:val="19"/>
        </w:rPr>
        <w:t>SE.PRM.DROP.ZS</w:t>
      </w:r>
      <w:r>
        <w:t>): Rata-rata 6,93% dengan nilai terendah 0,02% (Jepang/Jerman) dan tertinggi 40,99% (India awal dekade 2000-an).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outlier_det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Gambar: Distribusi Boxplot dan Deteksi Outlier 6 Indikator Pendidikan Dasar G20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5. Langkah 5: Reduksi Dimensi Lanjutan dengan PCA (*Principal Component Analysis*)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Justifikasi &amp; Rasional Metodologis</w:t>
      </w:r>
    </w:p>
    <w:p>
      <w:pPr>
        <w:spacing w:before="20" w:after="80"/>
      </w:pPr>
      <w:r>
        <w:t xml:space="preserve">Untuk mengatasi </w:t>
      </w:r>
      <w:r>
        <w:rPr>
          <w:i/>
        </w:rPr>
        <w:t>curse of dimensionality</w:t>
      </w:r>
      <w:r>
        <w:t xml:space="preserve"> dan menyederhanakan 6 indikator kuantitatif ke dalam representasi ruang ortogonal yang lebih ringkas: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Standarisasi Z-Score ($Z = \frac{X - \mu}{\sigma}$)</w:t>
      </w:r>
      <w:r>
        <w:t>: Seluruh indikator diskalakan agar memiliki rata-rata 0 dan variansi 1 untuk mencegah indikator berskala besar mendominasi proses ekstraksi variansi.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Eigendecomposition &amp; Scree Plot PCA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Komponen Utama 1 (</w:t>
      </w:r>
      <w:r>
        <w:rPr>
          <w:b/>
        </w:rPr>
        <w:t>PC1</w:t>
      </w:r>
      <w:r>
        <w:t xml:space="preserve">): Menjelaskan </w:t>
      </w:r>
      <w:r>
        <w:rPr>
          <w:b/>
        </w:rPr>
        <w:t>70,71%</w:t>
      </w:r>
      <w:r>
        <w:t xml:space="preserve"> dari total variansi data (Sumbu Akses Partisipasi &amp; Kelulusan).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Komponen Utama 2 (</w:t>
      </w:r>
      <w:r>
        <w:rPr>
          <w:b/>
        </w:rPr>
        <w:t>PC2</w:t>
      </w:r>
      <w:r>
        <w:t xml:space="preserve">): Menjelaskan </w:t>
      </w:r>
      <w:r>
        <w:rPr>
          <w:b/>
        </w:rPr>
        <w:t>13,76%</w:t>
      </w:r>
      <w:r>
        <w:t xml:space="preserve"> dari total variansi data (Sumbu Rasio Beban Pengajaran Guru).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Total Informasi Tersimpan</w:t>
      </w:r>
      <w:r>
        <w:t xml:space="preserve">: Dengan mereduksi 6 dimensi indikator menjadi hanya </w:t>
      </w:r>
      <w:r>
        <w:rPr>
          <w:b/>
        </w:rPr>
        <w:t>2 Komponen Utama (2D)</w:t>
      </w:r>
      <w:r>
        <w:t xml:space="preserve">, kita berhasil mempertahankan </w:t>
      </w:r>
      <w:r>
        <w:rPr>
          <w:b/>
        </w:rPr>
        <w:t>84,47%</w:t>
      </w:r>
      <w:r>
        <w:t xml:space="preserve"> dari total variansi dan informasi data asli (terbukti melampaui ambang batas standar 80% pada </w:t>
      </w:r>
      <w:r>
        <w:rPr>
          <w:i/>
        </w:rPr>
        <w:t>Scree Plot</w:t>
      </w:r>
      <w:r>
        <w:t>).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6. Langkah 6: Diskretisasi Data &amp; Pembentukan Konsep Hierarki (*Concept Hierarchy*)</w:t>
      </w:r>
    </w:p>
    <w:p>
      <w:pPr>
        <w:keepNext/>
        <w:spacing w:before="180" w:after="40"/>
      </w:pPr>
      <w:r>
        <w:rPr>
          <w:b/>
          <w:color w:val="2C3E50"/>
          <w:sz w:val="22"/>
        </w:rPr>
        <w:t>Justifikasi &amp; Rasional Metodologis</w:t>
      </w:r>
    </w:p>
    <w:p>
      <w:pPr>
        <w:spacing w:before="20" w:after="80"/>
      </w:pPr>
      <w:r>
        <w:t xml:space="preserve">Berdasarkan materi kuliah mengenai </w:t>
      </w:r>
      <w:r>
        <w:rPr>
          <w:i/>
        </w:rPr>
        <w:t>Data Discretization (Interval &amp; Concept Hierarchy Binning)</w:t>
      </w:r>
      <w:r>
        <w:t>, teknik diskretisasi diterapkan pada dua indikator kunci untuk membentuk konsep hierarki kategorikal yang seimbang di negara-negara G20: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Kelulusan Pendidikan Dasar (*Primary Completion Rate*)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Kelulusan Rendah ($&lt; 96\%$)</w:t>
      </w:r>
      <w:r>
        <w:t>: Menghadapi tantangan efisiensi penuntasan pendidikan dasar (contoh: China $92,47\%$).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Kelulusan Sedang ($96\% - 99\%$)</w:t>
      </w:r>
      <w:r>
        <w:t>: Penuntasan stabil di tingkat menengah G20 (contoh: India $97,55\%$).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Kelulusan Tinggi ($&gt; 99\%$)</w:t>
      </w:r>
      <w:r>
        <w:t>: Pencapaian kelulusan universal penuh dan penuntasan siswa lintas usia (contoh: Jerman $102,58\%$, Jepang $102,06\%$, Indonesia $102,00\%$, AS $100,62\%$, UK $100,62\%$, Brasil $100,68\%$).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Rasio Murid per Guru (*Pupil-Teacher Ratio*)</w:t>
      </w:r>
      <w:r>
        <w:t>: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Rasio Ideal ($&lt; 15$ murid/guru)</w:t>
      </w:r>
      <w:r>
        <w:t>: Kapasitas pengajaran sangat optimal (contoh: Jerman $12,22$, AS $14,54$).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Rasio Moderat ($15 - 20$ murid/guru)</w:t>
      </w:r>
      <w:r>
        <w:t>: Kapasitas pengajaran standar (contoh: Indonesia $16,56$, Jepang $16,45$, China $16,29$, UK $17,39$).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Rasio Padat ($&gt; 20$ murid/guru)</w:t>
      </w:r>
      <w:r>
        <w:t>: Beban pengajaran tinggi (contoh: India $31,49$, Brasil $20,92$).</w:t>
      </w:r>
    </w:p>
    <w:p>
      <w:pPr>
        <w:spacing w:before="80" w:after="120"/>
        <w:ind w:left="432"/>
      </w:pPr>
      <w:r>
        <w:t xml:space="preserve">💡 </w:t>
      </w:r>
      <w:r>
        <w:rPr>
          <w:i/>
        </w:rPr>
        <w:t>Catatan Metodologis Metrik</w:t>
      </w:r>
      <w:r>
        <w:t>: Sesuai standar resmi UNESCO UIS (</w:t>
      </w:r>
      <w:r>
        <w:rPr>
          <w:i/>
        </w:rPr>
        <w:t>ISCED Level 1 - Primary Education</w:t>
      </w:r>
      <w:r>
        <w:t xml:space="preserve"> / Pendidikan Dasar), indikator kelulusan (</w:t>
      </w:r>
      <w:r>
        <w:rPr>
          <w:rFonts w:ascii="Consolas" w:hAnsi="Consolas"/>
          <w:color w:val="8B0000"/>
          <w:sz w:val="19"/>
        </w:rPr>
        <w:t>SE.PRM.CMPT.ZS</w:t>
      </w:r>
      <w:r>
        <w:t xml:space="preserve">) dihitung menggunakan metode </w:t>
      </w:r>
      <w:r>
        <w:rPr>
          <w:i/>
        </w:rPr>
        <w:t>Gross Intake Ratio to Last Grade</w:t>
      </w:r>
      <w:r>
        <w:t>. Angka di atas 100% pada beberapa negara mencerminkan akumulasi siswa lintas usia (</w:t>
      </w:r>
      <w:r>
        <w:rPr>
          <w:i/>
        </w:rPr>
        <w:t>over-age graduates</w:t>
      </w:r>
      <w:r>
        <w:t>) yang lulus bersama siswa usia standar, dan bukan berarti ketiadaan siswa putus sekolah.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7. Temuan Analitis Kunci &amp; Visualisasi Wawasan (*Analysis &amp; Key Insights*)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1.  </w:t>
      </w:r>
      <w:r>
        <w:rPr>
          <w:b/>
        </w:rPr>
        <w:t>Posisi Benchmarking Indonesia di G20</w:t>
      </w:r>
      <w:r>
        <w:t>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7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sasi_tren_pendidikan_g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7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Gambar: Tren Angka Partisipasi Murni (NER) 19 Negara Anggota G20 (2000–2017)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Angka Partisipasi Murni (NER) Indonesia stabil di kisaran </w:t>
      </w:r>
      <w:r>
        <w:rPr>
          <w:b/>
        </w:rPr>
        <w:t>96%–98%</w:t>
      </w:r>
      <w:r>
        <w:t>, sejajar dengan negara-negara berkembang maju dan mendekati negara-negara OECD (~99%).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 xml:space="preserve">Rasio Murid-Guru Indonesia berada pada angka rata-rata ~16-17 murid/guru (2015), menempatkan Indonesia pada kategori </w:t>
      </w:r>
      <w:r>
        <w:rPr>
          <w:b/>
        </w:rPr>
        <w:t>Rasio Moderat</w:t>
      </w:r>
      <w:r>
        <w:t xml:space="preserve"> di G20 (jauh lebih baik dibanding India yang &gt;31 murid/guru).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2.  </w:t>
      </w:r>
      <w:r>
        <w:rPr>
          <w:b/>
        </w:rPr>
        <w:t>Paritas Gender di G20 (*Gender Parity Scatter*)</w:t>
      </w:r>
      <w:r>
        <w:t>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36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parit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3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Gambar: Analisis Paritas Gender Partisipasi Siswa Laki-laki vs. Perempuan terhadap Garis 1:1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Plot paritas gender menunjukkan seluruh observasi negara G20 berkumpul sangat rapat pada garis diagonal $y=x$, membuktikan bahwa disparitas akses pendidikan antara anak laki-laki dan perempuan telah berhasil dihilangkan di seluruh negara anggota G20.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3.  </w:t>
      </w:r>
      <w:r>
        <w:rPr>
          <w:b/>
        </w:rPr>
        <w:t>Peta Panas Evolusi Pendidikan (*Macro Temporal Heatmap*)</w:t>
      </w:r>
      <w:r>
        <w:t>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87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heatmap_g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Gambar: Peta Panas (Heatmap) Evolusi Partisipasi Murni 19 Negara G20 (2000–2017)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t>Visualisasi heatmap 19 negara sepanjang 2000–2017 memperlihatkan konvergensi global di mana negara-negara berkembang G20 (seperti India dan Turki) mengalami peningkatan partisipasi yang sangat pesat dari dekade awal 2000-an menuju penuntasan universal di 2017.</w:t>
      </w:r>
    </w:p>
    <w:p>
      <w:pPr>
        <w:spacing w:before="20" w:after="40"/>
        <w:ind w:left="360"/>
      </w:pPr>
      <w:r>
        <w:rPr>
          <w:b/>
          <w:color w:val="1B365D"/>
        </w:rPr>
        <w:t xml:space="preserve">4.  </w:t>
      </w:r>
      <w:r>
        <w:rPr>
          <w:b/>
        </w:rPr>
        <w:t>Studi Kasus Efektivitas Imputasi Deret Waktu (*Before vs. After: Indonesia &amp; India*)</w:t>
      </w:r>
      <w:r>
        <w:t>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2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fter_imputation_case_stu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Gambar: Studi Kasus Before vs. After Imputasi Deret Waktu (Indonesia &amp; India)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Kasus Indonesia (Gap di Ujung)</w:t>
      </w:r>
      <w:r>
        <w:t>: Menyambungkan ketiadaan data sensus di tahun 2000–2001 dan 2016–2017 secara mulus mengikuti batas tren riil nasional.</w:t>
      </w:r>
    </w:p>
    <w:p>
      <w:pPr>
        <w:spacing w:before="20" w:after="40"/>
        <w:ind w:left="648"/>
      </w:pPr>
      <w:r>
        <w:rPr>
          <w:b/>
          <w:color w:val="1B365D"/>
        </w:rPr>
        <w:t xml:space="preserve">◦  </w:t>
      </w:r>
      <w:r>
        <w:rPr>
          <w:b/>
        </w:rPr>
        <w:t>Kasus India (Gap Tepat di Tengah)</w:t>
      </w:r>
      <w:r>
        <w:t>: Menunjukkan keandalan interpolasi linier dalam merekonstruksi data yang terputus di tahun 2004, 2005, dan 2006 (dari $84.1\%$ di 2003 menuju $91.3\%$ di 2007) sehingga kurva deret waktu tersambung utuh tanpa mengubah arah akselerasi program pendidikannya.</w:t>
      </w:r>
    </w:p>
    <w:p>
      <w:pPr>
        <w:keepNext/>
        <w:spacing w:before="240" w:after="80"/>
      </w:pPr>
      <w:r>
        <w:rPr>
          <w:b/>
          <w:color w:val="1B365D"/>
          <w:sz w:val="25"/>
        </w:rPr>
        <w:t>8. Ringkasan Evaluasi Kuantitatif: Sebelum vs. Sesudah Prapemrosesan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 / Indikator Kualitas</w:t>
            </w:r>
          </w:p>
        </w:tc>
        <w:tc>
          <w:tcPr>
            <w:tcW w:type="dxa" w:w="1806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 Mentah Global (</w:t>
            </w:r>
            <w:r>
              <w:rPr>
                <w:b/>
                <w:i/>
                <w:color w:val="FFFFFF"/>
                <w:sz w:val="18"/>
              </w:rPr>
              <w:t>EdStatsData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806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 Panel G20 Mentah (Filter 3D)</w:t>
            </w:r>
          </w:p>
        </w:tc>
        <w:tc>
          <w:tcPr>
            <w:tcW w:type="dxa" w:w="1806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Data Panel G20 Bersih (</w:t>
            </w:r>
            <w:r>
              <w:rPr>
                <w:b/>
                <w:i/>
                <w:color w:val="FFFFFF"/>
                <w:sz w:val="18"/>
              </w:rPr>
              <w:t>Cleaned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1806"/>
            <w:vAlign w:val="center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1B365D"/>
              <w:left w:val="none"/>
              <w:bottom w:val="single" w:sz="6" w:space="0" w:color="1B365D"/>
              <w:right w:val="none"/>
              <w:insideH w:val="none"/>
              <w:insideV w:val="non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Keterangan Perubahan Metodologis</w:t>
            </w:r>
          </w:p>
        </w:tc>
      </w:tr>
      <w:tr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Bentuk Struktur Tabel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i/>
                <w:sz w:val="17"/>
              </w:rPr>
              <w:t>Wide Format</w:t>
            </w:r>
            <w:r>
              <w:rPr>
                <w:sz w:val="17"/>
              </w:rPr>
              <w:t xml:space="preserve"> (70 Kolom)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i/>
                <w:sz w:val="17"/>
              </w:rPr>
              <w:t>Tidy Panel Format</w:t>
            </w:r>
            <w:r>
              <w:rPr>
                <w:sz w:val="17"/>
              </w:rPr>
              <w:t xml:space="preserve"> (342 Baris)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i/>
                <w:sz w:val="17"/>
              </w:rPr>
              <w:t>Tidy Panel ML Ready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Terstruktur rapi (</w:t>
            </w:r>
            <w:r>
              <w:rPr>
                <w:i/>
                <w:sz w:val="17"/>
              </w:rPr>
              <w:t>Country-Year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Jumlah Tabel Sumber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Terpisah di 5 berkas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Terintegrasi 5 Berkas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Terintegrasi Utuh (</w:t>
            </w:r>
            <w:r>
              <w:rPr>
                <w:i/>
                <w:sz w:val="17"/>
              </w:rPr>
              <w:t>Star Schema</w:t>
            </w:r>
            <w:r>
              <w:rPr>
                <w:sz w:val="17"/>
              </w:rPr>
              <w:t>)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Resolusi konflik </w:t>
            </w:r>
            <w:r>
              <w:rPr>
                <w:rFonts w:ascii="Consolas" w:hAnsi="Consolas"/>
                <w:color w:val="8B0000"/>
                <w:sz w:val="17"/>
              </w:rPr>
              <w:t>YR2000</w:t>
            </w:r>
            <w:r>
              <w:rPr>
                <w:sz w:val="17"/>
              </w:rPr>
              <w:t xml:space="preserve"> $\to$ </w:t>
            </w:r>
            <w:r>
              <w:rPr>
                <w:rFonts w:ascii="Consolas" w:hAnsi="Consolas"/>
                <w:color w:val="8B0000"/>
                <w:sz w:val="17"/>
              </w:rPr>
              <w:t>2000</w:t>
            </w:r>
          </w:p>
        </w:tc>
      </w:tr>
      <w:tr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Kardinalitas Baris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886.930 baris mentah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342 observasi panel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342 observasi panel lengkap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Fokus pada 19 negara G20 (2000–2017)</w:t>
            </w:r>
          </w:p>
        </w:tc>
      </w:tr>
      <w:tr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Jumlah Fitur/Atribut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70 kolom mentah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6 indikator inti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13 atribut (+ 2 PC &amp; 2 Kategori)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Retensi variansi PCA sebesar 84,47%</w:t>
            </w:r>
          </w:p>
        </w:tc>
      </w:tr>
      <w:tr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Rentang Partisipasi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Nilai &gt;100% pada GER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79,23% – 100,00% (NER)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79,23% – 100,00% (NER)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Basis pembilang &amp; penyebut sama</w:t>
            </w:r>
          </w:p>
        </w:tc>
      </w:tr>
      <w:tr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Persentase Nilai Kosong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86,10%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Extremely Sparse</w:t>
            </w:r>
            <w:r>
              <w:rPr>
                <w:sz w:val="17"/>
              </w:rPr>
              <w:t>)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46,54%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Raw Panel Gap</w:t>
            </w:r>
            <w:r>
              <w:rPr>
                <w:sz w:val="17"/>
              </w:rPr>
              <w:t>)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0,00%</w:t>
            </w:r>
            <w:r>
              <w:rPr>
                <w:sz w:val="17"/>
              </w:rPr>
              <w:t xml:space="preserve"> (</w:t>
            </w:r>
            <w:r>
              <w:rPr>
                <w:i/>
                <w:sz w:val="17"/>
              </w:rPr>
              <w:t>Fully Clean</w:t>
            </w:r>
            <w:r>
              <w:rPr>
                <w:sz w:val="17"/>
              </w:rPr>
              <w:t>)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Imputasi berjenjang 3-Tier sukses</w:t>
            </w:r>
          </w:p>
        </w:tc>
      </w:tr>
      <w:tr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Ukuran Berkas di Disk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~326,4 MB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~55,4 KB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~45,8 KB</w:t>
            </w:r>
          </w:p>
        </w:tc>
        <w:tc>
          <w:tcPr>
            <w:tcW w:type="dxa" w:w="1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Efisiensi penyimpanan &gt;99,9%</w:t>
            </w:r>
          </w:p>
        </w:tc>
      </w:tr>
      <w:tr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Ukuran Memori RAM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~740,56 MB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~0,05 MB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~0,04 MB</w:t>
            </w:r>
          </w:p>
        </w:tc>
        <w:tc>
          <w:tcPr>
            <w:tcW w:type="dxa" w:w="1806"/>
            <w:vAlign w:val="center"/>
            <w:shd w:fill="F7F9FC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60" w:after="60"/>
            </w:pPr>
            <w:r>
              <w:rPr>
                <w:sz w:val="17"/>
              </w:rPr>
            </w:r>
            <w:r>
              <w:rPr>
                <w:sz w:val="17"/>
              </w:rPr>
              <w:t>Efisiensi komputasi optimal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B365D"/>
          <w:sz w:val="25"/>
        </w:rPr>
        <w:t>9. Kesimpulan (*Conclusion*)</w:t>
      </w:r>
    </w:p>
    <w:p>
      <w:pPr>
        <w:spacing w:before="20" w:after="80"/>
      </w:pPr>
      <w:r>
        <w:t xml:space="preserve">Alur kerja prapemrosesan data pada World Bank Global Education Statistics telah berhasil mengeksekusi integrasi </w:t>
      </w:r>
      <w:r>
        <w:rPr>
          <w:b/>
        </w:rPr>
        <w:t>5 Tabel Lengkap</w:t>
      </w:r>
      <w:r>
        <w:t xml:space="preserve">, </w:t>
      </w:r>
      <w:r>
        <w:rPr>
          <w:b/>
        </w:rPr>
        <w:t>Data Reduction</w:t>
      </w:r>
      <w:r>
        <w:t xml:space="preserve">, </w:t>
      </w:r>
      <w:r>
        <w:rPr>
          <w:b/>
        </w:rPr>
        <w:t>Data Value Representation Conflict Resolution</w:t>
      </w:r>
      <w:r>
        <w:t xml:space="preserve">, </w:t>
      </w:r>
      <w:r>
        <w:rPr>
          <w:b/>
        </w:rPr>
        <w:t>Data Cleaning</w:t>
      </w:r>
      <w:r>
        <w:t xml:space="preserve">, </w:t>
      </w:r>
      <w:r>
        <w:rPr>
          <w:b/>
        </w:rPr>
        <w:t>Data Transformation</w:t>
      </w:r>
      <w:r>
        <w:t xml:space="preserve">, dan </w:t>
      </w:r>
      <w:r>
        <w:rPr>
          <w:b/>
        </w:rPr>
        <w:t>Dimensionality Reduction (PCA)</w:t>
      </w:r>
      <w:r>
        <w:t xml:space="preserve"> secara terintegrasi. Dengan mengadopsi indikator </w:t>
      </w:r>
      <w:r>
        <w:rPr>
          <w:b/>
        </w:rPr>
        <w:t>Angka Partisipasi Murni (*Net Enrolment Rate / NER*)</w:t>
      </w:r>
      <w:r>
        <w:t>, seluruh metrik partisipasi pendidikan berada pada skala persentase yang logis dan natural ($0\% - 100\%$) dengan basis usia pembilang dan penyebut yang konsisten, mempertahankan lebih dari 84% variansi informasi esensial untuk pemodelan data mining.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fter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Gambar: Evaluasi Sebelum vs. Sesudah Preprocessing: Missing Rate 3 Tahap &amp; Efisiensi Penyimpanan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