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2571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 w:before="0" w:line="288"/>
        <w:jc w:val="center"/>
      </w:pPr>
      <w:r>
        <w:rPr>
          <w:rFonts w:ascii="Cairo ExtraBold" w:cs="Cairo ExtraBold" w:eastAsia="Cairo ExtraBold" w:hAnsi="Cairo ExtraBold"/>
          <w:color w:val="0A5C60"/>
          <w:sz w:val="56"/>
          <w:szCs w:val="56"/>
          <w:rtl/>
        </w:rPr>
        <w:t xml:space="preserve">نادي الذكاء الاصطناعي</w:t>
      </w:r>
    </w:p>
    <w:p>
      <w:pPr>
        <w:bidi/>
        <w:spacing w:after="140" w:before="0" w:line="288"/>
        <w:jc w:val="center"/>
      </w:pPr>
      <w:r>
        <w:rPr>
          <w:rFonts w:ascii="Cairo" w:cs="Cairo" w:eastAsia="Cairo" w:hAnsi="Cairo"/>
          <w:color w:val="5F6B76"/>
          <w:sz w:val="26"/>
          <w:szCs w:val="26"/>
          <w:rtl/>
        </w:rPr>
        <w:t xml:space="preserve">الخطة التشغيلية من 14 أكتوبر 2026 إلى مارس 2027</w:t>
      </w:r>
    </w:p>
    <w:p>
      <w:pPr>
        <w:pBdr>
          <w:bottom w:val="single" w:color="E07B39" w:sz="18" w:space="1"/>
        </w:pBdr>
        <w:bidi/>
        <w:spacing w:after="160" w:before="0" w:line="288"/>
        <w:ind w:left="4300" w:right="4300"/>
        <w:jc w:val="center"/>
      </w:pPr>
      <w:r>
        <w:rPr>
          <w:rFonts w:ascii="Cairo" w:cs="Cairo" w:eastAsia="Cairo" w:hAnsi="Cairo"/>
          <w:color w:val="1F2933"/>
          <w:sz w:val="4"/>
          <w:szCs w:val="4"/>
          <w:rtl w:val="false"/>
        </w:rPr>
        <w:t xml:space="preserve"> </w:t>
      </w:r>
    </w:p>
    <w:p>
      <w:pPr>
        <w:bidi/>
        <w:spacing w:after="300" w:before="0" w:line="288"/>
        <w:jc w:val="center"/>
      </w:pPr>
      <w:r>
        <w:rPr>
          <w:rFonts w:ascii="Cairo" w:cs="Cairo" w:eastAsia="Cairo" w:hAnsi="Cairo"/>
          <w:color w:val="5F6B76"/>
          <w:sz w:val="22"/>
          <w:szCs w:val="22"/>
          <w:rtl/>
        </w:rPr>
        <w:t xml:space="preserve">تحت إشراف:  </w:t>
      </w:r>
      <w:r>
        <w:rPr>
          <w:rFonts w:ascii="Cairo" w:cs="Cairo" w:eastAsia="Cairo" w:hAnsi="Cairo"/>
          <w:b/>
          <w:bCs/>
          <w:color w:val="0A5C60"/>
          <w:sz w:val="24"/>
          <w:szCs w:val="24"/>
          <w:rtl/>
        </w:rPr>
        <w:t xml:space="preserve">د. أنمار الحجيلي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5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مراحل</w:t>
            </w:r>
          </w:p>
        </w:tc>
        <w:tc>
          <w:tcPr>
            <w:tcW w:type="dxa" w:w="247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6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ورش تطبيقية</w:t>
            </w:r>
          </w:p>
        </w:tc>
        <w:tc>
          <w:tcPr>
            <w:tcW w:type="dxa" w:w="247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1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هاكاثون</w:t>
            </w:r>
          </w:p>
        </w:tc>
        <w:tc>
          <w:tcPr>
            <w:tcW w:type="dxa" w:w="247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1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معرض ختامي</w:t>
            </w:r>
          </w:p>
        </w:tc>
      </w:tr>
    </w:tbl>
    <w:p>
      <w:pPr>
        <w:keepNext/>
        <w:pBdr>
          <w:right w:val="single" w:color="E07B39" w:sz="36" w:space="10"/>
        </w:pBdr>
        <w:bidi/>
        <w:spacing w:after="160" w:before="280"/>
        <w:jc w:val="start"/>
      </w:pPr>
      <w:r>
        <w:rPr>
          <w:rFonts w:ascii="Cairo ExtraBold" w:cs="Cairo ExtraBold" w:eastAsia="Cairo ExtraBold" w:hAnsi="Cairo ExtraBold"/>
          <w:color w:val="0A5C60"/>
          <w:sz w:val="30"/>
          <w:szCs w:val="30"/>
          <w:rtl/>
        </w:rPr>
        <w:t xml:space="preserve">مراحل الخطة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2700"/>
        <w:gridCol w:w="4206"/>
      </w:tblGrid>
      <w:tr>
        <w:trPr>
          <w:cantSplit/>
          <w:tblHeader/>
          <w:trHeight w:val="46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الفترة</w:t>
            </w:r>
          </w:p>
        </w:tc>
        <w:tc>
          <w:tcPr>
            <w:tcW w:type="dxa" w:w="4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المحور الرئيسي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1</w:t>
            </w:r>
          </w:p>
        </w:tc>
        <w:tc>
          <w:tcPr>
            <w:tcW w:type="dxa" w:w="2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1"/>
                <w:szCs w:val="21"/>
                <w:rtl/>
              </w:rPr>
              <w:t xml:space="preserve">التأسيس والانطلاق</w:t>
            </w:r>
          </w:p>
        </w:tc>
        <w:tc>
          <w:tcPr>
            <w:tcW w:type="dxa" w:w="2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14 أكتوبر – 4 نوفمبر 2026</w:t>
            </w:r>
          </w:p>
        </w:tc>
        <w:tc>
          <w:tcPr>
            <w:tcW w:type="dxa" w:w="4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اعتماد الهيكل وتوزيع المهام، واللقاء التعريفي، وتهيئة الأعضاء الجدد، وتشكيل فرق المشاريع.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2</w:t>
            </w:r>
          </w:p>
        </w:tc>
        <w:tc>
          <w:tcPr>
            <w:tcW w:type="dxa" w:w="2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1"/>
                <w:szCs w:val="21"/>
                <w:rtl/>
              </w:rPr>
              <w:t xml:space="preserve">التعلم والإطلاق</w:t>
            </w:r>
          </w:p>
        </w:tc>
        <w:tc>
          <w:tcPr>
            <w:tcW w:type="dxa" w:w="2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11 نوفمبر – 30 ديسمبر 2026</w:t>
            </w:r>
          </w:p>
        </w:tc>
        <w:tc>
          <w:tcPr>
            <w:tcW w:type="dxa" w:w="4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ورش تطبيقية كل أسبوعين، وتحديات شهرية، ولقاءات خبراء، ومتابعة أولى لفرق المشاريع.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3</w:t>
            </w:r>
          </w:p>
        </w:tc>
        <w:tc>
          <w:tcPr>
            <w:tcW w:type="dxa" w:w="2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1"/>
                <w:szCs w:val="21"/>
                <w:rtl/>
              </w:rPr>
              <w:t xml:space="preserve">البناء والتحدي</w:t>
            </w:r>
          </w:p>
        </w:tc>
        <w:tc>
          <w:tcPr>
            <w:tcW w:type="dxa" w:w="2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6 يناير – 3 فبراير 2027</w:t>
            </w:r>
          </w:p>
        </w:tc>
        <w:tc>
          <w:tcPr>
            <w:tcW w:type="dxa" w:w="4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نشر النماذج، وورشة الابتكار، وهاكاثون EWA AI المصغّر، والمتابعة الثانية للمشاريع.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4</w:t>
            </w:r>
          </w:p>
        </w:tc>
        <w:tc>
          <w:tcPr>
            <w:tcW w:type="dxa" w:w="2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1"/>
                <w:szCs w:val="21"/>
                <w:rtl/>
              </w:rPr>
              <w:t xml:space="preserve">رمضان: إيقاع خفيف</w:t>
            </w:r>
          </w:p>
        </w:tc>
        <w:tc>
          <w:tcPr>
            <w:tcW w:type="dxa" w:w="2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8 فبراير – 9 مارس 2027 تقريبًا</w:t>
            </w:r>
          </w:p>
        </w:tc>
        <w:tc>
          <w:tcPr>
            <w:tcW w:type="dxa" w:w="4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جلسات قصيرة عن بُعد، ومحتوى يوم التأسيس، وعيادة لتجويد المشاريع قبل العرض النهائي.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5</w:t>
            </w:r>
          </w:p>
        </w:tc>
        <w:tc>
          <w:tcPr>
            <w:tcW w:type="dxa" w:w="2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1"/>
                <w:szCs w:val="21"/>
                <w:rtl/>
              </w:rPr>
              <w:t xml:space="preserve">إظهار الأثر</w:t>
            </w:r>
          </w:p>
        </w:tc>
        <w:tc>
          <w:tcPr>
            <w:tcW w:type="dxa" w:w="2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بعد عيد الفطر – 31 مارس 2027</w:t>
            </w:r>
          </w:p>
        </w:tc>
        <w:tc>
          <w:tcPr>
            <w:tcW w:type="dxa" w:w="4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معرض EWA AI Showcase، وتكريم الأعضاء، وقياس الرضا، وإعداد التقرير الختامي.</w:t>
            </w:r>
          </w:p>
        </w:tc>
      </w:tr>
    </w:tbl>
    <w:p>
      <w:pPr>
        <w:keepNext/>
        <w:pBdr>
          <w:right w:val="single" w:color="E07B39" w:sz="36" w:space="10"/>
        </w:pBdr>
        <w:bidi/>
        <w:spacing w:after="160" w:before="280"/>
        <w:jc w:val="start"/>
      </w:pPr>
      <w:r>
        <w:rPr>
          <w:rFonts w:ascii="Cairo ExtraBold" w:cs="Cairo ExtraBold" w:eastAsia="Cairo ExtraBold" w:hAnsi="Cairo ExtraBold"/>
          <w:color w:val="0A5C60"/>
          <w:sz w:val="30"/>
          <w:szCs w:val="30"/>
          <w:rtl/>
        </w:rPr>
        <w:t xml:space="preserve">الإيقاع الثابت للنادي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600"/>
        <w:gridCol w:w="5306"/>
      </w:tblGrid>
      <w:tr>
        <w:trPr>
          <w:cantSplit/>
          <w:tblHeader/>
          <w:trHeight w:val="460" w:hRule="atLeast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التكرار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النشاط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E07B39"/>
                <w:sz w:val="19"/>
                <w:szCs w:val="19"/>
                <w:rtl/>
              </w:rPr>
              <w:t xml:space="preserve">أسبوعيًا (كل أربعاء)</w:t>
            </w:r>
          </w:p>
        </w:tc>
        <w:tc>
          <w:tcPr>
            <w:tcW w:type="dxa" w:w="2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0"/>
                <w:szCs w:val="20"/>
                <w:rtl/>
              </w:rPr>
              <w:t xml:space="preserve">أربعاء الذكاء + AI Byte</w:t>
            </w:r>
          </w:p>
        </w:tc>
        <w:tc>
          <w:tcPr>
            <w:tcW w:type="dxa" w:w="53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20 دقيقة تفاعلية (كويز Kahoot، تحدي الدقيقة، AI Fact or Myth، سيناريو عملي) يتبعها شرح مفهوم واحد يقدمه أحد الأعضاء.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E07B39"/>
                <w:sz w:val="19"/>
                <w:szCs w:val="19"/>
                <w:rtl/>
              </w:rPr>
              <w:t xml:space="preserve">كل أسبوعين</w:t>
            </w:r>
          </w:p>
        </w:tc>
        <w:tc>
          <w:tcPr>
            <w:tcW w:type="dxa" w:w="2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0"/>
                <w:szCs w:val="20"/>
                <w:rtl/>
              </w:rPr>
              <w:t xml:space="preserve">المختبر التطبيقي</w:t>
            </w:r>
          </w:p>
        </w:tc>
        <w:tc>
          <w:tcPr>
            <w:tcW w:type="dxa" w:w="53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ورشة عملية يبني فيها الأعضاء نموذجًا أو أداة صغيرة.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E07B39"/>
                <w:sz w:val="19"/>
                <w:szCs w:val="19"/>
                <w:rtl/>
              </w:rPr>
              <w:t xml:space="preserve">شهريًا</w:t>
            </w:r>
          </w:p>
        </w:tc>
        <w:tc>
          <w:tcPr>
            <w:tcW w:type="dxa" w:w="2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0"/>
                <w:szCs w:val="20"/>
                <w:rtl/>
              </w:rPr>
              <w:t xml:space="preserve">تحدٍّ + لقاء خبير</w:t>
            </w:r>
          </w:p>
        </w:tc>
        <w:tc>
          <w:tcPr>
            <w:tcW w:type="dxa" w:w="53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تحدٍّ ببيانات حقيقية من الطاقة أو المياه، ولقاء مع خبير من القطاع.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E07B39"/>
                <w:sz w:val="19"/>
                <w:szCs w:val="19"/>
                <w:rtl/>
              </w:rPr>
              <w:t xml:space="preserve">شهريًا</w:t>
            </w:r>
          </w:p>
        </w:tc>
        <w:tc>
          <w:tcPr>
            <w:tcW w:type="dxa" w:w="2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0"/>
                <w:szCs w:val="20"/>
                <w:rtl/>
              </w:rPr>
              <w:t xml:space="preserve">لوحة الشرف</w:t>
            </w:r>
          </w:p>
        </w:tc>
        <w:tc>
          <w:tcPr>
            <w:tcW w:type="dxa" w:w="53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إعلان أفضل 10 أعضاء حسب الحضور والمشاركة ونتائج التحديات ونقل المعرفة والعمل الجماعي.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E07B39"/>
                <w:sz w:val="19"/>
                <w:szCs w:val="19"/>
                <w:rtl/>
              </w:rPr>
              <w:t xml:space="preserve">كل فصل</w:t>
            </w:r>
          </w:p>
        </w:tc>
        <w:tc>
          <w:tcPr>
            <w:tcW w:type="dxa" w:w="2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0"/>
                <w:szCs w:val="20"/>
                <w:rtl w:val="false"/>
              </w:rPr>
              <w:t xml:space="preserve">EWA AI Showcase</w:t>
            </w:r>
          </w:p>
        </w:tc>
        <w:tc>
          <w:tcPr>
            <w:tcW w:type="dxa" w:w="53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معرض لمشاريع الأعضاء أمام إدارة الأكاديمية والشركاء.</w:t>
            </w:r>
          </w:p>
        </w:tc>
      </w:tr>
    </w:tbl>
    <w:p>
      <w:r>
        <w:br w:type="page"/>
      </w:r>
    </w:p>
    <w:p>
      <w:pPr>
        <w:keepNext/>
        <w:pBdr>
          <w:right w:val="single" w:color="E07B39" w:sz="36" w:space="10"/>
        </w:pBdr>
        <w:bidi/>
        <w:spacing w:after="160" w:before="280"/>
        <w:jc w:val="start"/>
      </w:pPr>
      <w:r>
        <w:rPr>
          <w:rFonts w:ascii="Cairo ExtraBold" w:cs="Cairo ExtraBold" w:eastAsia="Cairo ExtraBold" w:hAnsi="Cairo ExtraBold"/>
          <w:color w:val="0A5C60"/>
          <w:sz w:val="30"/>
          <w:szCs w:val="30"/>
          <w:rtl/>
        </w:rPr>
        <w:t xml:space="preserve">الجدول الزمني الأسبوعي</w:t>
      </w:r>
      <w:r>
        <w:rPr>
          <w:rFonts w:ascii="Cairo" w:cs="Cairo" w:eastAsia="Cairo" w:hAnsi="Cairo"/>
          <w:color w:val="5F6B76"/>
          <w:sz w:val="20"/>
          <w:szCs w:val="20"/>
          <w:rtl/>
        </w:rPr>
        <w:t xml:space="preserve">   (14 أكتوبر 2026 – 31 مارس 2027)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4900"/>
        <w:gridCol w:w="1450"/>
        <w:gridCol w:w="1806"/>
      </w:tblGrid>
      <w:tr>
        <w:trPr>
          <w:cantSplit/>
          <w:tblHeader/>
          <w:trHeight w:val="460" w:hRule="atLeast"/>
        </w:trP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النشاط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1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المسؤول</w:t>
            </w:r>
          </w:p>
        </w:tc>
      </w:tr>
      <w:tr>
        <w:trPr>
          <w:cantSplit/>
        </w:trPr>
        <w:tc>
          <w:tcPr>
            <w:tcW w:type="dxa" w:w="9906"/>
            <w:gridSpan w:val="4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0A5C6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FFFFFF"/>
                <w:sz w:val="21"/>
                <w:szCs w:val="21"/>
                <w:rtl/>
              </w:rPr>
              <w:t xml:space="preserve">المرحلة 1: التأسيس والانطلاق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14 أكتوبر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اجتماع الإدارة التأسيسي: اعتماد الهيكل وقادة الأقسام، وتوزيع المهام، واعتماد التقويم مع د. أنمار.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اجتماع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الإدارة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21 أكتوبر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اللقاء التعريفي للأعضاء: التعريف بالمسارات والأقسام، وإطلاق بوابة العضو الجديد.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فعالية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الفعاليات والتصميم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28 أكتوبر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أول «أربعاء الذكاء» + ورشة تهيئة: أساسيات Python للبيانات.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ورشة تهيئة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4 نوفمبر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أول جلسة AI Byte، وإطلاق مستودع الموارد ودليل الدورات، وتشكيل فرق المشاريع (3–4 أعضاء لكل فريق).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تأسيس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 + الإدارة</w:t>
            </w:r>
          </w:p>
        </w:tc>
      </w:tr>
      <w:tr>
        <w:trPr>
          <w:cantSplit/>
        </w:trPr>
        <w:tc>
          <w:tcPr>
            <w:tcW w:type="dxa" w:w="9906"/>
            <w:gridSpan w:val="4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0A5C6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FFFFFF"/>
                <w:sz w:val="21"/>
                <w:szCs w:val="21"/>
                <w:rtl/>
              </w:rPr>
              <w:t xml:space="preserve">المرحلة 2: التعلم والإطلاق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11 نوفمبر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المختبر التطبيقي 1: تحليل البيانات وتصويرها باستخدام Pandas و Power BI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ورشة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18 نوفمبر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إطلاق تحدي نوفمبر: التنبؤ باستهلاك الطاقة.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تحدٍّ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 + الفعاليات والتصميم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25 نوفمبر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المختبر التطبيقي 2: تعلم الآلة – الانحدار والتصنيف.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ورشة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2 ديسمبر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إعلان نتائج تحدي نوفمبر ولوحة شرف نوفمبر.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تكريم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الإدارة + العلاقات العامة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9 ديسمبر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المختبر التطبيقي 3: الرؤية الحاسوبية، مع إطلاق تحدي ديسمبر: تصنيف الصور.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ورشة + تحدٍّ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16 ديسمبر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بمناسبة اليوم العالمي للغة العربية: لقاء خبير عن الذكاء الاصطناعي ومعالجة اللغة العربية.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لقاء خبير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العلاقات العامة + الفعاليات والتصميم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23 ديسمبر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المختبر التطبيقي 4: الذكاء التوليدي وهندسة الأوامر.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ورشة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30 ديسمبر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المتابعة الأولى لفرق المشاريع، ونتائج تحدي ديسمبر ولوحة شرفه.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متابعة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الإدارة</w:t>
            </w:r>
          </w:p>
        </w:tc>
      </w:tr>
      <w:tr>
        <w:trPr>
          <w:cantSplit/>
        </w:trPr>
        <w:tc>
          <w:tcPr>
            <w:tcW w:type="dxa" w:w="9906"/>
            <w:gridSpan w:val="4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0A5C6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FFFFFF"/>
                <w:sz w:val="21"/>
                <w:szCs w:val="21"/>
                <w:rtl/>
              </w:rPr>
              <w:t xml:space="preserve">المرحلة 3: البناء والتحدي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6 يناير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المختبر التطبيقي 5: نشر النماذج وأساسيات MLOps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ورشة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13 يناير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لقاء خبير من قطاع الطاقة والمياه، وإعلان الهاكاثون وفتح التسجيل.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لقاء خبير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العلاقات العامة + الفعاليات والتصميم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20 يناير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ورشة الابتكار: التفكير التصميمي ومهارات عرض الأفكار أمام لجنة التحكيم.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ورشة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 + الفعاليات والتصميم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27 يناير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هاكاثون EWA AI المصغّر: يوم كامل لحل تحدٍّ حقيقي، وبناء نموذج أولي، والعرض أمام لجنة تحكيم.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E07B39"/>
                <w:sz w:val="18"/>
                <w:szCs w:val="18"/>
                <w:rtl/>
              </w:rPr>
              <w:t xml:space="preserve">هاكاثون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جميع الأقسام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3 فبراير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تكريم الفائزين في الهاكاثون، ولوحة شرف يناير، والمتابعة الثانية للمشاريع.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تكريم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الإدارة + العلاقات العامة</w:t>
            </w:r>
          </w:p>
        </w:tc>
      </w:tr>
      <w:tr>
        <w:trPr>
          <w:cantSplit/>
        </w:trPr>
        <w:tc>
          <w:tcPr>
            <w:tcW w:type="dxa" w:w="9906"/>
            <w:gridSpan w:val="4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0A5C6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FFFFFF"/>
                <w:sz w:val="21"/>
                <w:szCs w:val="21"/>
                <w:rtl/>
              </w:rPr>
              <w:t xml:space="preserve">المرحلة 4: رمضان – إيقاع خفيف عن بُعد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10 فبراير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جلسة AI Byte رمضانية مسائية عن بُعد مدتها 20 دقيقة.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عن بُعد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17 فبراير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المختبر التطبيقي 6 عن بُعد: أخلاقيات الذكاء الاصطناعي والذكاء الاصطناعي المسؤول.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ورشة عن بُعد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الاثنين 22 فبراير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يوم التأسيس: محتوى رقمي ومسابقة تربط الذكاء الاصطناعي بقصة التأسيس والطموح الوطني.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E07B39"/>
                <w:sz w:val="18"/>
                <w:szCs w:val="18"/>
                <w:rtl/>
              </w:rPr>
              <w:t xml:space="preserve">مناسبة وطنية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الفعاليات والتصميم + العلاقات العامة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24 فبراير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عيادة المشاريع عن بُعد: مراجعة كل فريق وتجهيز العرض النهائي.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متابعة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 + الإدارة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3 مارس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لوحة شرف فبراير، وإرسال دعوات المعرض الختامي.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تكريم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الإدارة + العلاقات العامة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10 مارس تقريبًا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إجازة عيد الفطر (بحسب تقويم الأكاديمية).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5F6B76"/>
                <w:sz w:val="18"/>
                <w:szCs w:val="18"/>
                <w:rtl/>
              </w:rPr>
              <w:t xml:space="preserve">إجازة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906"/>
            <w:gridSpan w:val="4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0A5C6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FFFFFF"/>
                <w:sz w:val="21"/>
                <w:szCs w:val="21"/>
                <w:rtl/>
              </w:rPr>
              <w:t xml:space="preserve">المرحلة 5: إظهار الأثر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17 مارس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البروفة النهائية لعروض المشاريع (أو أول أسبوع بعد عودة الدراسة).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تجهيز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التدريب والتطوير + الفعاليات والتصميم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24 مارس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معرض EWA AI Showcase: عرض مشاريع الأعضاء أمام إدارة الأكاديمية والشركاء.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E07B39"/>
                <w:sz w:val="18"/>
                <w:szCs w:val="18"/>
                <w:rtl/>
              </w:rPr>
              <w:t xml:space="preserve">معرض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جميع الأقسام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A5C60"/>
                <w:sz w:val="18"/>
                <w:szCs w:val="18"/>
                <w:rtl/>
              </w:rPr>
              <w:t xml:space="preserve">الأربعاء 31 مارس</w:t>
            </w:r>
          </w:p>
        </w:tc>
        <w:tc>
          <w:tcPr>
            <w:tcW w:type="dxa" w:w="4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الحفل الختامي وتكريم الأعضاء، وقياس رضا المشاركين، وتسليم التقرير الختامي لد. أنمار.</w:t>
            </w:r>
          </w:p>
        </w:tc>
        <w:tc>
          <w:tcPr>
            <w:tcW w:type="dxa" w:w="145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ختام</w:t>
            </w:r>
          </w:p>
        </w:tc>
        <w:tc>
          <w:tcPr>
            <w:tcW w:type="dxa" w:w="18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7"/>
                <w:szCs w:val="17"/>
                <w:rtl/>
              </w:rPr>
              <w:t xml:space="preserve">الإدارة</w:t>
            </w:r>
          </w:p>
        </w:tc>
      </w:tr>
    </w:tbl>
    <w:p>
      <w:pPr>
        <w:keepNext/>
        <w:pBdr>
          <w:right w:val="single" w:color="E07B39" w:sz="36" w:space="10"/>
        </w:pBdr>
        <w:bidi/>
        <w:spacing w:after="160" w:before="280"/>
        <w:jc w:val="start"/>
      </w:pPr>
      <w:r>
        <w:rPr>
          <w:rFonts w:ascii="Cairo ExtraBold" w:cs="Cairo ExtraBold" w:eastAsia="Cairo ExtraBold" w:hAnsi="Cairo ExtraBold"/>
          <w:color w:val="0A5C60"/>
          <w:sz w:val="30"/>
          <w:szCs w:val="30"/>
          <w:rtl/>
        </w:rPr>
        <w:t xml:space="preserve">توزيع المسؤوليات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700"/>
        <w:gridCol w:w="5106"/>
      </w:tblGrid>
      <w:tr>
        <w:trPr>
          <w:cantSplit/>
          <w:tblHeader/>
          <w:trHeight w:val="460" w:hRule="atLeast"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القسم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القائد</w:t>
            </w:r>
          </w:p>
        </w:tc>
        <w:tc>
          <w:tcPr>
            <w:tcW w:type="dxa" w:w="5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المسؤوليات خلال الخطة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EAF5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A5C60"/>
                <w:sz w:val="20"/>
                <w:szCs w:val="20"/>
                <w:rtl/>
              </w:rPr>
              <w:t xml:space="preserve">الإدارة</w:t>
            </w:r>
          </w:p>
        </w:tc>
        <w:tc>
          <w:tcPr>
            <w:tcW w:type="dxa" w:w="2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1F2933"/>
                <w:sz w:val="19"/>
                <w:szCs w:val="19"/>
                <w:rtl/>
              </w:rPr>
              <w:t xml:space="preserve">أفنان الجهني وسارة الشمراني</w:t>
            </w:r>
          </w:p>
        </w:tc>
        <w:tc>
          <w:tcPr>
            <w:tcW w:type="dxa" w:w="5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التنسيق مع د. أنمار والأكاديمية، واعتماد التقويم، ومتابعة الأقسام وفرق المشاريع، ولوحة الشرف، والتقرير الختامي.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EAF5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A5C60"/>
                <w:sz w:val="20"/>
                <w:szCs w:val="20"/>
                <w:rtl/>
              </w:rPr>
              <w:t xml:space="preserve">التدريب والتطوير</w:t>
            </w:r>
          </w:p>
        </w:tc>
        <w:tc>
          <w:tcPr>
            <w:tcW w:type="dxa" w:w="2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1F2933"/>
                <w:sz w:val="19"/>
                <w:szCs w:val="19"/>
                <w:rtl w:val="false"/>
              </w:rPr>
              <w:t xml:space="preserve">Ahmed Mahmoud Alsayed</w:t>
            </w:r>
          </w:p>
        </w:tc>
        <w:tc>
          <w:tcPr>
            <w:tcW w:type="dxa" w:w="5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تقديم المختبرات التطبيقية وجلسات AI Byte، وإعداد التحديات، ومستودع الموارد وكتيّبات الأقسام ودليل الدورات، ومرافقة فرق المشاريع.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EAF5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A5C60"/>
                <w:sz w:val="20"/>
                <w:szCs w:val="20"/>
                <w:rtl/>
              </w:rPr>
              <w:t xml:space="preserve">العلاقات العامة</w:t>
            </w:r>
          </w:p>
        </w:tc>
        <w:tc>
          <w:tcPr>
            <w:tcW w:type="dxa" w:w="2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1F2933"/>
                <w:sz w:val="19"/>
                <w:szCs w:val="19"/>
                <w:rtl/>
              </w:rPr>
              <w:t xml:space="preserve">فهد حمد اليامي</w:t>
            </w:r>
          </w:p>
        </w:tc>
        <w:tc>
          <w:tcPr>
            <w:tcW w:type="dxa" w:w="5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التواصل مع الخبراء والجهات المقترحة (سدايا، الأكاديمية السعودية الرقمية)، والشراكات مع الكافيهات والأندية، ودعوات المعرض، والنشر عن أنشطة النادي.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EAF5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A5C60"/>
                <w:sz w:val="20"/>
                <w:szCs w:val="20"/>
                <w:rtl/>
              </w:rPr>
              <w:t xml:space="preserve">الفعاليات والتصميم</w:t>
            </w:r>
          </w:p>
        </w:tc>
        <w:tc>
          <w:tcPr>
            <w:tcW w:type="dxa" w:w="2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1F2933"/>
                <w:sz w:val="19"/>
                <w:szCs w:val="19"/>
                <w:rtl w:val="false"/>
              </w:rPr>
              <w:t xml:space="preserve">Abdullah Khaled Ibrahim Alghamdi</w:t>
            </w:r>
          </w:p>
        </w:tc>
        <w:tc>
          <w:tcPr>
            <w:tcW w:type="dxa" w:w="5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تنظيم اللقاء التعريفي وأربعاء الذكاء والهاكاثون ويوم التأسيس والمعرض الختامي، وتصميم الهوية والإعلانات والشهادات.</w:t>
            </w:r>
          </w:p>
        </w:tc>
      </w:tr>
    </w:tbl>
    <w:p>
      <w:pPr>
        <w:keepNext/>
        <w:pBdr>
          <w:right w:val="single" w:color="E07B39" w:sz="36" w:space="10"/>
        </w:pBdr>
        <w:bidi/>
        <w:spacing w:after="160" w:before="280"/>
        <w:jc w:val="start"/>
      </w:pPr>
      <w:r>
        <w:rPr>
          <w:rFonts w:ascii="Cairo ExtraBold" w:cs="Cairo ExtraBold" w:eastAsia="Cairo ExtraBold" w:hAnsi="Cairo ExtraBold"/>
          <w:color w:val="0A5C60"/>
          <w:sz w:val="30"/>
          <w:szCs w:val="30"/>
          <w:rtl/>
        </w:rPr>
        <w:t xml:space="preserve">مؤشرات النجاح بنهاية مارس 2027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+30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عضوًا نشطًا</w:t>
            </w:r>
          </w:p>
        </w:tc>
        <w:tc>
          <w:tcPr>
            <w:tcW w:type="dxa" w:w="330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6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ورش تطبيقية</w:t>
            </w:r>
          </w:p>
        </w:tc>
        <w:tc>
          <w:tcPr>
            <w:tcW w:type="dxa" w:w="330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3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مشاريع أولية على الأقل</w:t>
            </w:r>
          </w:p>
        </w:tc>
      </w:tr>
      <w:tr>
        <w:tc>
          <w:tcPr>
            <w:tcW w:type="dxa" w:w="330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3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لقاءات خبراء</w:t>
            </w:r>
          </w:p>
        </w:tc>
        <w:tc>
          <w:tcPr>
            <w:tcW w:type="dxa" w:w="330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2 + 1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تحديان شهريان وهاكاثون</w:t>
            </w:r>
          </w:p>
        </w:tc>
        <w:tc>
          <w:tcPr>
            <w:tcW w:type="dxa" w:w="330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+80%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رضا المشاركين</w:t>
            </w:r>
          </w:p>
        </w:tc>
      </w:tr>
    </w:tbl>
    <w:p>
      <w:pPr>
        <w:spacing w:after="160" w:before="0" w:line="288"/>
      </w:pPr>
    </w:p>
    <w:p>
      <w:pPr>
        <w:bidi/>
        <w:spacing w:after="40" w:before="0" w:line="288"/>
        <w:jc w:val="start"/>
      </w:pPr>
      <w:r>
        <w:rPr>
          <w:rFonts w:ascii="Cairo" w:cs="Cairo" w:eastAsia="Cairo" w:hAnsi="Cairo"/>
          <w:color w:val="5F6B76"/>
          <w:sz w:val="17"/>
          <w:szCs w:val="17"/>
          <w:rtl/>
        </w:rPr>
        <w:t xml:space="preserve">• التواريخ مبدئية، وتُعتمد بعد التنسيق مع د. أنمار الحجيلي ومواءمتها مع التقويم الدراسي للأكاديمية.</w:t>
      </w:r>
    </w:p>
    <w:p>
      <w:pPr>
        <w:bidi/>
        <w:spacing w:after="40" w:before="0" w:line="288"/>
        <w:jc w:val="start"/>
      </w:pPr>
      <w:r>
        <w:rPr>
          <w:rFonts w:ascii="Cairo" w:cs="Cairo" w:eastAsia="Cairo" w:hAnsi="Cairo"/>
          <w:color w:val="5F6B76"/>
          <w:sz w:val="17"/>
          <w:szCs w:val="17"/>
          <w:rtl/>
        </w:rPr>
        <w:t xml:space="preserve">• مواعيد رمضان وعيد الفطر تقريبية بحسب تقويم أم القرى (1 رمضان 1448 يوافق 8 فبراير 2027)، وتتأكد برؤية الهلال.</w:t>
      </w:r>
    </w:p>
    <w:p>
      <w:pPr>
        <w:bidi/>
        <w:spacing w:after="40" w:before="0" w:line="288"/>
        <w:jc w:val="start"/>
      </w:pPr>
      <w:r>
        <w:rPr>
          <w:rFonts w:ascii="Cairo" w:cs="Cairo" w:eastAsia="Cairo" w:hAnsi="Cairo"/>
          <w:color w:val="5F6B76"/>
          <w:sz w:val="17"/>
          <w:szCs w:val="17"/>
          <w:rtl/>
        </w:rPr>
        <w:t xml:space="preserve">• الجهات الخارجية المذكورة فرص تعاون مقترحة، ولا تمثل شراكات قائمة إلا بعد اعتماد الأكاديمية والتنسيق الرسمي.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00" w:right="1000" w:bottom="900" w:left="1000" w:header="450" w:footer="45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iro">
    <w:altName w:val="Calibri"/>
    <w:charset w:val="00"/>
    <w:family w:val="auto"/>
    <w:pitch w:val="variable"/>
    <w:sig w:usb0="E0002AFF" w:usb1="C000247B" w:usb2="00000009" w:usb3="00000000" w:csb0="000001FF" w:csb1="00000000"/>
    <w:embedRegular r:id="rIdW1" w:fontKey="{5AC7297B-4D6C-4C0E-8F7A-3FDD495B3F06}"/>
    <w:embedBold r:id="rIdW2" w:fontKey="{A2B350B1-FD1E-4AB8-8BC1-4090BC204382}"/>
    <w:embedItalic r:id="rIdW3" w:fontKey="{B1C39C7C-5099-4B0D-A33F-B7CA3B456800}"/>
  </w:font>
  <w:font w:name="Cairo ExtraBold">
    <w:charset w:val="00"/>
    <w:family w:val="auto"/>
    <w:pitch w:val="variable"/>
    <w:sig w:usb0="E0002AFF" w:usb1="C000247B" w:usb2="00000009" w:usb3="00000000" w:csb0="000001FF" w:csb1="00000000"/>
    <w:embedRegular r:id="rIdW4" w:fontKey="{45E14993-738A-4841-8447-F7D27D755D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iro" w:cs="Cairo" w:eastAsia="Cairo" w:hAnsi="Cairo"/>
        <w:color w:val="5F6B76"/>
        <w:sz w:val="17"/>
        <w:szCs w:val="17"/>
      </w:rPr>
      <w:fldChar w:fldCharType="begin"/>
      <w:instrText xml:space="preserve">PAGE</w:instrText>
      <w:fldChar w:fldCharType="separate"/>
      <w:fldChar w:fldCharType="end"/>
      <w:t xml:space="preserve">  / 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iro" w:cs="Cairo" w:eastAsia="Cairo" w:hAnsi="Cairo"/>
        <w:color w:val="5F6B76"/>
        <w:sz w:val="17"/>
        <w:szCs w:val="17"/>
      </w:rPr>
      <w:fldChar w:fldCharType="begin"/>
      <w:instrText xml:space="preserve">PAGE</w:instrText>
      <w:fldChar w:fldCharType="separate"/>
      <w:fldChar w:fldCharType="end"/>
      <w:t xml:space="preserve">  / 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600"/>
      <w:gridCol w:w="3306"/>
    </w:tblGrid>
    <w:tr>
      <w:tc>
        <w:tcPr>
          <w:tcW w:type="dxa" w:w="6600"/>
          <w:tcBorders>
            <w:top w:val="none" w:color="FFFFFF" w:sz="0"/>
            <w:left w:val="none" w:color="FFFFFF" w:sz="0"/>
            <w:bottom w:val="single" w:color="E07B39" w:sz="8"/>
            <w:right w:val="none" w:color="FFFFFF" w:sz="0"/>
          </w:tcBorders>
          <w:tcMar>
            <w:top w:type="dxa" w:w="20"/>
            <w:left w:type="dxa" w:w="110"/>
            <w:bottom w:type="dxa" w:w="20"/>
            <w:right w:type="dxa" w:w="110"/>
          </w:tcMar>
          <w:vAlign w:val="center"/>
        </w:tcPr>
        <w:p>
          <w:pPr>
            <w:bidi/>
            <w:spacing w:after="0" w:before="0" w:line="288"/>
            <w:jc w:val="start"/>
          </w:pPr>
          <w:r>
            <w:rPr>
              <w:rFonts w:ascii="Cairo ExtraBold" w:cs="Cairo ExtraBold" w:eastAsia="Cairo ExtraBold" w:hAnsi="Cairo ExtraBold"/>
              <w:color w:val="0A5C60"/>
              <w:sz w:val="19"/>
              <w:szCs w:val="19"/>
              <w:rtl/>
            </w:rPr>
            <w:t xml:space="preserve">نادي الذكاء الاصطناعي  |  أكاديمية الطاقة والمياه</w:t>
          </w:r>
        </w:p>
      </w:tc>
      <w:tc>
        <w:tcPr>
          <w:tcW w:type="dxa" w:w="3306"/>
          <w:tcBorders>
            <w:top w:val="none" w:color="FFFFFF" w:sz="0"/>
            <w:left w:val="none" w:color="FFFFFF" w:sz="0"/>
            <w:bottom w:val="single" w:color="E07B39" w:sz="8"/>
            <w:right w:val="none" w:color="FFFFFF" w:sz="0"/>
          </w:tcBorders>
          <w:tcMar>
            <w:top w:type="dxa" w:w="20"/>
            <w:left w:type="dxa" w:w="110"/>
            <w:bottom w:type="dxa" w:w="20"/>
            <w:right w:type="dxa" w:w="110"/>
          </w:tcMar>
          <w:vAlign w:val="center"/>
        </w:tcPr>
        <w:p>
          <w:pPr>
            <w:jc w:val="left"/>
          </w:pPr>
          <w:r>
            <w:drawing>
              <wp:inline distT="0" distB="0" distL="0" distR="0">
                <wp:extent cx="12382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20" w:hanging="300"/>
      </w:pPr>
      <w:rPr>
        <w:color w:val="E07B39"/>
        <w:sz w:val="14"/>
        <w:szCs w:val="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5ee1873d7d5c24d50cf1050974ea14b48f0586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W1" Type="http://schemas.openxmlformats.org/officeDocument/2006/relationships/font" Target="fonts/wfont1.odttf" /><Relationship Id="rIdW2" Type="http://schemas.openxmlformats.org/officeDocument/2006/relationships/font" Target="fonts/wfont2.odttf" /><Relationship Id="rIdW3" Type="http://schemas.openxmlformats.org/officeDocument/2006/relationships/font" Target="fonts/wfont3.odttf" /><Relationship Id="rIdW4" Type="http://schemas.openxmlformats.org/officeDocument/2006/relationships/font" Target="fonts/wfont4.odttf" 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ee1873d7d5c24d50cf1050974ea14b48f0586f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نادي الذكاء الاصطناعي — الخطة التشغيلية</dc:title>
  <dc:creator>نادي الذكاء الاصطناعي</dc:creator>
  <cp:lastModifiedBy>Un-named</cp:lastModifiedBy>
  <cp:revision>1</cp:revision>
  <dcterms:created xsi:type="dcterms:W3CDTF">2026-10-10T23:46:40.749Z</dcterms:created>
  <dcterms:modified xsi:type="dcterms:W3CDTF">2026-10-10T23:46:40.750Z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