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echnical-details-ai-model-documentation"/>
    <w:p>
      <w:pPr>
        <w:pStyle w:val="Heading1"/>
      </w:pPr>
      <w:r>
        <w:t xml:space="preserve">Technical Details &amp; AI Model Documentation</w:t>
      </w:r>
    </w:p>
    <w:p>
      <w:pPr>
        <w:pStyle w:val="FirstParagraph"/>
      </w:pPr>
      <w:r>
        <w:rPr>
          <w:b/>
          <w:bCs/>
        </w:rPr>
        <w:t xml:space="preserve">Achilles: Conserved-Target Discovery Pipeline — BCOLBD 2026</w:t>
      </w:r>
    </w:p>
    <w:p>
      <w:r>
        <w:pict>
          <v:rect style="width:0;height:1.5pt" o:hralign="center" o:hrstd="t" o:hr="t"/>
        </w:pict>
      </w:r>
    </w:p>
    <w:bookmarkStart w:id="12" w:name="section-a-technical-details"/>
    <w:p>
      <w:pPr>
        <w:pStyle w:val="Heading2"/>
      </w:pPr>
      <w:r>
        <w:t xml:space="preserve">Section A — Technical Details</w:t>
      </w:r>
    </w:p>
    <w:bookmarkStart w:id="9" w:name="ai-techniques-methodologies"/>
    <w:p>
      <w:pPr>
        <w:pStyle w:val="Heading3"/>
      </w:pPr>
      <w:r>
        <w:t xml:space="preserve">AI Techniques &amp; Methodologies</w:t>
      </w:r>
    </w:p>
    <w:p>
      <w:pPr>
        <w:pStyle w:val="FirstParagraph"/>
      </w:pPr>
      <w:r>
        <w:t xml:space="preserve">Achilles is built as a three-stage automated pipeline. Each stage uses a distinct class of AI and computational technique, and the stages are chained sequentially so that outputs from one stage become the inputs for the next without any manual intervention.</w:t>
      </w:r>
    </w:p>
    <w:p>
      <w:pPr>
        <w:pStyle w:val="BodyText"/>
      </w:pPr>
      <w:r>
        <w:rPr>
          <w:b/>
          <w:bCs/>
        </w:rPr>
        <w:t xml:space="preserve">Stage 1: Target Discovery &amp; Virtual Screening</w:t>
      </w:r>
    </w:p>
    <w:p>
      <w:pPr>
        <w:pStyle w:val="BodyText"/>
      </w:pPr>
      <w:r>
        <w:t xml:space="preserve">The first stage begins by querying the UniProt Swiss-Prot database via REST API to retrieve a reviewed, high-quality protein sequence for any pathogen target the user specifies. If the protein has known functional sub-domains, only the relevant domain sequence is extracted; if it does not, the full sequence is used. This sequence is then passed to ColabFold, an accelerated implementation of AlphaFold2, which uses a transformer neural network architecture to predict the complete three-dimensional atomic structure of the protein. AlphaFold2’s Evoformer module processes both the evolutionary profile of the protein (derived from a multiple sequence alignment) and pairwise residue-distance relationships simultaneously, outputting 3D coordinates alongside per-residue confidence scores known as pLDDT.</w:t>
      </w:r>
    </w:p>
    <w:p>
      <w:pPr>
        <w:pStyle w:val="BodyText"/>
      </w:pPr>
      <w:r>
        <w:t xml:space="preserve">The predicted 3D structure is then analysed using fpocket, a geometric algorithm that identifies druggable cavities on the protein surface by seeding mathematical alpha-spheres via Voronoi tessellation. Each candidate cavity is scored for volume, hydrophobicity, and structural depth. Achilles applies additional geometric filters on top of fpocket’s built-in druggability scoring to ensure only physically accessible, drug-sized pockets proceed.</w:t>
      </w:r>
    </w:p>
    <w:p>
      <w:pPr>
        <w:pStyle w:val="BodyText"/>
      </w:pPr>
      <w:r>
        <w:t xml:space="preserve">Once a target pocket is confirmed, small-molecule candidate compounds are retrieved from the NCBI PubChem database. These molecules are processed through RDKit — a cheminformatics library — to generate realistic three-dimensional conformations via the ETKDG algorithm, followed by MMFF94 force field energy minimisation to produce physically stable 3D shapes. AutoDock Vina is then used to computationally dock each candidate into the target pocket, producing a ranked leaderboard of molecules ordered by predicted binding free energy in kcal/mol. A more negative score indicates tighter predicted binding.</w:t>
      </w:r>
    </w:p>
    <w:p>
      <w:pPr>
        <w:pStyle w:val="BodyText"/>
      </w:pPr>
      <w:r>
        <w:rPr>
          <w:b/>
          <w:bCs/>
        </w:rPr>
        <w:t xml:space="preserve">Stage 2: Mutation Testing &amp; Conservation Scoring</w:t>
      </w:r>
    </w:p>
    <w:p>
      <w:pPr>
        <w:pStyle w:val="BodyText"/>
      </w:pPr>
      <w:r>
        <w:t xml:space="preserve">The second stage addresses the core challenge of drug resistance: even a perfectly docked molecule fails if the pathogen mutates the target pocket. Achilles pulls real-world protein variant sequences from the NCBI Entrez protein database and the UniProt TrEMBL repository — these are sequences collected from actual patient isolates around the world. These variants are globally aligned using MAFFT, a state-of-the-art multiple sequence alignment algorithm, to produce a position-by-position comparison of how the target protein has evolved across thousands of real clinical samples.</w:t>
      </w:r>
    </w:p>
    <w:p>
      <w:pPr>
        <w:pStyle w:val="BodyText"/>
      </w:pPr>
      <w:r>
        <w:t xml:space="preserve">Shannon entropy is then calculated at every residue position along the aligned sequences. Shannon entropy is an information-theoretic measure: a score of zero at a given position means every real-world isolate has exactly the same amino acid there — the germ has never successfully mutated it. A high score means that position is already shifting across populations. Residue positions with near-zero entropy are classified as conserved anchors and passed to Stage 3. Additionally, a majority-vote consensus sequence is constructed from all variants and checked against the original reference to verify that the target pocket’s geometry remains structurally intact across the real-world mutation landscape.</w:t>
      </w:r>
    </w:p>
    <w:p>
      <w:pPr>
        <w:pStyle w:val="BodyText"/>
      </w:pPr>
      <w:r>
        <w:rPr>
          <w:b/>
          <w:bCs/>
        </w:rPr>
        <w:t xml:space="preserve">Stage 3: Generative Binder Design</w:t>
      </w:r>
    </w:p>
    <w:p>
      <w:pPr>
        <w:pStyle w:val="BodyText"/>
      </w:pPr>
      <w:r>
        <w:t xml:space="preserve">The third stage uses generative AI to design novel therapeutic candidates specifically targeting the conserved anchors identified in Stage 2. It operates across two parallel tracks simultaneously.</w:t>
      </w:r>
    </w:p>
    <w:p>
      <w:pPr>
        <w:pStyle w:val="BodyText"/>
      </w:pPr>
      <w:r>
        <w:t xml:space="preserve">Track A uses RFdiffusion, a denoising diffusion probabilistic model built on an SE(3)-equivariant neural network architecture, to generate entirely new protein backbone structures conditioned on the conserved pocket coordinates. These generated scaffolds are guaranteed geometrically to contact the mutation-resistant anchor residues. ProteinMPNN, a graph neural network, then sequences each scaffold — determining the optimal amino acid sequence that will fold stably onto the generated backbone. Rosetta energy calculations are used to score the thermodynamic stability of the binder-target interface, and CamSol filters out candidates likely to aggregate in aqueous solution.</w:t>
      </w:r>
    </w:p>
    <w:p>
      <w:pPr>
        <w:pStyle w:val="BodyText"/>
      </w:pPr>
      <w:r>
        <w:t xml:space="preserve">Track B targets bacterial pathogens specifically using an antimicrobial peptide (AMP) design approach. A latent diffusion model operating in the embedding space of ESM-2 — a large protein language model trained on UniRef50 — generates short cationic peptides conditioned on the target’s epitope sequence. These candidates are scored for antimicrobial probability using APEX and filtered for hemolytic toxicity using ToxGIN before proceeding.</w:t>
      </w:r>
    </w:p>
    <w:p>
      <w:pPr>
        <w:pStyle w:val="BodyText"/>
      </w:pPr>
      <w:r>
        <w:t xml:space="preserve">All surviving candidates from both tracks are verified through a shared convergence gate using AlphaFold-Multimer, which predicts the full three-dimensional structure of the binder bound to the target. A candidate passes only when its interface confidence score (ipTM) is at or above 0.7 and at least 60% of its predicted interface contacts land on the Stage 2 conserved residues — ensuring the candidate binds where the germ cannot mutate, not merely somewhere on the surface.</w:t>
      </w:r>
    </w:p>
    <w:p>
      <w:r>
        <w:pict>
          <v:rect style="width:0;height:1.5pt" o:hralign="center" o:hrstd="t" o:hr="t"/>
        </w:pict>
      </w:r>
    </w:p>
    <w:bookmarkEnd w:id="9"/>
    <w:bookmarkStart w:id="10" w:name="data-sources"/>
    <w:p>
      <w:pPr>
        <w:pStyle w:val="Heading3"/>
      </w:pPr>
      <w:r>
        <w:t xml:space="preserve">Data Sources</w:t>
      </w:r>
    </w:p>
    <w:p>
      <w:pPr>
        <w:pStyle w:val="FirstParagraph"/>
      </w:pPr>
      <w:r>
        <w:t xml:space="preserve">Achilles integrates twelve databases across its three stages. UniProt Swiss-Prot and NCBI PubChem power Stage 1 target retrieval and compound screening. Stage 2 draws on NCBI Entrez protein sequences, the AlphaFold Database for reference structural confidence, CARD (Comprehensive Antibiotic Resistance Database) and BV-BRC/PATRIC for bacterial resistance mutation data, and GISAID and NCBI Virus Variation for viral isolate sequences, all accessed in compliance with their respective data agreements. Stage 3 references the IEDB (Immune Epitope Database) and RCSB Protein Data Bank for prior-art lookup, and the APD3 and DBAASP databases for antimicrobial peptide reference data. Model training data is sourced from ChEMBL (approximately 2.1 million binding affinity records) and the DUD-E molecular decoy library.</w:t>
      </w:r>
    </w:p>
    <w:p>
      <w:r>
        <w:pict>
          <v:rect style="width:0;height:1.5pt" o:hralign="center" o:hrstd="t" o:hr="t"/>
        </w:pict>
      </w:r>
    </w:p>
    <w:bookmarkEnd w:id="10"/>
    <w:bookmarkStart w:id="11" w:name="X813be15db389dc7617ed20a7c30b90c9488931b"/>
    <w:p>
      <w:pPr>
        <w:pStyle w:val="Heading3"/>
      </w:pPr>
      <w:r>
        <w:t xml:space="preserve">Anticipated Challenges &amp; Mitigation Strategies</w:t>
      </w:r>
    </w:p>
    <w:p>
      <w:pPr>
        <w:pStyle w:val="FirstParagraph"/>
      </w:pPr>
      <w:r>
        <w:rPr>
          <w:b/>
          <w:bCs/>
        </w:rPr>
        <w:t xml:space="preserve">Static structural predictions.</w:t>
      </w:r>
      <w:r>
        <w:t xml:space="preserve"> </w:t>
      </w:r>
      <w:r>
        <w:t xml:space="preserve">AlphaFold2 predicts a single low-energy protein conformation, which may not reveal pockets that only open when a ligand is present. Achilles mitigates this by running ColabFold with multiple random MSA subsamples, generating an ensemble of slightly different conformations. Only pockets that consistently appear across the majority of conformations are treated as structurally reliable.</w:t>
      </w:r>
    </w:p>
    <w:p>
      <w:pPr>
        <w:pStyle w:val="BodyText"/>
      </w:pPr>
      <w:r>
        <w:rPr>
          <w:b/>
          <w:bCs/>
        </w:rPr>
        <w:t xml:space="preserve">Geographic bias in surveillance data.</w:t>
      </w:r>
      <w:r>
        <w:t xml:space="preserve"> </w:t>
      </w:r>
      <w:r>
        <w:t xml:space="preserve">Genomic databases such as GISAID and NCBI overrepresent sequences from North America and Europe. Achilles addresses this by reporting the number of isolate sequences underpinning each entropy score and flagging low-confidence results where fewer than 20 sequences are available. Future development will include stratified regional sampling to enforce broader geographic representation before alignment.</w:t>
      </w:r>
    </w:p>
    <w:p>
      <w:pPr>
        <w:pStyle w:val="BodyText"/>
      </w:pPr>
      <w:r>
        <w:rPr>
          <w:b/>
          <w:bCs/>
        </w:rPr>
        <w:t xml:space="preserve">Scoring function limitations in virtual screening.</w:t>
      </w:r>
      <w:r>
        <w:t xml:space="preserve"> </w:t>
      </w:r>
      <w:r>
        <w:t xml:space="preserve">AutoDock Vina’s implicit solvent model does not account for water-mediated binding interactions or protein side-chain flexibility. To reduce false positives and negatives, the top-ranking candidates from Vina are re-evaluated using GNINA, a neural-network-based docking tool that incorporates receptor flexibility. Only candidates that perform well under both engines proceed.</w:t>
      </w:r>
    </w:p>
    <w:p>
      <w:pPr>
        <w:pStyle w:val="BodyText"/>
      </w:pPr>
      <w:r>
        <w:rPr>
          <w:b/>
          <w:bCs/>
        </w:rPr>
        <w:t xml:space="preserve">Allosteric resistance.</w:t>
      </w:r>
      <w:r>
        <w:t xml:space="preserve"> </w:t>
      </w:r>
      <w:r>
        <w:t xml:space="preserve">Shannon entropy measures only mutation rates at positions inside the binding pocket. A mutation at a distant position can reshape the pocket indirectly without appearing in the entropy map. Achilles plans to address this using Direct Coupling Analysis (DCA), a statistical method applied to the same multiple sequence alignment generated in Stage 2, which reveals pairs of residues that co-evolve together and can signal allosteric communication channels.</w:t>
      </w:r>
    </w:p>
    <w:p>
      <w:pPr>
        <w:pStyle w:val="BodyText"/>
      </w:pPr>
      <w:r>
        <w:rPr>
          <w:b/>
          <w:bCs/>
        </w:rPr>
        <w:t xml:space="preserve">Solubility and immunogenicity of designed binders.</w:t>
      </w:r>
      <w:r>
        <w:t xml:space="preserve"> </w:t>
      </w:r>
      <w:r>
        <w:t xml:space="preserve">Computationally generated proteins may perform well in structural predictions but fail in biological environments due to poor solubility or immune reactivity. Achilles applies CamSol solubility screening prior to the AlphaFold-Multimer verification step and plans to incorporate NetMHCpan immunogenicity screening as a subsequent filter. All outputs from Achilles are positioned explicitly as pre-clinical candidates for wet-lab refinement, not as finished therapeutics.</w:t>
      </w:r>
    </w:p>
    <w:p>
      <w:r>
        <w:pict>
          <v:rect style="width:0;height:1.5pt" o:hralign="center" o:hrstd="t" o:hr="t"/>
        </w:pict>
      </w:r>
    </w:p>
    <w:bookmarkEnd w:id="11"/>
    <w:bookmarkEnd w:id="12"/>
    <w:bookmarkStart w:id="16" w:name="section-b-ai-model-documentation"/>
    <w:p>
      <w:pPr>
        <w:pStyle w:val="Heading2"/>
      </w:pPr>
      <w:r>
        <w:t xml:space="preserve">Section B — AI Model Documentation</w:t>
      </w:r>
    </w:p>
    <w:p>
      <w:pPr>
        <w:pStyle w:val="FirstParagraph"/>
      </w:pPr>
      <w:r>
        <w:t xml:space="preserve">Beyond the third-party pretrained models employed throughout the pipeline, Achilles incorporates three custom machine learning models at specific points where existing tools leave measurable gaps.</w:t>
      </w:r>
    </w:p>
    <w:p>
      <w:r>
        <w:pict>
          <v:rect style="width:0;height:1.5pt" o:hralign="center" o:hrstd="t" o:hr="t"/>
        </w:pict>
      </w:r>
    </w:p>
    <w:bookmarkStart w:id="13" w:name="Xec854ae767d2e8893795ee9aedbd48e9ebb89dd"/>
    <w:p>
      <w:pPr>
        <w:pStyle w:val="Heading3"/>
      </w:pPr>
      <w:r>
        <w:t xml:space="preserve">Model 1: Gradient Boosted Rescoring Network (GBRN)</w:t>
      </w:r>
    </w:p>
    <w:p>
      <w:pPr>
        <w:pStyle w:val="FirstParagraph"/>
      </w:pPr>
      <w:r>
        <w:t xml:space="preserve">AutoDock Vina’s scoring function is effective at ranking large numbers of candidates but correlates poorly with true experimental binding affinity because it ignores explicit water molecules and molecular properties beyond simple geometric fit. The GBRN is a gradient boosting regressor (XGBoost, 300 estimators) trained to produce a calibrated binding probability score by combining Vina’s raw output with molecular descriptors that Vina does not consider. These include molecular weight, lipophilicity, polar surface area, hydrogen bond counts, molecular flexibility, a 2048-bit Morgan fingerprint encoding the local chemical environment of each molecule, and pocket geometry features from fpocket.</w:t>
      </w:r>
    </w:p>
    <w:p>
      <w:pPr>
        <w:pStyle w:val="BodyText"/>
      </w:pPr>
      <w:r>
        <w:t xml:space="preserve">Training data is drawn from the ChEMBL binding affinity database, using approximately 2.1 million pKd and pKi records against known protein targets as positive examples, and the DUD-E library of property-matched molecular decoys as negative examples. Raw SMILES strings are converted to RDKit molecular features and min-max normalised before training. The model is trained using five-fold cross-validation with early stopping on root mean square error, and validated by Spearman rank correlation and ROC-AUC against held-out ChEMBL entries. Prospective validation checks that known potent inhibitors of the target (where ground-truth IC₅₀ data exists) consistently rank in the top quartile of the GBRN-corrected leaderboard. This model is placed immediately after Cell 5 in the pipeline, adding a corrected score column alongside the raw Vina output.</w:t>
      </w:r>
    </w:p>
    <w:p>
      <w:r>
        <w:pict>
          <v:rect style="width:0;height:1.5pt" o:hralign="center" o:hrstd="t" o:hr="t"/>
        </w:pict>
      </w:r>
    </w:p>
    <w:bookmarkEnd w:id="13"/>
    <w:bookmarkStart w:id="14" w:name="Xf1e8e6ef86d905f0682519279de0a89c2b6b106"/>
    <w:p>
      <w:pPr>
        <w:pStyle w:val="Heading3"/>
      </w:pPr>
      <w:r>
        <w:t xml:space="preserve">Model 2: Resistance Risk Gradient Booster (RRGB)</w:t>
      </w:r>
    </w:p>
    <w:p>
      <w:pPr>
        <w:pStyle w:val="FirstParagraph"/>
      </w:pPr>
      <w:r>
        <w:t xml:space="preserve">The current Stage 2 pipeline classifies residue positions as conserved or variable using a fixed Shannon entropy threshold of 0.5 bits. This heuristic treats a residue with entropy 0.48 the same as one with entropy 0.03, and ignores structural context — a highly variable residue on the exterior of the pocket presents far less risk than one at the ligand-binding interface. The RRGB is a binary classifier (LightGBM, 500 estimators) that replaces this hard threshold with a per-residue resistance probability score, informed by both evolutionary data and structural features.</w:t>
      </w:r>
    </w:p>
    <w:p>
      <w:pPr>
        <w:pStyle w:val="BodyText"/>
      </w:pPr>
      <w:r>
        <w:t xml:space="preserve">Input features include the Shannon entropy at each position, the average entropy of the surrounding residue window, the secondary structure at that position derived from DSSP analysis of the AlphaFold-predicted structure, the solvent-accessible surface area, whether the residue falls inside or outside the fpocket cavity, and the normalised evolutionary substitution rate from the alignment. The model is trained on the CARD database, using known drug-resistance-conferring mutations as positive examples and surrounding non-resistance residues as negatives, with SMOTE applied within each training fold to handle the class imbalance inherent in resistance mutation data. Validation is performed using stratified five-fold cross-validation measuring AUROC and F1-score, with a blind clinical test against known resistance mutations in Mycobacterium tuberculosis — specifically isoniazid resistance via InhA and rifampicin resistance via RpoB — to confirm the model flags clinically confirmed positions in the top fifth of predicted risk scores.</w:t>
      </w:r>
    </w:p>
    <w:p>
      <w:r>
        <w:pict>
          <v:rect style="width:0;height:1.5pt" o:hralign="center" o:hrstd="t" o:hr="t"/>
        </w:pict>
      </w:r>
    </w:p>
    <w:bookmarkEnd w:id="14"/>
    <w:bookmarkStart w:id="15" w:name="model-3-binder-interface-pre-filter-bipf"/>
    <w:p>
      <w:pPr>
        <w:pStyle w:val="Heading3"/>
      </w:pPr>
      <w:r>
        <w:t xml:space="preserve">Model 3: Binder Interface Pre-Filter (BIPF)</w:t>
      </w:r>
    </w:p>
    <w:p>
      <w:pPr>
        <w:pStyle w:val="FirstParagraph"/>
      </w:pPr>
      <w:r>
        <w:t xml:space="preserve">AlphaFold-Multimer, which serves as the convergence gate in Stage 3, requires significant GPU compute time per prediction. Running it on every candidate that survives the CamSol and ToxGIN filters creates a pipeline bottleneck. The BIPF is a lightweight feed-forward neural network (three hidden layers of 512, 256, and 128 neurons with ReLU activations and dropout regularisation) that predicts whether a given binder candidate will pass the ipTM ≥ 0.7 gate before AlphaFold-Multimer is invoked. Candidates with a predicted passage probability below 0.4 are discarded at this earlier, cheaper stage, reducing the number of AlphaFold-Multimer calls by an estimated 60 to 80 percent.</w:t>
      </w:r>
    </w:p>
    <w:p>
      <w:pPr>
        <w:pStyle w:val="BodyText"/>
      </w:pPr>
      <w:r>
        <w:t xml:space="preserve">Input features include the ProteinMPNN log-likelihood score for the candidate sequence, the Rosetta interface energy, the fraction of binder residues predicted to contact Stage 2 conserved hotspot positions, the CamSol solubility score, predicted isoelectric point, binder length, and secondary structure composition. The model is trained on published RFdiffusion-designed binder datasets from the Baker Lab, using ipTM values from corresponding AlphaFold-Multimer runs as binary labels. Training uses binary cross-entropy loss with the Adam optimiser and early stopping on validation AUC. Validation prioritises precision-recall AUC over ROC-AUC due to class imbalance, and enforces a false negative rate below 10 percent to ensure no genuinely strong binders are discarded before reaching the verification step.</w:t>
      </w:r>
    </w:p>
    <w:p>
      <w:r>
        <w:pict>
          <v:rect style="width:0;height:1.5pt" o:hralign="center" o:hrstd="t" o:hr="t"/>
        </w:pict>
      </w:r>
    </w:p>
    <w:p>
      <w:pPr>
        <w:pStyle w:val="FirstParagraph"/>
      </w:pPr>
      <w:r>
        <w:rPr>
          <w:i/>
          <w:iCs/>
        </w:rPr>
        <w:t xml:space="preserve">Achilles — BCOLBD 2026 | Technical Details &amp; AI Model Documentation</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2026-08-15T11:18:56Z</dcterms:created>
  <dcterms:modified xsi:type="dcterms:W3CDTF">2026-08-15T11:18:56Z</dcterms:modified>
</cp:coreProperties>
</file>

<file path=docProps/custom.xml><?xml version="1.0" encoding="utf-8"?>
<Properties xmlns="http://schemas.openxmlformats.org/officeDocument/2006/custom-properties" xmlns:vt="http://schemas.openxmlformats.org/officeDocument/2006/docPropsVTypes"/>
</file>