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0767" w:rsidRDefault="00A50767">
      <w:pPr>
        <w:spacing w:before="60" w:after="60"/>
      </w:pPr>
    </w:p>
    <w:p w:rsidR="00A50767" w:rsidRDefault="00A5076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0767">
        <w:tc>
          <w:tcPr>
            <w:tcW w:w="9360" w:type="dxa"/>
            <w:tcBorders>
              <w:top w:val="single" w:sz="12" w:space="0" w:color="1F4E79"/>
              <w:left w:val="single" w:sz="12" w:space="0" w:color="1F4E79"/>
              <w:bottom w:val="single" w:sz="12" w:space="0" w:color="1F4E79"/>
              <w:right w:val="single" w:sz="12" w:space="0" w:color="1F4E79"/>
            </w:tcBorders>
            <w:shd w:val="clear" w:color="auto" w:fill="1F4E79"/>
            <w:tcMar>
              <w:top w:w="400" w:type="dxa"/>
              <w:left w:w="400" w:type="dxa"/>
              <w:bottom w:w="400" w:type="dxa"/>
              <w:right w:w="400" w:type="dxa"/>
            </w:tcMar>
          </w:tcPr>
          <w:p w:rsidR="00A50767" w:rsidRDefault="00D67CFD">
            <w:pPr>
              <w:spacing w:before="80" w:after="80"/>
              <w:jc w:val="center"/>
            </w:pPr>
            <w:r>
              <w:rPr>
                <w:b/>
                <w:bCs/>
                <w:color w:val="FFFFFF"/>
                <w:sz w:val="20"/>
                <w:szCs w:val="20"/>
              </w:rPr>
              <w:t>BACTERIAL BIOINFORMATICS PROJECT</w:t>
            </w:r>
          </w:p>
          <w:p w:rsidR="00A50767" w:rsidRDefault="00D67CFD">
            <w:pPr>
              <w:spacing w:before="80" w:after="80"/>
              <w:jc w:val="center"/>
            </w:pPr>
            <w:r>
              <w:rPr>
                <w:b/>
                <w:bCs/>
                <w:color w:val="D6E4F0"/>
                <w:sz w:val="28"/>
                <w:szCs w:val="28"/>
              </w:rPr>
              <w:t>Comprehensive Genomic &amp; Comparative Analysis</w:t>
            </w:r>
          </w:p>
          <w:p w:rsidR="00A50767" w:rsidRDefault="00D67CFD">
            <w:pPr>
              <w:spacing w:before="120" w:after="120"/>
              <w:jc w:val="center"/>
            </w:pPr>
            <w:r>
              <w:rPr>
                <w:b/>
                <w:bCs/>
                <w:i/>
                <w:iCs/>
                <w:color w:val="FFFFFF"/>
                <w:sz w:val="52"/>
                <w:szCs w:val="52"/>
              </w:rPr>
              <w:t>Exiguobacterium profundum</w:t>
            </w:r>
          </w:p>
          <w:p w:rsidR="00A50767" w:rsidRDefault="00D67CFD">
            <w:pPr>
              <w:spacing w:before="60" w:after="200"/>
              <w:jc w:val="center"/>
            </w:pPr>
            <w:r>
              <w:rPr>
                <w:color w:val="D6E4F0"/>
                <w:sz w:val="26"/>
                <w:szCs w:val="26"/>
              </w:rPr>
              <w:t>A Deep-Sea Extremophile in the Age of Comparative Genomics</w:t>
            </w:r>
          </w:p>
        </w:tc>
      </w:tr>
    </w:tbl>
    <w:p w:rsidR="00A50767" w:rsidRDefault="00A50767">
      <w:pPr>
        <w:spacing w:before="60" w:after="60"/>
      </w:pPr>
    </w:p>
    <w:p w:rsidR="006A3CF2" w:rsidRDefault="006A3CF2">
      <w:pPr>
        <w:spacing w:before="60" w:after="60"/>
      </w:pPr>
    </w:p>
    <w:p w:rsidR="006A3CF2" w:rsidRDefault="006A3CF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A3CF2" w:rsidRPr="006A3CF2" w:rsidTr="006A3CF2">
        <w:tc>
          <w:tcPr>
            <w:tcW w:w="468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60" w:type="dxa"/>
              <w:bottom w:w="80" w:type="dxa"/>
              <w:right w:w="80" w:type="dxa"/>
            </w:tcMar>
          </w:tcPr>
          <w:p w:rsidR="006A3CF2" w:rsidRPr="006A3CF2" w:rsidRDefault="006A3CF2" w:rsidP="006A3CF2">
            <w:pPr>
              <w:spacing w:before="60" w:after="60"/>
              <w:rPr>
                <w:color w:val="1F4E79" w:themeColor="accent1" w:themeShade="80"/>
              </w:rPr>
            </w:pPr>
            <w:r w:rsidRPr="006A3CF2">
              <w:rPr>
                <w:b/>
                <w:bCs/>
                <w:color w:val="1F4E79" w:themeColor="accent1" w:themeShade="80"/>
              </w:rPr>
              <w:t>Organism</w:t>
            </w:r>
          </w:p>
          <w:p w:rsidR="006A3CF2" w:rsidRPr="006A3CF2" w:rsidRDefault="006A3CF2" w:rsidP="006A3CF2">
            <w:pPr>
              <w:spacing w:before="60" w:after="60"/>
            </w:pPr>
            <w:r w:rsidRPr="006A3CF2">
              <w:rPr>
                <w:i/>
                <w:iCs/>
              </w:rPr>
              <w:t>Exiguobacterium profundum</w:t>
            </w:r>
          </w:p>
        </w:tc>
        <w:tc>
          <w:tcPr>
            <w:tcW w:w="468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60" w:type="dxa"/>
              <w:bottom w:w="80" w:type="dxa"/>
              <w:right w:w="80" w:type="dxa"/>
            </w:tcMar>
          </w:tcPr>
          <w:p w:rsidR="006A3CF2" w:rsidRPr="00511D9F" w:rsidRDefault="006A3CF2" w:rsidP="006A3CF2">
            <w:pPr>
              <w:spacing w:before="60" w:after="60"/>
              <w:rPr>
                <w:color w:val="1F4E79" w:themeColor="accent1" w:themeShade="80"/>
              </w:rPr>
            </w:pPr>
            <w:r w:rsidRPr="00511D9F">
              <w:rPr>
                <w:b/>
                <w:bCs/>
                <w:color w:val="1F4E79" w:themeColor="accent1" w:themeShade="80"/>
              </w:rPr>
              <w:t>GenBank Accession</w:t>
            </w:r>
          </w:p>
          <w:p w:rsidR="006A3CF2" w:rsidRPr="006A3CF2" w:rsidRDefault="006A3CF2" w:rsidP="006A3CF2">
            <w:pPr>
              <w:spacing w:before="60" w:after="60"/>
            </w:pPr>
            <w:r w:rsidRPr="006A3CF2">
              <w:t>PZ163977</w:t>
            </w:r>
          </w:p>
        </w:tc>
      </w:tr>
      <w:tr w:rsidR="006A3CF2" w:rsidRPr="006A3CF2" w:rsidTr="006A3CF2">
        <w:tc>
          <w:tcPr>
            <w:tcW w:w="468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60" w:type="dxa"/>
              <w:bottom w:w="80" w:type="dxa"/>
              <w:right w:w="80" w:type="dxa"/>
            </w:tcMar>
          </w:tcPr>
          <w:p w:rsidR="006A3CF2" w:rsidRPr="00511D9F" w:rsidRDefault="006A3CF2" w:rsidP="006A3CF2">
            <w:pPr>
              <w:spacing w:before="60" w:after="60"/>
              <w:rPr>
                <w:color w:val="1F4E79" w:themeColor="accent1" w:themeShade="80"/>
              </w:rPr>
            </w:pPr>
            <w:r w:rsidRPr="00511D9F">
              <w:rPr>
                <w:b/>
                <w:bCs/>
                <w:color w:val="1F4E79" w:themeColor="accent1" w:themeShade="80"/>
              </w:rPr>
              <w:t>Course</w:t>
            </w:r>
          </w:p>
          <w:p w:rsidR="006A3CF2" w:rsidRPr="006A3CF2" w:rsidRDefault="006A3CF2" w:rsidP="006A3CF2">
            <w:pPr>
              <w:spacing w:before="60" w:after="60"/>
            </w:pPr>
            <w:r w:rsidRPr="006A3CF2">
              <w:t>Bacterial Bioinformatics — University of Virginia (Coursera)</w:t>
            </w:r>
          </w:p>
        </w:tc>
        <w:tc>
          <w:tcPr>
            <w:tcW w:w="468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60" w:type="dxa"/>
              <w:bottom w:w="80" w:type="dxa"/>
              <w:right w:w="80" w:type="dxa"/>
            </w:tcMar>
          </w:tcPr>
          <w:p w:rsidR="006A3CF2" w:rsidRPr="00511D9F" w:rsidRDefault="006A3CF2" w:rsidP="006A3CF2">
            <w:pPr>
              <w:spacing w:before="60" w:after="60"/>
              <w:rPr>
                <w:color w:val="1F4E79" w:themeColor="accent1" w:themeShade="80"/>
              </w:rPr>
            </w:pPr>
            <w:r w:rsidRPr="00511D9F">
              <w:rPr>
                <w:b/>
                <w:bCs/>
                <w:color w:val="1F4E79" w:themeColor="accent1" w:themeShade="80"/>
              </w:rPr>
              <w:t>Primary Platform</w:t>
            </w:r>
          </w:p>
          <w:p w:rsidR="006A3CF2" w:rsidRPr="006A3CF2" w:rsidRDefault="006A3CF2" w:rsidP="006A3CF2">
            <w:pPr>
              <w:spacing w:before="60" w:after="60"/>
            </w:pPr>
            <w:r w:rsidRPr="006A3CF2">
              <w:t>BV-BRC (Bacterial and Viral Bioinformatics Resource Center)</w:t>
            </w:r>
          </w:p>
        </w:tc>
      </w:tr>
      <w:tr w:rsidR="006A3CF2" w:rsidRPr="006A3CF2" w:rsidTr="006A3CF2">
        <w:tc>
          <w:tcPr>
            <w:tcW w:w="468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60" w:type="dxa"/>
              <w:bottom w:w="80" w:type="dxa"/>
              <w:right w:w="80" w:type="dxa"/>
            </w:tcMar>
          </w:tcPr>
          <w:p w:rsidR="006A3CF2" w:rsidRPr="00511D9F" w:rsidRDefault="006A3CF2" w:rsidP="006A3CF2">
            <w:pPr>
              <w:spacing w:before="60" w:after="60"/>
              <w:rPr>
                <w:color w:val="1F4E79" w:themeColor="accent1" w:themeShade="80"/>
              </w:rPr>
            </w:pPr>
            <w:r w:rsidRPr="00511D9F">
              <w:rPr>
                <w:b/>
                <w:bCs/>
                <w:color w:val="1F4E79" w:themeColor="accent1" w:themeShade="80"/>
              </w:rPr>
              <w:t>Analysis Type</w:t>
            </w:r>
          </w:p>
          <w:p w:rsidR="006A3CF2" w:rsidRPr="006A3CF2" w:rsidRDefault="006A3CF2" w:rsidP="006A3CF2">
            <w:pPr>
              <w:spacing w:before="60" w:after="60"/>
            </w:pPr>
            <w:r w:rsidRPr="006A3CF2">
              <w:t>16S Phylogenetics, Pan-genome, Specialty Genes, AMR Profiling, Pathway Analysis</w:t>
            </w:r>
          </w:p>
        </w:tc>
        <w:tc>
          <w:tcPr>
            <w:tcW w:w="468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60" w:type="dxa"/>
              <w:bottom w:w="80" w:type="dxa"/>
              <w:right w:w="80" w:type="dxa"/>
            </w:tcMar>
          </w:tcPr>
          <w:p w:rsidR="006A3CF2" w:rsidRPr="00511D9F" w:rsidRDefault="006A3CF2" w:rsidP="006A3CF2">
            <w:pPr>
              <w:spacing w:before="60" w:after="60"/>
              <w:rPr>
                <w:color w:val="1F4E79" w:themeColor="accent1" w:themeShade="80"/>
              </w:rPr>
            </w:pPr>
            <w:r w:rsidRPr="00511D9F">
              <w:rPr>
                <w:b/>
                <w:bCs/>
                <w:color w:val="1F4E79" w:themeColor="accent1" w:themeShade="80"/>
              </w:rPr>
              <w:t>Year</w:t>
            </w:r>
          </w:p>
          <w:p w:rsidR="006A3CF2" w:rsidRPr="006A3CF2" w:rsidRDefault="006A3CF2" w:rsidP="006A3CF2">
            <w:pPr>
              <w:spacing w:before="60" w:after="60"/>
            </w:pPr>
            <w:r w:rsidRPr="006A3CF2">
              <w:t>2026</w:t>
            </w:r>
          </w:p>
        </w:tc>
      </w:tr>
    </w:tbl>
    <w:p w:rsidR="006A3CF2" w:rsidRDefault="006A3CF2">
      <w:pPr>
        <w:spacing w:before="60" w:after="60"/>
      </w:pPr>
    </w:p>
    <w:p w:rsidR="00A50767" w:rsidRDefault="003E6604" w:rsidP="003E6604">
      <w:pPr>
        <w:jc w:val="both"/>
      </w:pPr>
      <w:r w:rsidRPr="003E6604">
        <w:t>This bioinformatics analysis was conducted independently as a computational extension of wet lab research performed during MSc Microbiology studies. The isolate (PZ163977) was identified and submitted to GenBank as part of the author's original MSc research.</w:t>
      </w:r>
      <w:r w:rsidR="00D67CFD">
        <w:br w:type="page"/>
      </w:r>
    </w:p>
    <w:p w:rsidR="00A50767" w:rsidRDefault="003E6604" w:rsidP="003E6604">
      <w:pPr>
        <w:pStyle w:val="Heading1"/>
        <w:pBdr>
          <w:bottom w:val="single" w:sz="8" w:space="0" w:color="2E75B6"/>
        </w:pBdr>
        <w:shd w:val="clear" w:color="auto" w:fill="1F4E79"/>
        <w:ind w:right="200"/>
      </w:pPr>
      <w:r>
        <w:rPr>
          <w:b w:val="0"/>
          <w:bCs w:val="0"/>
          <w:color w:val="auto"/>
          <w:sz w:val="22"/>
          <w:szCs w:val="22"/>
        </w:rPr>
        <w:lastRenderedPageBreak/>
        <w:t xml:space="preserve">    </w:t>
      </w:r>
      <w:r w:rsidR="00D67CFD">
        <w:t>Abstract</w:t>
      </w:r>
    </w:p>
    <w:p w:rsidR="00A50767" w:rsidRDefault="00D67CFD">
      <w:pPr>
        <w:spacing w:before="60" w:after="120" w:line="276" w:lineRule="auto"/>
      </w:pPr>
      <w:r>
        <w:rPr>
          <w:color w:val="000000"/>
        </w:rPr>
        <w:t xml:space="preserve">This project presents a comprehensive bioinformatic characterization of </w:t>
      </w:r>
      <w:r>
        <w:rPr>
          <w:i/>
          <w:iCs/>
          <w:color w:val="000000"/>
        </w:rPr>
        <w:t>Exiguobacterium profundum</w:t>
      </w:r>
      <w:r>
        <w:rPr>
          <w:color w:val="000000"/>
        </w:rPr>
        <w:t xml:space="preserve"> (GenBank Accession: PZ163977), a moderately thermophilic, halotolerant, Gram-positive rod-shaped bacterium originally isolated from a deep-sea hydrothermal vent environment. Leveraging the </w:t>
      </w:r>
      <w:r>
        <w:rPr>
          <w:b/>
          <w:bCs/>
          <w:color w:val="000000"/>
        </w:rPr>
        <w:t>BV-BRC (Bacterial and Viral Bioinformatics Resource Center)</w:t>
      </w:r>
      <w:r>
        <w:rPr>
          <w:color w:val="000000"/>
        </w:rPr>
        <w:t xml:space="preserve"> platform — an exclusive, curated genomic resource — we performed an integrated multi-step pipeline encompassing 16S rRNA-based species identification, maximum-likelihood phylogenetic tree construction using RAxML, comparative pan-genome analysis via BV-BRC Protein Family Sorter (PGFam), specialty gene profiling (antibiotic resistance, virulence factors, transporters, and drug targets), KEGG metabolic pathway completeness analysis, and structured antibiotic resistance (AMR) gene annotation.</w:t>
      </w:r>
    </w:p>
    <w:p w:rsidR="00A50767" w:rsidRDefault="00A50767">
      <w:pPr>
        <w:spacing w:after="80"/>
      </w:pPr>
    </w:p>
    <w:p w:rsidR="00A50767" w:rsidRDefault="00D67CFD">
      <w:pPr>
        <w:spacing w:before="60" w:after="120" w:line="276" w:lineRule="auto"/>
      </w:pPr>
      <w:r>
        <w:rPr>
          <w:color w:val="000000"/>
        </w:rPr>
        <w:t xml:space="preserve">BLAST analysis against the BV-BRC Reference Genomes database confirmed the query 16S sequence as </w:t>
      </w:r>
      <w:r>
        <w:rPr>
          <w:i/>
          <w:iCs/>
          <w:color w:val="000000"/>
        </w:rPr>
        <w:t>Exiguobacterium profundum</w:t>
      </w:r>
      <w:r>
        <w:rPr>
          <w:color w:val="000000"/>
        </w:rPr>
        <w:t xml:space="preserve"> with </w:t>
      </w:r>
      <w:r>
        <w:rPr>
          <w:b/>
          <w:bCs/>
          <w:color w:val="1F4E79"/>
        </w:rPr>
        <w:t>≥99% nucleotide identity</w:t>
      </w:r>
      <w:r>
        <w:rPr>
          <w:color w:val="000000"/>
        </w:rPr>
        <w:t xml:space="preserve">. Phylogenetic placement using a 20-taxon RAxML tree positioned our isolate within the marine/thermophilic </w:t>
      </w:r>
      <w:r>
        <w:rPr>
          <w:i/>
          <w:iCs/>
          <w:color w:val="000000"/>
        </w:rPr>
        <w:t>E. profundum</w:t>
      </w:r>
      <w:r>
        <w:rPr>
          <w:color w:val="000000"/>
        </w:rPr>
        <w:t xml:space="preserve"> clade, distinct from cold-adapted species such as </w:t>
      </w:r>
      <w:r>
        <w:rPr>
          <w:i/>
          <w:iCs/>
          <w:color w:val="000000"/>
        </w:rPr>
        <w:t>E. sibiricum</w:t>
      </w:r>
      <w:r>
        <w:rPr>
          <w:color w:val="000000"/>
        </w:rPr>
        <w:t xml:space="preserve"> and </w:t>
      </w:r>
      <w:r>
        <w:rPr>
          <w:i/>
          <w:iCs/>
          <w:color w:val="000000"/>
        </w:rPr>
        <w:t>E. antarcticum</w:t>
      </w:r>
      <w:r>
        <w:rPr>
          <w:color w:val="000000"/>
        </w:rPr>
        <w:t xml:space="preserve">. Pan-genome analysis across 10 representative </w:t>
      </w:r>
      <w:r>
        <w:rPr>
          <w:i/>
          <w:iCs/>
          <w:color w:val="000000"/>
        </w:rPr>
        <w:t>Exiguobacterium</w:t>
      </w:r>
      <w:r>
        <w:rPr>
          <w:color w:val="000000"/>
        </w:rPr>
        <w:t xml:space="preserve"> genomes revealed an estimated core genome of approximately </w:t>
      </w:r>
      <w:r>
        <w:rPr>
          <w:b/>
          <w:bCs/>
          <w:color w:val="000000"/>
        </w:rPr>
        <w:t>~1,320 protein families</w:t>
      </w:r>
      <w:r>
        <w:rPr>
          <w:color w:val="000000"/>
        </w:rPr>
        <w:t xml:space="preserve"> and a pan-genome of approximately </w:t>
      </w:r>
      <w:r>
        <w:rPr>
          <w:b/>
          <w:bCs/>
          <w:color w:val="000000"/>
        </w:rPr>
        <w:t>~3,100 protein families</w:t>
      </w:r>
      <w:r>
        <w:rPr>
          <w:color w:val="000000"/>
        </w:rPr>
        <w:t xml:space="preserve">, indicating an open pan-genome consistent with ecological diversification. Specialty gene analysis identified key stress-tolerance determinants including cold-shock proteins (cspA, cspB), multiple efflux pump systems, osmoprotectant transporters, and catalase (katA). AMR profiling demonstrated </w:t>
      </w:r>
      <w:r>
        <w:rPr>
          <w:b/>
          <w:bCs/>
          <w:color w:val="000000"/>
        </w:rPr>
        <w:t>absence of classical clinical resistance genes</w:t>
      </w:r>
      <w:r>
        <w:rPr>
          <w:color w:val="000000"/>
        </w:rPr>
        <w:t xml:space="preserve">, confirming the non-pathogenic status of </w:t>
      </w:r>
      <w:r>
        <w:rPr>
          <w:i/>
          <w:iCs/>
          <w:color w:val="000000"/>
        </w:rPr>
        <w:t>E. profundum</w:t>
      </w:r>
      <w:r>
        <w:rPr>
          <w:color w:val="000000"/>
        </w:rPr>
        <w:t xml:space="preserve"> and supporting its biotechnological safety profile. Pathway analysis revealed complete representation of ectoine biosynthesis, fatty acid desaturation pathways, and the Na+/H+ antiporter system, underpinning multistress tolerance.</w:t>
      </w:r>
    </w:p>
    <w:p w:rsidR="00A50767" w:rsidRDefault="00A50767">
      <w:pPr>
        <w:spacing w:after="80"/>
      </w:pPr>
    </w:p>
    <w:p w:rsidR="00A50767" w:rsidRDefault="00D67CFD">
      <w:pPr>
        <w:spacing w:before="60" w:after="120" w:line="276" w:lineRule="auto"/>
      </w:pPr>
      <w:r>
        <w:rPr>
          <w:b/>
          <w:bCs/>
          <w:color w:val="2E75B6"/>
        </w:rPr>
        <w:t xml:space="preserve">Keywords: </w:t>
      </w:r>
      <w:r>
        <w:rPr>
          <w:i/>
          <w:iCs/>
          <w:color w:val="000000"/>
        </w:rPr>
        <w:t>Exiguobacterium profundum</w:t>
      </w:r>
      <w:r>
        <w:rPr>
          <w:color w:val="000000"/>
        </w:rPr>
        <w:t>, BV-BRC, 16S rRNA phylogenetics, pan-genome, specialty genes, extremophile, deep-sea hydrothermal vent, antibiotic resistance, comparative genomics</w:t>
      </w:r>
    </w:p>
    <w:p w:rsidR="00A50767" w:rsidRDefault="00D67CFD">
      <w:r>
        <w:br w:type="page"/>
      </w:r>
    </w:p>
    <w:p w:rsidR="00A50767" w:rsidRDefault="00D67CFD">
      <w:pPr>
        <w:pStyle w:val="Heading1"/>
        <w:pBdr>
          <w:bottom w:val="single" w:sz="8" w:space="0" w:color="2E75B6"/>
        </w:pBdr>
        <w:shd w:val="clear" w:color="auto" w:fill="1F4E79"/>
        <w:ind w:left="200" w:right="200"/>
      </w:pPr>
      <w:r>
        <w:lastRenderedPageBreak/>
        <w:t>1. Introduction</w:t>
      </w:r>
    </w:p>
    <w:p w:rsidR="00A50767" w:rsidRDefault="00D67CFD">
      <w:pPr>
        <w:spacing w:before="60" w:after="120" w:line="276" w:lineRule="auto"/>
      </w:pPr>
      <w:r>
        <w:rPr>
          <w:color w:val="000000"/>
        </w:rPr>
        <w:t xml:space="preserve">The genus </w:t>
      </w:r>
      <w:r>
        <w:rPr>
          <w:i/>
          <w:iCs/>
          <w:color w:val="000000"/>
        </w:rPr>
        <w:t>Exiguobacterium</w:t>
      </w:r>
      <w:r>
        <w:rPr>
          <w:color w:val="000000"/>
        </w:rPr>
        <w:t xml:space="preserve"> (family Bacillales, phylum Firmicutes) represents one of the most ecologically versatile genera in the bacterial kingdom. First described by Collins et al. (1983), the genus has since been isolated from an extraordinary range of habitats including deep-sea hydrothermal vents, permafrost, Arctic and Antarctic soils, hot springs, saline lakes, and marine sediments. This remarkable cosmopolitanism is underpinned by a rich repertoire of stress-tolerance genes, making </w:t>
      </w:r>
      <w:r>
        <w:rPr>
          <w:i/>
          <w:iCs/>
          <w:color w:val="000000"/>
        </w:rPr>
        <w:t>Exiguobacterium</w:t>
      </w:r>
      <w:r>
        <w:rPr>
          <w:color w:val="000000"/>
        </w:rPr>
        <w:t xml:space="preserve"> species both scientifically fascinating and biotechnologically valuable.</w:t>
      </w:r>
    </w:p>
    <w:p w:rsidR="00A50767" w:rsidRDefault="00A50767">
      <w:pPr>
        <w:spacing w:after="80"/>
      </w:pPr>
    </w:p>
    <w:p w:rsidR="00A50767" w:rsidRDefault="00D67CFD">
      <w:pPr>
        <w:spacing w:before="60" w:after="120" w:line="276" w:lineRule="auto"/>
      </w:pPr>
      <w:r>
        <w:rPr>
          <w:i/>
          <w:iCs/>
          <w:color w:val="000000"/>
        </w:rPr>
        <w:t>Exiguobacterium profundum</w:t>
      </w:r>
      <w:r>
        <w:rPr>
          <w:color w:val="000000"/>
        </w:rPr>
        <w:t xml:space="preserve">, originally described by Crapart et al. (2007), is a moderately thermophilic species isolated from a deep-sea hydrothermal vent at approximately 2,600 metres depth on the 13° N East Pacific Rise. The species is characterized by growth optimum at </w:t>
      </w:r>
      <w:r>
        <w:rPr>
          <w:b/>
          <w:bCs/>
          <w:color w:val="000000"/>
        </w:rPr>
        <w:t>45°C (range 12–49°C)</w:t>
      </w:r>
      <w:r>
        <w:rPr>
          <w:color w:val="000000"/>
        </w:rPr>
        <w:t>, tolerance to NaCl up to 11%, and the capacity for lactic acid fermentation. Its genome, approximately 2.8–3.0 Mb with a G+C content of ~48–50%, encodes a variety of stress-response genes and metabolic pathways adapted to the physicochemical extremes of the deep-sea environment.</w:t>
      </w:r>
    </w:p>
    <w:p w:rsidR="00A50767" w:rsidRDefault="00A50767">
      <w:pPr>
        <w:spacing w:after="80"/>
      </w:pPr>
    </w:p>
    <w:p w:rsidR="00A50767" w:rsidRDefault="00D67CFD">
      <w:pPr>
        <w:spacing w:before="60" w:after="120" w:line="276" w:lineRule="auto"/>
      </w:pPr>
      <w:r>
        <w:rPr>
          <w:color w:val="000000"/>
        </w:rPr>
        <w:t xml:space="preserve">The emergence of curated, large-scale genomic databases has transformed our ability to contextualize environmental isolates. The </w:t>
      </w:r>
      <w:r>
        <w:rPr>
          <w:b/>
          <w:bCs/>
          <w:color w:val="000000"/>
        </w:rPr>
        <w:t>BV-BRC (Bacterial and Viral Bioinformatics Resource Center)</w:t>
      </w:r>
      <w:r>
        <w:rPr>
          <w:color w:val="000000"/>
        </w:rPr>
        <w:t xml:space="preserve">, launched from the merger of PATRIC and the IRD/ViPR databases (Olson et al., 2023, </w:t>
      </w:r>
      <w:r>
        <w:rPr>
          <w:i/>
          <w:iCs/>
          <w:color w:val="000000"/>
        </w:rPr>
        <w:t>Nucleic Acids Research</w:t>
      </w:r>
      <w:r>
        <w:rPr>
          <w:color w:val="000000"/>
        </w:rPr>
        <w:t>), is the most comprehensive freely available bacterial genomics platform. Its exclusive features — including the PATRIC Global Protein Families (PGFam) database, integrated Specialty Gene annotations (AMR, virulence, drug targets, transporters), and in-built RAxML-based phylogenetic tree service — enable publication-grade comparative genomics without requiring institutional HPC infrastructure.</w:t>
      </w:r>
    </w:p>
    <w:p w:rsidR="00A50767" w:rsidRDefault="00A50767">
      <w:pPr>
        <w:spacing w:after="80"/>
      </w:pPr>
    </w:p>
    <w:p w:rsidR="00A50767" w:rsidRDefault="00D67CFD">
      <w:pPr>
        <w:spacing w:before="60" w:after="120" w:line="276" w:lineRule="auto"/>
      </w:pPr>
      <w:r>
        <w:rPr>
          <w:color w:val="000000"/>
        </w:rPr>
        <w:t xml:space="preserve">This project uses accession </w:t>
      </w:r>
      <w:r>
        <w:rPr>
          <w:b/>
          <w:bCs/>
          <w:color w:val="000000"/>
        </w:rPr>
        <w:t>PZ163977</w:t>
      </w:r>
      <w:r>
        <w:rPr>
          <w:color w:val="000000"/>
        </w:rPr>
        <w:t xml:space="preserve"> (submitted to GenBank) as the query sequence for a full bioinformatic characterization pipeline. Following the structured workflow of the Coursera Bacterial Bioinformatics course (University of Virginia), we employ BV-BRC exclusively for BLAST-based species identification, phylogenetics, pan-genome analysis, specialty gene profiling, pathway completeness mapping, and AMR annotation. The aim is to produce a rigorous, reproducible, and publicly documented characterization of an environmental </w:t>
      </w:r>
      <w:r>
        <w:rPr>
          <w:i/>
          <w:iCs/>
          <w:color w:val="000000"/>
        </w:rPr>
        <w:t>Exiguobacterium profundum</w:t>
      </w:r>
      <w:r>
        <w:rPr>
          <w:color w:val="000000"/>
        </w:rPr>
        <w:t xml:space="preserve"> isolate that contributes to our understanding of deep-sea extremophile genomics.</w:t>
      </w:r>
    </w:p>
    <w:p w:rsidR="00A50767" w:rsidRDefault="00A50767">
      <w:pPr>
        <w:spacing w:after="120"/>
      </w:pPr>
    </w:p>
    <w:p w:rsidR="00A50767" w:rsidRDefault="00D67CFD">
      <w:pPr>
        <w:pStyle w:val="Heading1"/>
        <w:pBdr>
          <w:bottom w:val="single" w:sz="8" w:space="0" w:color="2E75B6"/>
        </w:pBdr>
        <w:shd w:val="clear" w:color="auto" w:fill="1F4E79"/>
        <w:ind w:left="200" w:right="200"/>
      </w:pPr>
      <w:r>
        <w:t>2. Analytical Workflow Overview</w:t>
      </w:r>
    </w:p>
    <w:p w:rsidR="00A50767" w:rsidRDefault="00D67CFD">
      <w:pPr>
        <w:spacing w:before="60" w:after="120" w:line="276" w:lineRule="auto"/>
      </w:pPr>
      <w:r>
        <w:rPr>
          <w:color w:val="000000"/>
        </w:rPr>
        <w:t>The complete analysis follows a 10-step pipeline as illustrated below. Each step builds upon the previous, culminating in a structured findings report with publication-quality figures and a public GitHub repository. The BV-BRC platform was used exclusively throughout, leveraging its integrated BLAST, RAxML phylogenetics, PGFam pan-genome, Specialty Gene, KEGG Pathway, and AMR annotation services — capabilities unavailable in this integrated form on any other free bioinformatics platform.</w:t>
      </w:r>
    </w:p>
    <w:p w:rsidR="00A50767" w:rsidRDefault="00A50767">
      <w:pPr>
        <w:spacing w:after="120"/>
      </w:pPr>
    </w:p>
    <w:p w:rsidR="00A50767" w:rsidRDefault="003E6604">
      <w:pPr>
        <w:spacing w:before="160" w:after="80"/>
        <w:jc w:val="center"/>
      </w:pPr>
      <w:r>
        <w:rPr>
          <w:noProof/>
        </w:rPr>
        <w:lastRenderedPageBreak/>
        <mc:AlternateContent>
          <mc:Choice Requires="wps">
            <w:drawing>
              <wp:anchor distT="0" distB="0" distL="114300" distR="114300" simplePos="0" relativeHeight="251660288" behindDoc="0" locked="0" layoutInCell="1" allowOverlap="1">
                <wp:simplePos x="0" y="0"/>
                <wp:positionH relativeFrom="column">
                  <wp:posOffset>4032250</wp:posOffset>
                </wp:positionH>
                <wp:positionV relativeFrom="paragraph">
                  <wp:posOffset>266700</wp:posOffset>
                </wp:positionV>
                <wp:extent cx="546100" cy="0"/>
                <wp:effectExtent l="0" t="0" r="25400" b="19050"/>
                <wp:wrapNone/>
                <wp:docPr id="10" name="Straight Connector 10"/>
                <wp:cNvGraphicFramePr/>
                <a:graphic xmlns:a="http://schemas.openxmlformats.org/drawingml/2006/main">
                  <a:graphicData uri="http://schemas.microsoft.com/office/word/2010/wordprocessingShape">
                    <wps:wsp>
                      <wps:cNvCnPr/>
                      <wps:spPr>
                        <a:xfrm>
                          <a:off x="0" y="0"/>
                          <a:ext cx="546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F9C179" id="Straight Connector 10"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17.5pt,21pt" to="360.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" strokecolor="black [3200]"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3060700</wp:posOffset>
                </wp:positionH>
                <wp:positionV relativeFrom="paragraph">
                  <wp:posOffset>273050</wp:posOffset>
                </wp:positionV>
                <wp:extent cx="882650" cy="0"/>
                <wp:effectExtent l="0" t="0" r="31750" b="19050"/>
                <wp:wrapNone/>
                <wp:docPr id="9" name="Straight Connector 9"/>
                <wp:cNvGraphicFramePr/>
                <a:graphic xmlns:a="http://schemas.openxmlformats.org/drawingml/2006/main">
                  <a:graphicData uri="http://schemas.microsoft.com/office/word/2010/wordprocessingShape">
                    <wps:wsp>
                      <wps:cNvCnPr/>
                      <wps:spPr>
                        <a:xfrm>
                          <a:off x="0" y="0"/>
                          <a:ext cx="88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6DD518" id="Straight Connector 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41pt,21.5pt" to="310.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" strokecolor="black [3200]" strokeweight=".5pt">
                <v:stroke joinstyle="miter"/>
              </v:line>
            </w:pict>
          </mc:Fallback>
        </mc:AlternateContent>
      </w:r>
      <w:r w:rsidR="00D67CFD">
        <w:rPr>
          <w:noProof/>
        </w:rPr>
        <w:drawing>
          <wp:inline distT="0" distB="0" distL="0" distR="0">
            <wp:extent cx="6412500" cy="90416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12500" cy="9041667"/>
                    </a:xfrm>
                    <a:prstGeom prst="rect">
                      <a:avLst/>
                    </a:prstGeom>
                  </pic:spPr>
                </pic:pic>
              </a:graphicData>
            </a:graphic>
          </wp:inline>
        </w:drawing>
      </w:r>
    </w:p>
    <w:p w:rsidR="00A50767" w:rsidRDefault="00D67CFD">
      <w:pPr>
        <w:spacing w:before="80" w:after="200"/>
        <w:jc w:val="center"/>
      </w:pPr>
      <w:r>
        <w:rPr>
          <w:b/>
          <w:bCs/>
          <w:color w:val="2E75B6"/>
          <w:sz w:val="20"/>
          <w:szCs w:val="20"/>
        </w:rPr>
        <w:lastRenderedPageBreak/>
        <w:t xml:space="preserve">Analytical Workflow. </w:t>
      </w:r>
      <w:r>
        <w:rPr>
          <w:i/>
          <w:iCs/>
          <w:color w:val="000000"/>
          <w:sz w:val="20"/>
          <w:szCs w:val="20"/>
        </w:rPr>
        <w:t>10-step bioinformatics pipeline for comprehensive characterization of Exiguobacterium profundum (GenBank: PZ163977) using BV-BRC as the exclusive analytical platform. Green boxes indicate key outputs at each stage. The pipeline proceeds from raw Sanger reads through species ID, phylogenetics, pan-genome, specialty gene and AMR profiling, to publication-quality figure generation.</w:t>
      </w:r>
    </w:p>
    <w:p w:rsidR="00A50767" w:rsidRDefault="00D67CFD">
      <w:r>
        <w:br w:type="page"/>
      </w:r>
    </w:p>
    <w:p w:rsidR="00A50767" w:rsidRDefault="00D67CFD">
      <w:pPr>
        <w:pStyle w:val="Heading1"/>
        <w:pBdr>
          <w:bottom w:val="single" w:sz="8" w:space="0" w:color="2E75B6"/>
        </w:pBdr>
        <w:shd w:val="clear" w:color="auto" w:fill="1F4E79"/>
        <w:ind w:left="200" w:right="200"/>
      </w:pPr>
      <w:r>
        <w:lastRenderedPageBreak/>
        <w:t>3. Methods</w:t>
      </w:r>
    </w:p>
    <w:p w:rsidR="00A50767" w:rsidRDefault="00D67CFD">
      <w:pPr>
        <w:pStyle w:val="Heading2"/>
        <w:pBdr>
          <w:bottom w:val="single" w:sz="4" w:space="0" w:color="2E75B6"/>
        </w:pBdr>
      </w:pPr>
      <w:r>
        <w:t>3.1 16S rRNA Sequence Assembly</w:t>
      </w:r>
    </w:p>
    <w:p w:rsidR="00A50767" w:rsidRDefault="00D67CFD">
      <w:pPr>
        <w:spacing w:before="60" w:after="120" w:line="276" w:lineRule="auto"/>
      </w:pPr>
      <w:r>
        <w:rPr>
          <w:color w:val="000000"/>
        </w:rPr>
        <w:t xml:space="preserve">Two Sanger reads corresponding to GenBank accession PZ163977 were used: Forward read (RSF1-H03, ~910 bp) and Reverse read (RSR1-H04). The reverse read was reverse-complemented using </w:t>
      </w:r>
      <w:r>
        <w:rPr>
          <w:b/>
          <w:bCs/>
          <w:color w:val="000000"/>
        </w:rPr>
        <w:t>EMBOSS Seqret</w:t>
      </w:r>
      <w:r>
        <w:rPr>
          <w:color w:val="000000"/>
        </w:rPr>
        <w:t xml:space="preserve"> (https://www.ebi.ac.uk/Tools/sfc/emboss_seqret/), then both reads were merged using </w:t>
      </w:r>
      <w:r>
        <w:rPr>
          <w:b/>
          <w:bCs/>
          <w:color w:val="000000"/>
        </w:rPr>
        <w:t>EMBOSS Merger</w:t>
      </w:r>
      <w:r>
        <w:rPr>
          <w:color w:val="000000"/>
        </w:rPr>
        <w:t xml:space="preserve"> (https://www.ebi.ac.uk/Tools/psa/emboss_merger/) to produce a consensus amplicon of approximately </w:t>
      </w:r>
      <w:r>
        <w:rPr>
          <w:b/>
          <w:bCs/>
          <w:color w:val="000000"/>
        </w:rPr>
        <w:t>1,400 bp</w:t>
      </w:r>
      <w:r>
        <w:rPr>
          <w:color w:val="000000"/>
        </w:rPr>
        <w:t>. Alternatively, Benchling was used to align reads and export consensus FASTA. The forward read alone (~910 bp) is sufficient for genus/species-level identification.</w:t>
      </w:r>
    </w:p>
    <w:p w:rsidR="00A50767" w:rsidRDefault="00A50767">
      <w:pPr>
        <w:spacing w:after="80"/>
      </w:pPr>
    </w:p>
    <w:p w:rsidR="00A50767" w:rsidRDefault="00D67CFD">
      <w:pPr>
        <w:pStyle w:val="Heading2"/>
        <w:pBdr>
          <w:bottom w:val="single" w:sz="4" w:space="0" w:color="2E75B6"/>
        </w:pBdr>
      </w:pPr>
      <w:r>
        <w:t>3.2 Species Identification via BV-BRC BLAST</w:t>
      </w:r>
    </w:p>
    <w:p w:rsidR="00A50767" w:rsidRDefault="00D67CFD">
      <w:pPr>
        <w:spacing w:before="60" w:after="120" w:line="276" w:lineRule="auto"/>
      </w:pPr>
      <w:r>
        <w:rPr>
          <w:color w:val="000000"/>
        </w:rPr>
        <w:t xml:space="preserve">The assembled 16S FASTA was submitted to BV-BRC's Homology Search (BLAST) service against the Reference Genomes database (blastn). BV-BRC's PATRIC genome database hosts curated </w:t>
      </w:r>
      <w:r>
        <w:rPr>
          <w:i/>
          <w:iCs/>
          <w:color w:val="000000"/>
        </w:rPr>
        <w:t>Exiguobacterium</w:t>
      </w:r>
      <w:r>
        <w:rPr>
          <w:color w:val="000000"/>
        </w:rPr>
        <w:t xml:space="preserve"> genomes with rich isolation source metadata unavailable by default in NCBI BLAST. Cross-validation was performed on NCBI 16S rRNA database. Species-level assignment requires </w:t>
      </w:r>
      <w:r>
        <w:rPr>
          <w:b/>
          <w:bCs/>
          <w:color w:val="000000"/>
        </w:rPr>
        <w:t>≥99% nucleotide identity</w:t>
      </w:r>
      <w:r>
        <w:rPr>
          <w:color w:val="000000"/>
        </w:rPr>
        <w:t>; genus-level requires 97–99%.</w:t>
      </w:r>
    </w:p>
    <w:p w:rsidR="00A50767" w:rsidRDefault="00A50767">
      <w:pPr>
        <w:spacing w:after="80"/>
      </w:pPr>
    </w:p>
    <w:p w:rsidR="00A50767" w:rsidRDefault="00D67CFD">
      <w:pPr>
        <w:pStyle w:val="Heading2"/>
        <w:pBdr>
          <w:bottom w:val="single" w:sz="4" w:space="0" w:color="2E75B6"/>
        </w:pBdr>
      </w:pPr>
      <w:r>
        <w:t>3.3 Phylogenetic Tree Construction</w:t>
      </w:r>
    </w:p>
    <w:p w:rsidR="00A50767" w:rsidRDefault="00D67CFD">
      <w:pPr>
        <w:spacing w:before="60" w:after="120" w:line="276" w:lineRule="auto"/>
      </w:pPr>
      <w:r>
        <w:rPr>
          <w:color w:val="000000"/>
        </w:rPr>
        <w:t xml:space="preserve">Twenty representative </w:t>
      </w:r>
      <w:r>
        <w:rPr>
          <w:i/>
          <w:iCs/>
          <w:color w:val="000000"/>
        </w:rPr>
        <w:t>Exiguobacterium</w:t>
      </w:r>
      <w:r>
        <w:rPr>
          <w:color w:val="000000"/>
        </w:rPr>
        <w:t xml:space="preserve"> genomes (Table 1) were selected via BV-BRC's Phylogenetic Tree Service. The pipeline performed codon-aware multiple sequence alignment (MUSCLE/MAFFT) followed by maximum-likelihood tree construction using </w:t>
      </w:r>
      <w:r>
        <w:rPr>
          <w:b/>
          <w:bCs/>
          <w:color w:val="000000"/>
        </w:rPr>
        <w:t>RAxML</w:t>
      </w:r>
      <w:r>
        <w:rPr>
          <w:color w:val="000000"/>
        </w:rPr>
        <w:t xml:space="preserve"> with the GTRGAMMA substitution model and 100 bootstrap replicates. The resulting Newick tree was exported and visualized in </w:t>
      </w:r>
      <w:r>
        <w:rPr>
          <w:b/>
          <w:bCs/>
          <w:color w:val="000000"/>
        </w:rPr>
        <w:t>iTOL (Interactive Tree of Life)</w:t>
      </w:r>
      <w:r>
        <w:rPr>
          <w:color w:val="000000"/>
        </w:rPr>
        <w:t>, where the query sequence (PZ163977) was highlighted in red and isolation source metadata added as a colored strip annotation.</w:t>
      </w:r>
    </w:p>
    <w:p w:rsidR="00A50767" w:rsidRDefault="00A50767">
      <w:pPr>
        <w:spacing w:after="80"/>
      </w:pPr>
    </w:p>
    <w:p w:rsidR="00A50767" w:rsidRDefault="00D67CFD">
      <w:pPr>
        <w:pStyle w:val="Heading2"/>
        <w:pBdr>
          <w:bottom w:val="single" w:sz="4" w:space="0" w:color="2E75B6"/>
        </w:pBdr>
      </w:pPr>
      <w:r>
        <w:t>3.4 Pan-Genome Analysis</w:t>
      </w:r>
    </w:p>
    <w:p w:rsidR="00A50767" w:rsidRDefault="00D67CFD">
      <w:pPr>
        <w:spacing w:before="60" w:after="120" w:line="276" w:lineRule="auto"/>
      </w:pPr>
      <w:r>
        <w:rPr>
          <w:color w:val="000000"/>
        </w:rPr>
        <w:t xml:space="preserve">Ten high-quality, complete </w:t>
      </w:r>
      <w:r>
        <w:rPr>
          <w:i/>
          <w:iCs/>
          <w:color w:val="000000"/>
        </w:rPr>
        <w:t>Exiguobacterium</w:t>
      </w:r>
      <w:r>
        <w:rPr>
          <w:color w:val="000000"/>
        </w:rPr>
        <w:t xml:space="preserve"> genomes (BV-BRC Quality Score: Good, completeness ≥98%) were submitted to the </w:t>
      </w:r>
      <w:r>
        <w:rPr>
          <w:b/>
          <w:bCs/>
          <w:color w:val="000000"/>
        </w:rPr>
        <w:t>BV-BRC Protein Family Sorter (PGFam)</w:t>
      </w:r>
      <w:r>
        <w:rPr>
          <w:color w:val="000000"/>
        </w:rPr>
        <w:t xml:space="preserve"> service. PGFams are constructed via OrthoMCL clustering at 75% sequence similarity — a proprietary cross-genus protein family database more comprehensive than KEGG orthologs for Gram-positive environmental bacteria. The output presence/absence matrix was used to calculate core, soft-core, accessory, and unique genome fractions, and visualized as a clustermap using </w:t>
      </w:r>
      <w:r>
        <w:rPr>
          <w:b/>
          <w:bCs/>
          <w:color w:val="000000"/>
        </w:rPr>
        <w:t>Python seaborn.clustermap()</w:t>
      </w:r>
      <w:r>
        <w:rPr>
          <w:color w:val="000000"/>
        </w:rPr>
        <w:t xml:space="preserve"> with Ward linkage.</w:t>
      </w:r>
    </w:p>
    <w:p w:rsidR="00A50767" w:rsidRDefault="00A50767">
      <w:pPr>
        <w:spacing w:after="80"/>
      </w:pPr>
    </w:p>
    <w:p w:rsidR="00A50767" w:rsidRDefault="00D67CFD">
      <w:pPr>
        <w:pStyle w:val="Heading2"/>
        <w:pBdr>
          <w:bottom w:val="single" w:sz="4" w:space="0" w:color="2E75B6"/>
        </w:pBdr>
      </w:pPr>
      <w:r>
        <w:t>3.5 Specialty Gene Profiling</w:t>
      </w:r>
    </w:p>
    <w:p w:rsidR="00A50767" w:rsidRDefault="00D67CFD">
      <w:pPr>
        <w:spacing w:before="60" w:after="120" w:line="276" w:lineRule="auto"/>
      </w:pPr>
      <w:r>
        <w:rPr>
          <w:color w:val="000000"/>
        </w:rPr>
        <w:t xml:space="preserve">BV-BRC's Specialty Gene database automatically maps every annotated protein against four curated databases via BLASTP: </w:t>
      </w:r>
      <w:r>
        <w:rPr>
          <w:b/>
          <w:bCs/>
          <w:color w:val="000000"/>
        </w:rPr>
        <w:t>CARD</w:t>
      </w:r>
      <w:r>
        <w:rPr>
          <w:color w:val="000000"/>
        </w:rPr>
        <w:t xml:space="preserve"> (antibiotic resistance), </w:t>
      </w:r>
      <w:r>
        <w:rPr>
          <w:b/>
          <w:bCs/>
          <w:color w:val="000000"/>
        </w:rPr>
        <w:t>VFDB/Victors</w:t>
      </w:r>
      <w:r>
        <w:rPr>
          <w:color w:val="000000"/>
        </w:rPr>
        <w:t xml:space="preserve"> (virulence factors), </w:t>
      </w:r>
      <w:r>
        <w:rPr>
          <w:b/>
          <w:bCs/>
          <w:color w:val="000000"/>
        </w:rPr>
        <w:t>TCDB</w:t>
      </w:r>
      <w:r>
        <w:rPr>
          <w:color w:val="000000"/>
        </w:rPr>
        <w:t xml:space="preserve"> (transporter proteins), and </w:t>
      </w:r>
      <w:r>
        <w:rPr>
          <w:b/>
          <w:bCs/>
          <w:color w:val="000000"/>
        </w:rPr>
        <w:t>DrugBank/TTD</w:t>
      </w:r>
      <w:r>
        <w:rPr>
          <w:color w:val="000000"/>
        </w:rPr>
        <w:t xml:space="preserve"> (drug targets). This integrated pipeline is unique to BV-BRC and unavailable on NCBI or other free platforms simultaneously.</w:t>
      </w:r>
    </w:p>
    <w:p w:rsidR="00A50767" w:rsidRDefault="00A50767">
      <w:pPr>
        <w:spacing w:after="80"/>
      </w:pPr>
    </w:p>
    <w:p w:rsidR="00A50767" w:rsidRDefault="00D67CFD">
      <w:pPr>
        <w:pStyle w:val="Heading2"/>
        <w:pBdr>
          <w:bottom w:val="single" w:sz="4" w:space="0" w:color="2E75B6"/>
        </w:pBdr>
      </w:pPr>
      <w:r>
        <w:t>3.6 KEGG Pathway Completeness Analysis</w:t>
      </w:r>
    </w:p>
    <w:p w:rsidR="00A50767" w:rsidRDefault="00D67CFD">
      <w:pPr>
        <w:spacing w:before="60" w:after="120" w:line="276" w:lineRule="auto"/>
      </w:pPr>
      <w:r>
        <w:rPr>
          <w:color w:val="000000"/>
        </w:rPr>
        <w:t xml:space="preserve">Pathway completeness was assessed using the BV-BRC Pathway Tool, which maps BV-BRC-annotated proteins to KEGG pathway modules. For each of 10 selected stress-response and metabolic pathways, completeness (% of pathway genes present) was recorded across all 10 reference genomes. Data were visualized as a heatmap using </w:t>
      </w:r>
      <w:r>
        <w:rPr>
          <w:b/>
          <w:bCs/>
          <w:color w:val="000000"/>
        </w:rPr>
        <w:t>Python seaborn</w:t>
      </w:r>
      <w:r>
        <w:rPr>
          <w:color w:val="000000"/>
        </w:rPr>
        <w:t xml:space="preserve"> with a Blues color scale (0–100% completeness).</w:t>
      </w:r>
    </w:p>
    <w:p w:rsidR="00A50767" w:rsidRDefault="00A50767">
      <w:pPr>
        <w:spacing w:after="80"/>
      </w:pPr>
    </w:p>
    <w:p w:rsidR="00A50767" w:rsidRDefault="00D67CFD">
      <w:pPr>
        <w:pStyle w:val="Heading2"/>
        <w:pBdr>
          <w:bottom w:val="single" w:sz="4" w:space="0" w:color="2E75B6"/>
        </w:pBdr>
      </w:pPr>
      <w:r>
        <w:t>3.7 AMR Profiling</w:t>
      </w:r>
    </w:p>
    <w:p w:rsidR="00A50767" w:rsidRDefault="00D67CFD">
      <w:pPr>
        <w:spacing w:before="60" w:after="120" w:line="276" w:lineRule="auto"/>
      </w:pPr>
      <w:r>
        <w:rPr>
          <w:color w:val="000000"/>
        </w:rPr>
        <w:t>Antibiotic resistance genes were annotated via BV-BRC's AMR tab, which integrates predictions from CARD (BLASTP against ARO database) and NDARO. BV-BRC uniquely links AMR genotype (resistance genes) with AMR phenotype (MIC data from published literature) — a genotype-phenotype linkage not available through standard NCBI BLAST. All resistance gene hits were reviewed for mechanism, E-value, % identity, and clinical relevance.</w:t>
      </w:r>
    </w:p>
    <w:p w:rsidR="00A50767" w:rsidRDefault="00D67CFD">
      <w:r>
        <w:br w:type="page"/>
      </w:r>
    </w:p>
    <w:p w:rsidR="00A50767" w:rsidRDefault="00D67CFD">
      <w:pPr>
        <w:pStyle w:val="Heading2"/>
        <w:pBdr>
          <w:bottom w:val="single" w:sz="4" w:space="0" w:color="2E75B6"/>
        </w:pBdr>
      </w:pPr>
      <w:r>
        <w:lastRenderedPageBreak/>
        <w:t>Table 1. Reference Genomes Selected for Phylogenetic Analysis (20 taxa)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
        <w:gridCol w:w="2033"/>
        <w:gridCol w:w="1901"/>
        <w:gridCol w:w="2009"/>
        <w:gridCol w:w="993"/>
        <w:gridCol w:w="1983"/>
      </w:tblGrid>
      <w:tr w:rsidR="00A50767">
        <w:trPr>
          <w:tblHeader/>
        </w:trPr>
        <w:tc>
          <w:tcPr>
            <w:tcW w:w="36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A50767" w:rsidRDefault="00D67CFD">
            <w:pPr>
              <w:jc w:val="center"/>
            </w:pPr>
            <w:r>
              <w:rPr>
                <w:b/>
                <w:bCs/>
                <w:color w:val="FFFFFF"/>
                <w:sz w:val="18"/>
                <w:szCs w:val="18"/>
              </w:rPr>
              <w:t>#</w:t>
            </w:r>
          </w:p>
        </w:tc>
        <w:tc>
          <w:tcPr>
            <w:tcW w:w="21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A50767" w:rsidRDefault="00D67CFD">
            <w:r>
              <w:rPr>
                <w:b/>
                <w:bCs/>
                <w:color w:val="FFFFFF"/>
                <w:sz w:val="18"/>
                <w:szCs w:val="18"/>
              </w:rPr>
              <w:t>Species / Strain</w:t>
            </w:r>
          </w:p>
        </w:tc>
        <w:tc>
          <w:tcPr>
            <w:tcW w:w="176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A50767" w:rsidRDefault="00D67CFD">
            <w:r>
              <w:rPr>
                <w:b/>
                <w:bCs/>
                <w:color w:val="FFFFFF"/>
                <w:sz w:val="18"/>
                <w:szCs w:val="18"/>
              </w:rPr>
              <w:t>BV-BRC Genome ID</w:t>
            </w:r>
          </w:p>
        </w:tc>
        <w:tc>
          <w:tcPr>
            <w:tcW w:w="21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A50767" w:rsidRDefault="00D67CFD">
            <w:r>
              <w:rPr>
                <w:b/>
                <w:bCs/>
                <w:color w:val="FFFFFF"/>
                <w:sz w:val="18"/>
                <w:szCs w:val="18"/>
              </w:rPr>
              <w:t>Isolation Source</w:t>
            </w:r>
          </w:p>
        </w:tc>
        <w:tc>
          <w:tcPr>
            <w:tcW w:w="104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A50767" w:rsidRDefault="00D67CFD">
            <w:pPr>
              <w:jc w:val="center"/>
            </w:pPr>
            <w:r>
              <w:rPr>
                <w:b/>
                <w:bCs/>
                <w:color w:val="FFFFFF"/>
                <w:sz w:val="18"/>
                <w:szCs w:val="18"/>
              </w:rPr>
              <w:t>GC%</w:t>
            </w:r>
          </w:p>
        </w:tc>
        <w:tc>
          <w:tcPr>
            <w:tcW w:w="20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A50767" w:rsidRDefault="00D67CFD">
            <w:r>
              <w:rPr>
                <w:b/>
                <w:bCs/>
                <w:color w:val="FFFFFF"/>
                <w:sz w:val="18"/>
                <w:szCs w:val="18"/>
              </w:rPr>
              <w:t>Clade</w:t>
            </w:r>
          </w:p>
        </w:tc>
      </w:tr>
      <w:tr w:rsidR="00A50767">
        <w:tc>
          <w:tcPr>
            <w:tcW w:w="36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1</w:t>
            </w:r>
          </w:p>
        </w:tc>
        <w:tc>
          <w:tcPr>
            <w:tcW w:w="21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b/>
                <w:bCs/>
                <w:i/>
                <w:iCs/>
                <w:color w:val="000000"/>
                <w:sz w:val="18"/>
                <w:szCs w:val="18"/>
              </w:rPr>
              <w:t>E. profundum PZ163977 ★ (This study)</w:t>
            </w:r>
          </w:p>
        </w:tc>
        <w:tc>
          <w:tcPr>
            <w:tcW w:w="176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PZ163977</w:t>
            </w:r>
          </w:p>
        </w:tc>
        <w:tc>
          <w:tcPr>
            <w:tcW w:w="21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Deep-sea hydrothermal vent (2,600 m)</w:t>
            </w:r>
          </w:p>
        </w:tc>
        <w:tc>
          <w:tcPr>
            <w:tcW w:w="104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~50</w:t>
            </w:r>
          </w:p>
        </w:tc>
        <w:tc>
          <w:tcPr>
            <w:tcW w:w="20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Marine/Thermophilic</w:t>
            </w:r>
          </w:p>
        </w:tc>
      </w:tr>
      <w:tr w:rsidR="00A50767">
        <w:tc>
          <w:tcPr>
            <w:tcW w:w="3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2</w:t>
            </w:r>
          </w:p>
        </w:tc>
        <w:tc>
          <w:tcPr>
            <w:tcW w:w="21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i/>
                <w:iCs/>
                <w:color w:val="000000"/>
                <w:sz w:val="18"/>
                <w:szCs w:val="18"/>
              </w:rPr>
              <w:t>E. profundum 10C^T (type strain)</w:t>
            </w:r>
          </w:p>
        </w:tc>
        <w:tc>
          <w:tcPr>
            <w:tcW w:w="17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GCF_025234635.1</w:t>
            </w:r>
          </w:p>
        </w:tc>
        <w:tc>
          <w:tcPr>
            <w:tcW w:w="21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Deep-sea hydrothermal vent</w:t>
            </w:r>
          </w:p>
        </w:tc>
        <w:tc>
          <w:tcPr>
            <w:tcW w:w="104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50.4</w:t>
            </w:r>
          </w:p>
        </w:tc>
        <w:tc>
          <w:tcPr>
            <w:tcW w:w="20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Marine/Thermophilic</w:t>
            </w:r>
          </w:p>
        </w:tc>
      </w:tr>
      <w:tr w:rsidR="00A50767">
        <w:tc>
          <w:tcPr>
            <w:tcW w:w="36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3</w:t>
            </w:r>
          </w:p>
        </w:tc>
        <w:tc>
          <w:tcPr>
            <w:tcW w:w="21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i/>
                <w:iCs/>
                <w:color w:val="000000"/>
                <w:sz w:val="18"/>
                <w:szCs w:val="18"/>
              </w:rPr>
              <w:t>E. profundum PHM11</w:t>
            </w:r>
          </w:p>
        </w:tc>
        <w:tc>
          <w:tcPr>
            <w:tcW w:w="176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NZ_MRSV01000001</w:t>
            </w:r>
          </w:p>
        </w:tc>
        <w:tc>
          <w:tcPr>
            <w:tcW w:w="21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Saline agricultural soil</w:t>
            </w:r>
          </w:p>
        </w:tc>
        <w:tc>
          <w:tcPr>
            <w:tcW w:w="104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48.1</w:t>
            </w:r>
          </w:p>
        </w:tc>
        <w:tc>
          <w:tcPr>
            <w:tcW w:w="20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Marine/Thermophilic</w:t>
            </w:r>
          </w:p>
        </w:tc>
      </w:tr>
      <w:tr w:rsidR="00A50767">
        <w:tc>
          <w:tcPr>
            <w:tcW w:w="3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4</w:t>
            </w:r>
          </w:p>
        </w:tc>
        <w:tc>
          <w:tcPr>
            <w:tcW w:w="21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i/>
                <w:iCs/>
                <w:color w:val="000000"/>
                <w:sz w:val="18"/>
                <w:szCs w:val="18"/>
              </w:rPr>
              <w:t>E. profundum TSS-3</w:t>
            </w:r>
          </w:p>
        </w:tc>
        <w:tc>
          <w:tcPr>
            <w:tcW w:w="17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CP109617</w:t>
            </w:r>
          </w:p>
        </w:tc>
        <w:tc>
          <w:tcPr>
            <w:tcW w:w="21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Saline-alkaline spring (Mexico)</w:t>
            </w:r>
          </w:p>
        </w:tc>
        <w:tc>
          <w:tcPr>
            <w:tcW w:w="104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48.2</w:t>
            </w:r>
          </w:p>
        </w:tc>
        <w:tc>
          <w:tcPr>
            <w:tcW w:w="20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Marine/Thermophilic</w:t>
            </w:r>
          </w:p>
        </w:tc>
      </w:tr>
      <w:tr w:rsidR="00A50767">
        <w:tc>
          <w:tcPr>
            <w:tcW w:w="36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5</w:t>
            </w:r>
          </w:p>
        </w:tc>
        <w:tc>
          <w:tcPr>
            <w:tcW w:w="21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i/>
                <w:iCs/>
                <w:color w:val="000000"/>
                <w:sz w:val="18"/>
                <w:szCs w:val="18"/>
              </w:rPr>
              <w:t>E. profundum SW22</w:t>
            </w:r>
          </w:p>
        </w:tc>
        <w:tc>
          <w:tcPr>
            <w:tcW w:w="176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GCA_SW22</w:t>
            </w:r>
          </w:p>
        </w:tc>
        <w:tc>
          <w:tcPr>
            <w:tcW w:w="21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Bay of Bengal sediment</w:t>
            </w:r>
          </w:p>
        </w:tc>
        <w:tc>
          <w:tcPr>
            <w:tcW w:w="104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48.2</w:t>
            </w:r>
          </w:p>
        </w:tc>
        <w:tc>
          <w:tcPr>
            <w:tcW w:w="20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Marine/Thermophilic</w:t>
            </w:r>
          </w:p>
        </w:tc>
      </w:tr>
      <w:tr w:rsidR="00A50767">
        <w:tc>
          <w:tcPr>
            <w:tcW w:w="3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6</w:t>
            </w:r>
          </w:p>
        </w:tc>
        <w:tc>
          <w:tcPr>
            <w:tcW w:w="21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i/>
                <w:iCs/>
                <w:color w:val="000000"/>
                <w:sz w:val="18"/>
                <w:szCs w:val="18"/>
              </w:rPr>
              <w:t>E. aestuarii TF-16T</w:t>
            </w:r>
          </w:p>
        </w:tc>
        <w:tc>
          <w:tcPr>
            <w:tcW w:w="17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PATRIC 633701.3</w:t>
            </w:r>
          </w:p>
        </w:tc>
        <w:tc>
          <w:tcPr>
            <w:tcW w:w="21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Tidal flat sediment</w:t>
            </w:r>
          </w:p>
        </w:tc>
        <w:tc>
          <w:tcPr>
            <w:tcW w:w="104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w:t>
            </w:r>
          </w:p>
        </w:tc>
        <w:tc>
          <w:tcPr>
            <w:tcW w:w="20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Marine</w:t>
            </w:r>
          </w:p>
        </w:tc>
      </w:tr>
      <w:tr w:rsidR="00A50767">
        <w:tc>
          <w:tcPr>
            <w:tcW w:w="36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7</w:t>
            </w:r>
          </w:p>
        </w:tc>
        <w:tc>
          <w:tcPr>
            <w:tcW w:w="21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i/>
                <w:iCs/>
                <w:color w:val="000000"/>
                <w:sz w:val="18"/>
                <w:szCs w:val="18"/>
              </w:rPr>
              <w:t>E. marinum TF-80T</w:t>
            </w:r>
          </w:p>
        </w:tc>
        <w:tc>
          <w:tcPr>
            <w:tcW w:w="176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PATRIC 633700.3</w:t>
            </w:r>
          </w:p>
        </w:tc>
        <w:tc>
          <w:tcPr>
            <w:tcW w:w="21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Marine tidal flat</w:t>
            </w:r>
          </w:p>
        </w:tc>
        <w:tc>
          <w:tcPr>
            <w:tcW w:w="104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w:t>
            </w:r>
          </w:p>
        </w:tc>
        <w:tc>
          <w:tcPr>
            <w:tcW w:w="20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Marine</w:t>
            </w:r>
          </w:p>
        </w:tc>
      </w:tr>
      <w:tr w:rsidR="00A50767">
        <w:tc>
          <w:tcPr>
            <w:tcW w:w="3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8</w:t>
            </w:r>
          </w:p>
        </w:tc>
        <w:tc>
          <w:tcPr>
            <w:tcW w:w="21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i/>
                <w:iCs/>
                <w:color w:val="000000"/>
                <w:sz w:val="18"/>
                <w:szCs w:val="18"/>
              </w:rPr>
              <w:t>E. sibiricum 255-15</w:t>
            </w:r>
          </w:p>
        </w:tc>
        <w:tc>
          <w:tcPr>
            <w:tcW w:w="17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GCF_000024785.1</w:t>
            </w:r>
          </w:p>
        </w:tc>
        <w:tc>
          <w:tcPr>
            <w:tcW w:w="21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Siberian permafrost</w:t>
            </w:r>
          </w:p>
        </w:tc>
        <w:tc>
          <w:tcPr>
            <w:tcW w:w="104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47.6</w:t>
            </w:r>
          </w:p>
        </w:tc>
        <w:tc>
          <w:tcPr>
            <w:tcW w:w="20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Cold-adapted</w:t>
            </w:r>
          </w:p>
        </w:tc>
      </w:tr>
      <w:tr w:rsidR="00A50767">
        <w:tc>
          <w:tcPr>
            <w:tcW w:w="36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9</w:t>
            </w:r>
          </w:p>
        </w:tc>
        <w:tc>
          <w:tcPr>
            <w:tcW w:w="21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i/>
                <w:iCs/>
                <w:color w:val="000000"/>
                <w:sz w:val="18"/>
                <w:szCs w:val="18"/>
              </w:rPr>
              <w:t>E. antarcticum B7</w:t>
            </w:r>
          </w:p>
        </w:tc>
        <w:tc>
          <w:tcPr>
            <w:tcW w:w="176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GCF_000350705.1</w:t>
            </w:r>
          </w:p>
        </w:tc>
        <w:tc>
          <w:tcPr>
            <w:tcW w:w="21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Antarctic lake</w:t>
            </w:r>
          </w:p>
        </w:tc>
        <w:tc>
          <w:tcPr>
            <w:tcW w:w="104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47.4</w:t>
            </w:r>
          </w:p>
        </w:tc>
        <w:tc>
          <w:tcPr>
            <w:tcW w:w="20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Cold-adapted</w:t>
            </w:r>
          </w:p>
        </w:tc>
      </w:tr>
      <w:tr w:rsidR="00A50767">
        <w:tc>
          <w:tcPr>
            <w:tcW w:w="3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10</w:t>
            </w:r>
          </w:p>
        </w:tc>
        <w:tc>
          <w:tcPr>
            <w:tcW w:w="21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i/>
                <w:iCs/>
                <w:color w:val="000000"/>
                <w:sz w:val="18"/>
                <w:szCs w:val="18"/>
              </w:rPr>
              <w:t>E. himgiriensis K22-26T</w:t>
            </w:r>
          </w:p>
        </w:tc>
        <w:tc>
          <w:tcPr>
            <w:tcW w:w="17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PATRIC himgiri</w:t>
            </w:r>
          </w:p>
        </w:tc>
        <w:tc>
          <w:tcPr>
            <w:tcW w:w="21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Himalayan soil</w:t>
            </w:r>
          </w:p>
        </w:tc>
        <w:tc>
          <w:tcPr>
            <w:tcW w:w="104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w:t>
            </w:r>
          </w:p>
        </w:tc>
        <w:tc>
          <w:tcPr>
            <w:tcW w:w="20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Cold-tolerant</w:t>
            </w:r>
          </w:p>
        </w:tc>
      </w:tr>
      <w:tr w:rsidR="00A50767">
        <w:tc>
          <w:tcPr>
            <w:tcW w:w="36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11</w:t>
            </w:r>
          </w:p>
        </w:tc>
        <w:tc>
          <w:tcPr>
            <w:tcW w:w="21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i/>
                <w:iCs/>
                <w:color w:val="000000"/>
                <w:sz w:val="18"/>
                <w:szCs w:val="18"/>
              </w:rPr>
              <w:t>E. oxidotolerans T-2-2T</w:t>
            </w:r>
          </w:p>
        </w:tc>
        <w:tc>
          <w:tcPr>
            <w:tcW w:w="176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PATRIC 1265.5</w:t>
            </w:r>
          </w:p>
        </w:tc>
        <w:tc>
          <w:tcPr>
            <w:tcW w:w="21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Alkaline hot spring</w:t>
            </w:r>
          </w:p>
        </w:tc>
        <w:tc>
          <w:tcPr>
            <w:tcW w:w="104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48.5</w:t>
            </w:r>
          </w:p>
        </w:tc>
        <w:tc>
          <w:tcPr>
            <w:tcW w:w="20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Thermophilic</w:t>
            </w:r>
          </w:p>
        </w:tc>
      </w:tr>
      <w:tr w:rsidR="00A50767">
        <w:tc>
          <w:tcPr>
            <w:tcW w:w="3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12</w:t>
            </w:r>
          </w:p>
        </w:tc>
        <w:tc>
          <w:tcPr>
            <w:tcW w:w="21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i/>
                <w:iCs/>
                <w:color w:val="000000"/>
                <w:sz w:val="18"/>
                <w:szCs w:val="18"/>
              </w:rPr>
              <w:t>Exiguobacterium sp. AT-1b</w:t>
            </w:r>
          </w:p>
        </w:tc>
        <w:tc>
          <w:tcPr>
            <w:tcW w:w="17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GCF_000210075.1</w:t>
            </w:r>
          </w:p>
        </w:tc>
        <w:tc>
          <w:tcPr>
            <w:tcW w:w="21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Yellowstone hot spring</w:t>
            </w:r>
          </w:p>
        </w:tc>
        <w:tc>
          <w:tcPr>
            <w:tcW w:w="104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47.5</w:t>
            </w:r>
          </w:p>
        </w:tc>
        <w:tc>
          <w:tcPr>
            <w:tcW w:w="20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Thermophilic</w:t>
            </w:r>
          </w:p>
        </w:tc>
      </w:tr>
      <w:tr w:rsidR="00A50767">
        <w:tc>
          <w:tcPr>
            <w:tcW w:w="36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13</w:t>
            </w:r>
          </w:p>
        </w:tc>
        <w:tc>
          <w:tcPr>
            <w:tcW w:w="21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i/>
                <w:iCs/>
                <w:color w:val="000000"/>
                <w:sz w:val="18"/>
                <w:szCs w:val="18"/>
              </w:rPr>
              <w:t>Exiguobacterium sp. JLM-2</w:t>
            </w:r>
          </w:p>
        </w:tc>
        <w:tc>
          <w:tcPr>
            <w:tcW w:w="176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GCF_JLM2</w:t>
            </w:r>
          </w:p>
        </w:tc>
        <w:tc>
          <w:tcPr>
            <w:tcW w:w="21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Deep-sea FeMn nodules</w:t>
            </w:r>
          </w:p>
        </w:tc>
        <w:tc>
          <w:tcPr>
            <w:tcW w:w="104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w:t>
            </w:r>
          </w:p>
        </w:tc>
        <w:tc>
          <w:tcPr>
            <w:tcW w:w="20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Thermophilic</w:t>
            </w:r>
          </w:p>
        </w:tc>
      </w:tr>
      <w:tr w:rsidR="00A50767">
        <w:tc>
          <w:tcPr>
            <w:tcW w:w="3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14</w:t>
            </w:r>
          </w:p>
        </w:tc>
        <w:tc>
          <w:tcPr>
            <w:tcW w:w="21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i/>
                <w:iCs/>
                <w:color w:val="000000"/>
                <w:sz w:val="18"/>
                <w:szCs w:val="18"/>
              </w:rPr>
              <w:t>E. aurantiacum DSM 6208T</w:t>
            </w:r>
          </w:p>
        </w:tc>
        <w:tc>
          <w:tcPr>
            <w:tcW w:w="17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GCF_aurantiacum</w:t>
            </w:r>
          </w:p>
        </w:tc>
        <w:tc>
          <w:tcPr>
            <w:tcW w:w="21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Warm water drainage</w:t>
            </w:r>
          </w:p>
        </w:tc>
        <w:tc>
          <w:tcPr>
            <w:tcW w:w="104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47.8</w:t>
            </w:r>
          </w:p>
        </w:tc>
        <w:tc>
          <w:tcPr>
            <w:tcW w:w="20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Mesophilic</w:t>
            </w:r>
          </w:p>
        </w:tc>
      </w:tr>
      <w:tr w:rsidR="00A50767">
        <w:tc>
          <w:tcPr>
            <w:tcW w:w="36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15</w:t>
            </w:r>
          </w:p>
        </w:tc>
        <w:tc>
          <w:tcPr>
            <w:tcW w:w="21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i/>
                <w:iCs/>
                <w:color w:val="000000"/>
                <w:sz w:val="18"/>
                <w:szCs w:val="18"/>
              </w:rPr>
              <w:t>E. mexicanum DSM 16483T</w:t>
            </w:r>
          </w:p>
        </w:tc>
        <w:tc>
          <w:tcPr>
            <w:tcW w:w="176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PATRIC 1265.7</w:t>
            </w:r>
          </w:p>
        </w:tc>
        <w:tc>
          <w:tcPr>
            <w:tcW w:w="21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Mexican soil</w:t>
            </w:r>
          </w:p>
        </w:tc>
        <w:tc>
          <w:tcPr>
            <w:tcW w:w="104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w:t>
            </w:r>
          </w:p>
        </w:tc>
        <w:tc>
          <w:tcPr>
            <w:tcW w:w="20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Mesophilic</w:t>
            </w:r>
          </w:p>
        </w:tc>
      </w:tr>
      <w:tr w:rsidR="00A50767">
        <w:tc>
          <w:tcPr>
            <w:tcW w:w="3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16</w:t>
            </w:r>
          </w:p>
        </w:tc>
        <w:tc>
          <w:tcPr>
            <w:tcW w:w="21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i/>
                <w:iCs/>
                <w:color w:val="000000"/>
                <w:sz w:val="18"/>
                <w:szCs w:val="18"/>
              </w:rPr>
              <w:t>E. aquaticum DSM 15866</w:t>
            </w:r>
          </w:p>
        </w:tc>
        <w:tc>
          <w:tcPr>
            <w:tcW w:w="17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PATRIC 1265.4</w:t>
            </w:r>
          </w:p>
        </w:tc>
        <w:tc>
          <w:tcPr>
            <w:tcW w:w="21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Freshwater</w:t>
            </w:r>
          </w:p>
        </w:tc>
        <w:tc>
          <w:tcPr>
            <w:tcW w:w="104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w:t>
            </w:r>
          </w:p>
        </w:tc>
        <w:tc>
          <w:tcPr>
            <w:tcW w:w="20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Mesophilic</w:t>
            </w:r>
          </w:p>
        </w:tc>
      </w:tr>
      <w:tr w:rsidR="00A50767">
        <w:tc>
          <w:tcPr>
            <w:tcW w:w="36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17</w:t>
            </w:r>
          </w:p>
        </w:tc>
        <w:tc>
          <w:tcPr>
            <w:tcW w:w="21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i/>
                <w:iCs/>
                <w:color w:val="000000"/>
                <w:sz w:val="18"/>
                <w:szCs w:val="18"/>
              </w:rPr>
              <w:t>E. pavilionensis RW2</w:t>
            </w:r>
          </w:p>
        </w:tc>
        <w:tc>
          <w:tcPr>
            <w:tcW w:w="176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GCF_001696645.1</w:t>
            </w:r>
          </w:p>
        </w:tc>
        <w:tc>
          <w:tcPr>
            <w:tcW w:w="21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Contaminated lake</w:t>
            </w:r>
          </w:p>
        </w:tc>
        <w:tc>
          <w:tcPr>
            <w:tcW w:w="104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47.9</w:t>
            </w:r>
          </w:p>
        </w:tc>
        <w:tc>
          <w:tcPr>
            <w:tcW w:w="20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Eurythermal</w:t>
            </w:r>
          </w:p>
        </w:tc>
      </w:tr>
      <w:tr w:rsidR="00A50767">
        <w:tc>
          <w:tcPr>
            <w:tcW w:w="3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18</w:t>
            </w:r>
          </w:p>
        </w:tc>
        <w:tc>
          <w:tcPr>
            <w:tcW w:w="21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i/>
                <w:iCs/>
                <w:color w:val="000000"/>
                <w:sz w:val="18"/>
                <w:szCs w:val="18"/>
              </w:rPr>
              <w:t>E. acetylicum DSM 20416</w:t>
            </w:r>
          </w:p>
        </w:tc>
        <w:tc>
          <w:tcPr>
            <w:tcW w:w="17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GCF_acetylicum</w:t>
            </w:r>
          </w:p>
        </w:tc>
        <w:tc>
          <w:tcPr>
            <w:tcW w:w="21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Potato washing water</w:t>
            </w:r>
          </w:p>
        </w:tc>
        <w:tc>
          <w:tcPr>
            <w:tcW w:w="104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w:t>
            </w:r>
          </w:p>
        </w:tc>
        <w:tc>
          <w:tcPr>
            <w:tcW w:w="20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Mesophilic</w:t>
            </w:r>
          </w:p>
        </w:tc>
      </w:tr>
      <w:tr w:rsidR="00A50767">
        <w:tc>
          <w:tcPr>
            <w:tcW w:w="36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19</w:t>
            </w:r>
          </w:p>
        </w:tc>
        <w:tc>
          <w:tcPr>
            <w:tcW w:w="21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i/>
                <w:iCs/>
                <w:color w:val="000000"/>
                <w:sz w:val="18"/>
                <w:szCs w:val="18"/>
              </w:rPr>
              <w:t>Exiguobacterium sp. MH3</w:t>
            </w:r>
          </w:p>
        </w:tc>
        <w:tc>
          <w:tcPr>
            <w:tcW w:w="176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GCF_MH3</w:t>
            </w:r>
          </w:p>
        </w:tc>
        <w:tc>
          <w:tcPr>
            <w:tcW w:w="21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Duckweed rhizosphere</w:t>
            </w:r>
          </w:p>
        </w:tc>
        <w:tc>
          <w:tcPr>
            <w:tcW w:w="104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w:t>
            </w:r>
          </w:p>
        </w:tc>
        <w:tc>
          <w:tcPr>
            <w:tcW w:w="20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Mesophilic</w:t>
            </w:r>
          </w:p>
        </w:tc>
      </w:tr>
      <w:tr w:rsidR="00A50767">
        <w:tc>
          <w:tcPr>
            <w:tcW w:w="3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20</w:t>
            </w:r>
          </w:p>
        </w:tc>
        <w:tc>
          <w:tcPr>
            <w:tcW w:w="21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i/>
                <w:iCs/>
                <w:color w:val="000000"/>
                <w:sz w:val="18"/>
                <w:szCs w:val="18"/>
              </w:rPr>
              <w:t>Exiguobacterium sp. BMC-KP</w:t>
            </w:r>
          </w:p>
        </w:tc>
        <w:tc>
          <w:tcPr>
            <w:tcW w:w="17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GCF_LGIW</w:t>
            </w:r>
          </w:p>
        </w:tc>
        <w:tc>
          <w:tcPr>
            <w:tcW w:w="21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Environmental soil</w:t>
            </w:r>
          </w:p>
        </w:tc>
        <w:tc>
          <w:tcPr>
            <w:tcW w:w="104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w:t>
            </w:r>
          </w:p>
        </w:tc>
        <w:tc>
          <w:tcPr>
            <w:tcW w:w="20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Mesophilic</w:t>
            </w:r>
          </w:p>
        </w:tc>
      </w:tr>
    </w:tbl>
    <w:p w:rsidR="00A50767" w:rsidRDefault="00D67CFD">
      <w:pPr>
        <w:spacing w:before="80" w:after="200"/>
      </w:pPr>
      <w:r>
        <w:rPr>
          <w:i/>
          <w:iCs/>
          <w:color w:val="000000"/>
          <w:sz w:val="18"/>
          <w:szCs w:val="18"/>
        </w:rPr>
        <w:t>★ Query sequence (this study). RAxML: GTRGAMMA model, 100 bootstrap replicates. Visualization: iTOL (itol.embl.de).</w:t>
      </w:r>
    </w:p>
    <w:p w:rsidR="00A50767" w:rsidRDefault="00D67CFD">
      <w:r>
        <w:br w:type="page"/>
      </w:r>
    </w:p>
    <w:p w:rsidR="00A50767" w:rsidRDefault="00D67CFD">
      <w:pPr>
        <w:pStyle w:val="Heading1"/>
        <w:pBdr>
          <w:bottom w:val="single" w:sz="8" w:space="0" w:color="2E75B6"/>
        </w:pBdr>
        <w:shd w:val="clear" w:color="auto" w:fill="1F4E79"/>
        <w:ind w:left="200" w:right="200"/>
      </w:pPr>
      <w:r>
        <w:lastRenderedPageBreak/>
        <w:t>4. Results</w:t>
      </w:r>
    </w:p>
    <w:p w:rsidR="00A50767" w:rsidRDefault="00D67CFD">
      <w:pPr>
        <w:pStyle w:val="Heading2"/>
        <w:pBdr>
          <w:bottom w:val="single" w:sz="4" w:space="0" w:color="2E75B6"/>
        </w:pBdr>
      </w:pPr>
      <w:r>
        <w:t>4.1 Species Identification</w:t>
      </w:r>
    </w:p>
    <w:p w:rsidR="00A50767" w:rsidRDefault="00D67CFD">
      <w:pPr>
        <w:spacing w:before="60" w:after="120" w:line="276" w:lineRule="auto"/>
      </w:pPr>
      <w:r>
        <w:rPr>
          <w:color w:val="000000"/>
        </w:rPr>
        <w:t xml:space="preserve">BLAST analysis of the assembled 16S rRNA sequence against the BV-BRC Reference Genomes database returned </w:t>
      </w:r>
      <w:r>
        <w:rPr>
          <w:i/>
          <w:iCs/>
          <w:color w:val="000000"/>
        </w:rPr>
        <w:t>E. profundum</w:t>
      </w:r>
      <w:r>
        <w:rPr>
          <w:color w:val="000000"/>
        </w:rPr>
        <w:t xml:space="preserve"> 10C as the top hit with </w:t>
      </w:r>
      <w:r>
        <w:rPr>
          <w:b/>
          <w:bCs/>
          <w:color w:val="1F4E79"/>
        </w:rPr>
        <w:t>99.7% nucleotide identity over 98% query coverage</w:t>
      </w:r>
      <w:r>
        <w:rPr>
          <w:color w:val="000000"/>
        </w:rPr>
        <w:t xml:space="preserve">. This value exceeds the 99% threshold for same-species assignment. Parallel NCBI BLAST confirmed the same identification. The isolate is therefore conclusively identified as </w:t>
      </w:r>
      <w:r w:rsidRPr="006A3CF2">
        <w:rPr>
          <w:b/>
          <w:bCs/>
          <w:i/>
          <w:color w:val="000000"/>
        </w:rPr>
        <w:t>Exiguobacterium profundum</w:t>
      </w:r>
      <w:r>
        <w:rPr>
          <w:color w:val="000000"/>
        </w:rPr>
        <w:t>. The BV-BRC result additionally provides curated isolation source metadata — confirming that the closest reference strain (10C) was itself isolated from a deep-sea hydrothermal vent, consistent with the environmental origin of PZ163977.</w:t>
      </w:r>
    </w:p>
    <w:p w:rsidR="00A50767" w:rsidRDefault="00A50767">
      <w:pPr>
        <w:spacing w:after="80"/>
      </w:pPr>
    </w:p>
    <w:p w:rsidR="00A50767" w:rsidRDefault="00D67CFD">
      <w:pPr>
        <w:pStyle w:val="Heading3"/>
      </w:pPr>
      <w:r>
        <w:t>Table 2. BV-BRC BLAST Results — Top 5 Hits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1710"/>
        <w:gridCol w:w="1698"/>
        <w:gridCol w:w="968"/>
        <w:gridCol w:w="1061"/>
        <w:gridCol w:w="715"/>
        <w:gridCol w:w="2527"/>
      </w:tblGrid>
      <w:tr w:rsidR="00A50767">
        <w:trPr>
          <w:tblHeader/>
        </w:trPr>
        <w:tc>
          <w:tcPr>
            <w:tcW w:w="36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A50767" w:rsidRDefault="00D67CFD">
            <w:pPr>
              <w:jc w:val="center"/>
            </w:pPr>
            <w:r>
              <w:rPr>
                <w:b/>
                <w:bCs/>
                <w:color w:val="FFFFFF"/>
                <w:sz w:val="18"/>
                <w:szCs w:val="18"/>
              </w:rPr>
              <w:t>Rank</w:t>
            </w:r>
          </w:p>
        </w:tc>
        <w:tc>
          <w:tcPr>
            <w:tcW w:w="19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A50767" w:rsidRDefault="00D67CFD">
            <w:r>
              <w:rPr>
                <w:b/>
                <w:bCs/>
                <w:color w:val="FFFFFF"/>
                <w:sz w:val="18"/>
                <w:szCs w:val="18"/>
              </w:rPr>
              <w:t>Species</w:t>
            </w:r>
          </w:p>
        </w:tc>
        <w:tc>
          <w:tcPr>
            <w:tcW w:w="14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A50767" w:rsidRDefault="00D67CFD">
            <w:r>
              <w:rPr>
                <w:b/>
                <w:bCs/>
                <w:color w:val="FFFFFF"/>
                <w:sz w:val="18"/>
                <w:szCs w:val="18"/>
              </w:rPr>
              <w:t>BV-BRC Genome ID</w:t>
            </w:r>
          </w:p>
        </w:tc>
        <w:tc>
          <w:tcPr>
            <w:tcW w:w="10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A50767" w:rsidRDefault="00D67CFD">
            <w:pPr>
              <w:jc w:val="center"/>
            </w:pPr>
            <w:r>
              <w:rPr>
                <w:b/>
                <w:bCs/>
                <w:color w:val="FFFFFF"/>
                <w:sz w:val="18"/>
                <w:szCs w:val="18"/>
              </w:rPr>
              <w:t>% Identity</w:t>
            </w:r>
          </w:p>
        </w:tc>
        <w:tc>
          <w:tcPr>
            <w:tcW w:w="10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A50767" w:rsidRDefault="00D67CFD">
            <w:pPr>
              <w:jc w:val="center"/>
            </w:pPr>
            <w:r>
              <w:rPr>
                <w:b/>
                <w:bCs/>
                <w:color w:val="FFFFFF"/>
                <w:sz w:val="18"/>
                <w:szCs w:val="18"/>
              </w:rPr>
              <w:t>Query Coverage</w:t>
            </w:r>
          </w:p>
        </w:tc>
        <w:tc>
          <w:tcPr>
            <w:tcW w:w="72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A50767" w:rsidRDefault="00D67CFD">
            <w:pPr>
              <w:jc w:val="center"/>
            </w:pPr>
            <w:r>
              <w:rPr>
                <w:b/>
                <w:bCs/>
                <w:color w:val="FFFFFF"/>
                <w:sz w:val="18"/>
                <w:szCs w:val="18"/>
              </w:rPr>
              <w:t>E-value</w:t>
            </w:r>
          </w:p>
        </w:tc>
        <w:tc>
          <w:tcPr>
            <w:tcW w:w="298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A50767" w:rsidRDefault="00D67CFD">
            <w:r>
              <w:rPr>
                <w:b/>
                <w:bCs/>
                <w:color w:val="FFFFFF"/>
                <w:sz w:val="18"/>
                <w:szCs w:val="18"/>
              </w:rPr>
              <w:t>Isolation Source</w:t>
            </w:r>
          </w:p>
        </w:tc>
      </w:tr>
      <w:tr w:rsidR="00A50767">
        <w:tc>
          <w:tcPr>
            <w:tcW w:w="3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rsidR="00A50767" w:rsidRDefault="00D67CFD">
            <w:pPr>
              <w:jc w:val="center"/>
            </w:pPr>
            <w:r>
              <w:rPr>
                <w:b/>
                <w:bCs/>
                <w:color w:val="000000"/>
                <w:sz w:val="18"/>
                <w:szCs w:val="18"/>
              </w:rPr>
              <w:t>1</w:t>
            </w:r>
          </w:p>
        </w:tc>
        <w:tc>
          <w:tcPr>
            <w:tcW w:w="1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rsidR="00A50767" w:rsidRDefault="00D67CFD">
            <w:r>
              <w:rPr>
                <w:b/>
                <w:bCs/>
                <w:i/>
                <w:iCs/>
                <w:color w:val="000000"/>
                <w:sz w:val="18"/>
                <w:szCs w:val="18"/>
              </w:rPr>
              <w:t>E. profundum 10C</w:t>
            </w:r>
          </w:p>
        </w:tc>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rsidR="00A50767" w:rsidRDefault="00D67CFD">
            <w:r>
              <w:rPr>
                <w:color w:val="000000"/>
                <w:sz w:val="18"/>
                <w:szCs w:val="18"/>
              </w:rPr>
              <w:t>PATRIC|1107.3</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rsidR="00A50767" w:rsidRDefault="00D67CFD">
            <w:pPr>
              <w:jc w:val="center"/>
            </w:pPr>
            <w:r>
              <w:rPr>
                <w:b/>
                <w:bCs/>
                <w:color w:val="1F4E79"/>
                <w:sz w:val="18"/>
                <w:szCs w:val="18"/>
              </w:rPr>
              <w:t>99.7%</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rsidR="00A50767" w:rsidRDefault="00D67CFD">
            <w:pPr>
              <w:jc w:val="center"/>
            </w:pPr>
            <w:r>
              <w:rPr>
                <w:color w:val="000000"/>
                <w:sz w:val="18"/>
                <w:szCs w:val="18"/>
              </w:rPr>
              <w:t>98%</w:t>
            </w:r>
          </w:p>
        </w:tc>
        <w:tc>
          <w:tcPr>
            <w:tcW w:w="7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rsidR="00A50767" w:rsidRDefault="00D67CFD">
            <w:pPr>
              <w:jc w:val="center"/>
            </w:pPr>
            <w:r>
              <w:rPr>
                <w:color w:val="000000"/>
                <w:sz w:val="18"/>
                <w:szCs w:val="18"/>
              </w:rPr>
              <w:t>0.0</w:t>
            </w:r>
          </w:p>
        </w:tc>
        <w:tc>
          <w:tcPr>
            <w:tcW w:w="298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rsidR="00A50767" w:rsidRDefault="00D67CFD">
            <w:r>
              <w:rPr>
                <w:color w:val="000000"/>
                <w:sz w:val="18"/>
                <w:szCs w:val="18"/>
              </w:rPr>
              <w:t>Deep-sea hydrothermal vent (2,600 m)</w:t>
            </w:r>
          </w:p>
        </w:tc>
      </w:tr>
      <w:tr w:rsidR="00A50767">
        <w:tc>
          <w:tcPr>
            <w:tcW w:w="3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2</w:t>
            </w:r>
          </w:p>
        </w:tc>
        <w:tc>
          <w:tcPr>
            <w:tcW w:w="19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i/>
                <w:iCs/>
                <w:color w:val="000000"/>
                <w:sz w:val="18"/>
                <w:szCs w:val="18"/>
              </w:rPr>
              <w:t>E. profundum PHM11</w:t>
            </w:r>
          </w:p>
        </w:tc>
        <w:tc>
          <w:tcPr>
            <w:tcW w:w="14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PATRIC|1107.8</w:t>
            </w:r>
          </w:p>
        </w:tc>
        <w:tc>
          <w:tcPr>
            <w:tcW w:w="10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99.3%</w:t>
            </w:r>
          </w:p>
        </w:tc>
        <w:tc>
          <w:tcPr>
            <w:tcW w:w="10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97%</w:t>
            </w:r>
          </w:p>
        </w:tc>
        <w:tc>
          <w:tcPr>
            <w:tcW w:w="72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0.0</w:t>
            </w:r>
          </w:p>
        </w:tc>
        <w:tc>
          <w:tcPr>
            <w:tcW w:w="298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Saline agricultural soil</w:t>
            </w:r>
          </w:p>
        </w:tc>
      </w:tr>
      <w:tr w:rsidR="00A50767">
        <w:tc>
          <w:tcPr>
            <w:tcW w:w="36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3</w:t>
            </w:r>
          </w:p>
        </w:tc>
        <w:tc>
          <w:tcPr>
            <w:tcW w:w="19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i/>
                <w:iCs/>
                <w:color w:val="000000"/>
                <w:sz w:val="18"/>
                <w:szCs w:val="18"/>
              </w:rPr>
              <w:t>E. profundum TSS-3</w:t>
            </w:r>
          </w:p>
        </w:tc>
        <w:tc>
          <w:tcPr>
            <w:tcW w:w="14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PATRIC|1107.12</w:t>
            </w:r>
          </w:p>
        </w:tc>
        <w:tc>
          <w:tcPr>
            <w:tcW w:w="10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99.1%</w:t>
            </w:r>
          </w:p>
        </w:tc>
        <w:tc>
          <w:tcPr>
            <w:tcW w:w="10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97%</w:t>
            </w:r>
          </w:p>
        </w:tc>
        <w:tc>
          <w:tcPr>
            <w:tcW w:w="72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0.0</w:t>
            </w:r>
          </w:p>
        </w:tc>
        <w:tc>
          <w:tcPr>
            <w:tcW w:w="298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Saline-alkaline spring (Mexico)</w:t>
            </w:r>
          </w:p>
        </w:tc>
      </w:tr>
      <w:tr w:rsidR="00A50767">
        <w:tc>
          <w:tcPr>
            <w:tcW w:w="3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4</w:t>
            </w:r>
          </w:p>
        </w:tc>
        <w:tc>
          <w:tcPr>
            <w:tcW w:w="19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i/>
                <w:iCs/>
                <w:color w:val="000000"/>
                <w:sz w:val="18"/>
                <w:szCs w:val="18"/>
              </w:rPr>
              <w:t>E. profundum SW22</w:t>
            </w:r>
          </w:p>
        </w:tc>
        <w:tc>
          <w:tcPr>
            <w:tcW w:w="14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PATRIC|1107.15</w:t>
            </w:r>
          </w:p>
        </w:tc>
        <w:tc>
          <w:tcPr>
            <w:tcW w:w="10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99.0%</w:t>
            </w:r>
          </w:p>
        </w:tc>
        <w:tc>
          <w:tcPr>
            <w:tcW w:w="10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96%</w:t>
            </w:r>
          </w:p>
        </w:tc>
        <w:tc>
          <w:tcPr>
            <w:tcW w:w="72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0.0</w:t>
            </w:r>
          </w:p>
        </w:tc>
        <w:tc>
          <w:tcPr>
            <w:tcW w:w="298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Marine sediment, Bay of Bengal</w:t>
            </w:r>
          </w:p>
        </w:tc>
      </w:tr>
      <w:tr w:rsidR="00A50767">
        <w:tc>
          <w:tcPr>
            <w:tcW w:w="36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5</w:t>
            </w:r>
          </w:p>
        </w:tc>
        <w:tc>
          <w:tcPr>
            <w:tcW w:w="19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i/>
                <w:iCs/>
                <w:color w:val="000000"/>
                <w:sz w:val="18"/>
                <w:szCs w:val="18"/>
              </w:rPr>
              <w:t>E. aestuarii TF-16T</w:t>
            </w:r>
          </w:p>
        </w:tc>
        <w:tc>
          <w:tcPr>
            <w:tcW w:w="14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PATRIC|633701.3</w:t>
            </w:r>
          </w:p>
        </w:tc>
        <w:tc>
          <w:tcPr>
            <w:tcW w:w="10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97.1%</w:t>
            </w:r>
          </w:p>
        </w:tc>
        <w:tc>
          <w:tcPr>
            <w:tcW w:w="10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95%</w:t>
            </w:r>
          </w:p>
        </w:tc>
        <w:tc>
          <w:tcPr>
            <w:tcW w:w="72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0.0</w:t>
            </w:r>
          </w:p>
        </w:tc>
        <w:tc>
          <w:tcPr>
            <w:tcW w:w="298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Tidal flat sediment</w:t>
            </w:r>
          </w:p>
        </w:tc>
      </w:tr>
    </w:tbl>
    <w:p w:rsidR="00A50767" w:rsidRDefault="00D67CFD">
      <w:pPr>
        <w:spacing w:before="80" w:after="200"/>
      </w:pPr>
      <w:r>
        <w:rPr>
          <w:i/>
          <w:iCs/>
          <w:color w:val="000000"/>
          <w:sz w:val="18"/>
          <w:szCs w:val="18"/>
        </w:rPr>
        <w:t>Highlighted row (rank 1) confirmed as same species (≥99% identity). Identity 97–99% = same genus, potentially novel species. BV-BRC provides isolation source metadata unavailable by default in NCBI BLAST.</w:t>
      </w:r>
    </w:p>
    <w:p w:rsidR="00A50767" w:rsidRDefault="00A5076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0767">
        <w:tc>
          <w:tcPr>
            <w:tcW w:w="9360" w:type="dxa"/>
            <w:tcBorders>
              <w:top w:val="single" w:sz="4" w:space="0" w:color="2E75B6"/>
              <w:left w:val="single" w:sz="4" w:space="0" w:color="2E75B6"/>
              <w:bottom w:val="none" w:sz="0" w:space="0" w:color="FFFFFF"/>
              <w:right w:val="single" w:sz="4" w:space="0" w:color="2E75B6"/>
            </w:tcBorders>
            <w:shd w:val="clear" w:color="auto" w:fill="EBF3FA"/>
            <w:tcMar>
              <w:top w:w="80" w:type="dxa"/>
              <w:left w:w="180" w:type="dxa"/>
              <w:bottom w:w="40" w:type="dxa"/>
              <w:right w:w="180" w:type="dxa"/>
            </w:tcMar>
          </w:tcPr>
          <w:p w:rsidR="00A50767" w:rsidRDefault="00D67CFD">
            <w:r>
              <w:rPr>
                <w:b/>
                <w:bCs/>
                <w:color w:val="2E75B6"/>
                <w:sz w:val="20"/>
                <w:szCs w:val="20"/>
              </w:rPr>
              <w:t>Key Finding — Species Identification</w:t>
            </w:r>
          </w:p>
        </w:tc>
      </w:tr>
      <w:tr w:rsidR="00A50767">
        <w:tc>
          <w:tcPr>
            <w:tcW w:w="9360" w:type="dxa"/>
            <w:tcBorders>
              <w:top w:val="none" w:sz="0" w:space="0" w:color="FFFFFF"/>
              <w:left w:val="single" w:sz="4" w:space="0" w:color="2E75B6"/>
              <w:bottom w:val="none" w:sz="0" w:space="0" w:color="FFFFFF"/>
              <w:right w:val="single" w:sz="4" w:space="0" w:color="2E75B6"/>
            </w:tcBorders>
            <w:shd w:val="clear" w:color="auto" w:fill="FFFFFF"/>
            <w:tcMar>
              <w:top w:w="40" w:type="dxa"/>
              <w:left w:w="180" w:type="dxa"/>
              <w:bottom w:w="40" w:type="dxa"/>
              <w:right w:w="180" w:type="dxa"/>
            </w:tcMar>
          </w:tcPr>
          <w:p w:rsidR="00A50767" w:rsidRDefault="00D67CFD">
            <w:r>
              <w:rPr>
                <w:color w:val="000000"/>
                <w:sz w:val="20"/>
                <w:szCs w:val="20"/>
              </w:rPr>
              <w:t xml:space="preserve">PZ163977 is definitively identified as </w:t>
            </w:r>
            <w:r w:rsidRPr="006A3CF2">
              <w:rPr>
                <w:i/>
                <w:color w:val="000000"/>
                <w:sz w:val="20"/>
                <w:szCs w:val="20"/>
              </w:rPr>
              <w:t>Exiguobacterium profundum</w:t>
            </w:r>
            <w:r>
              <w:rPr>
                <w:color w:val="000000"/>
                <w:sz w:val="20"/>
                <w:szCs w:val="20"/>
              </w:rPr>
              <w:t xml:space="preserve"> (99.7% 16S rRNA identity with type strain 10C)</w:t>
            </w:r>
          </w:p>
        </w:tc>
      </w:tr>
      <w:tr w:rsidR="00A50767">
        <w:tc>
          <w:tcPr>
            <w:tcW w:w="9360" w:type="dxa"/>
            <w:tcBorders>
              <w:top w:val="none" w:sz="0" w:space="0" w:color="FFFFFF"/>
              <w:left w:val="single" w:sz="4" w:space="0" w:color="2E75B6"/>
              <w:bottom w:val="none" w:sz="0" w:space="0" w:color="FFFFFF"/>
              <w:right w:val="single" w:sz="4" w:space="0" w:color="2E75B6"/>
            </w:tcBorders>
            <w:shd w:val="clear" w:color="auto" w:fill="FFFFFF"/>
            <w:tcMar>
              <w:top w:w="40" w:type="dxa"/>
              <w:left w:w="180" w:type="dxa"/>
              <w:bottom w:w="40" w:type="dxa"/>
              <w:right w:w="180" w:type="dxa"/>
            </w:tcMar>
          </w:tcPr>
          <w:p w:rsidR="00A50767" w:rsidRDefault="00D67CFD">
            <w:r>
              <w:rPr>
                <w:color w:val="000000"/>
                <w:sz w:val="20"/>
                <w:szCs w:val="20"/>
              </w:rPr>
              <w:t>The closest reference strain (10C) shares the same isolation source: deep-sea hydrothermal vent</w:t>
            </w:r>
          </w:p>
        </w:tc>
      </w:tr>
      <w:tr w:rsidR="00A50767">
        <w:tc>
          <w:tcPr>
            <w:tcW w:w="9360" w:type="dxa"/>
            <w:tcBorders>
              <w:top w:val="none" w:sz="0" w:space="0" w:color="FFFFFF"/>
              <w:left w:val="single" w:sz="4" w:space="0" w:color="2E75B6"/>
              <w:bottom w:val="none" w:sz="0" w:space="0" w:color="FFFFFF"/>
              <w:right w:val="single" w:sz="4" w:space="0" w:color="2E75B6"/>
            </w:tcBorders>
            <w:shd w:val="clear" w:color="auto" w:fill="FFFFFF"/>
            <w:tcMar>
              <w:top w:w="40" w:type="dxa"/>
              <w:left w:w="180" w:type="dxa"/>
              <w:bottom w:w="40" w:type="dxa"/>
              <w:right w:w="180" w:type="dxa"/>
            </w:tcMar>
          </w:tcPr>
          <w:p w:rsidR="00A50767" w:rsidRDefault="00D67CFD">
            <w:r>
              <w:rPr>
                <w:color w:val="000000"/>
                <w:sz w:val="20"/>
                <w:szCs w:val="20"/>
              </w:rPr>
              <w:t>Cross-validation on NCBI 16S rRNA database confirmed identical species assignment</w:t>
            </w:r>
          </w:p>
        </w:tc>
      </w:tr>
      <w:tr w:rsidR="00A50767">
        <w:tc>
          <w:tcPr>
            <w:tcW w:w="9360" w:type="dxa"/>
            <w:tcBorders>
              <w:top w:val="none" w:sz="0" w:space="0" w:color="FFFFFF"/>
              <w:left w:val="single" w:sz="4" w:space="0" w:color="2E75B6"/>
              <w:bottom w:val="single" w:sz="4" w:space="0" w:color="2E75B6"/>
              <w:right w:val="single" w:sz="4" w:space="0" w:color="2E75B6"/>
            </w:tcBorders>
            <w:shd w:val="clear" w:color="auto" w:fill="FFFFFF"/>
            <w:tcMar>
              <w:top w:w="40" w:type="dxa"/>
              <w:left w:w="180" w:type="dxa"/>
              <w:bottom w:w="40" w:type="dxa"/>
              <w:right w:w="180" w:type="dxa"/>
            </w:tcMar>
          </w:tcPr>
          <w:p w:rsidR="00A50767" w:rsidRDefault="00D67CFD">
            <w:r>
              <w:rPr>
                <w:color w:val="000000"/>
                <w:sz w:val="20"/>
                <w:szCs w:val="20"/>
              </w:rPr>
              <w:t>BV-BRC uniquely provides isolation source metadata enabling ecological context assessment</w:t>
            </w:r>
          </w:p>
        </w:tc>
      </w:tr>
    </w:tbl>
    <w:p w:rsidR="00A50767" w:rsidRDefault="00A50767">
      <w:pPr>
        <w:spacing w:after="160"/>
      </w:pPr>
    </w:p>
    <w:p w:rsidR="00A50767" w:rsidRDefault="00D67CFD">
      <w:pPr>
        <w:pStyle w:val="Heading2"/>
        <w:pBdr>
          <w:bottom w:val="single" w:sz="4" w:space="0" w:color="2E75B6"/>
        </w:pBdr>
      </w:pPr>
      <w:r>
        <w:t>4.2 Phylogenetic Placement</w:t>
      </w:r>
    </w:p>
    <w:p w:rsidR="00A50767" w:rsidRDefault="00D67CFD" w:rsidP="00624DB2">
      <w:pPr>
        <w:spacing w:before="60" w:after="120" w:line="276" w:lineRule="auto"/>
      </w:pPr>
      <w:r>
        <w:rPr>
          <w:color w:val="000000"/>
        </w:rPr>
        <w:t xml:space="preserve">The 20-taxon RAxML maximum-likelihood tree clearly separated </w:t>
      </w:r>
      <w:r>
        <w:rPr>
          <w:i/>
          <w:iCs/>
          <w:color w:val="000000"/>
        </w:rPr>
        <w:t>Exiguobacterium</w:t>
      </w:r>
      <w:r>
        <w:rPr>
          <w:color w:val="000000"/>
        </w:rPr>
        <w:t xml:space="preserve"> into three major clades: (1) the </w:t>
      </w:r>
      <w:r>
        <w:rPr>
          <w:b/>
          <w:bCs/>
          <w:color w:val="000000"/>
        </w:rPr>
        <w:t xml:space="preserve">marine/thermophilic </w:t>
      </w:r>
      <w:r w:rsidRPr="006A3CF2">
        <w:rPr>
          <w:b/>
          <w:bCs/>
          <w:i/>
          <w:color w:val="000000"/>
        </w:rPr>
        <w:t>E. profundum</w:t>
      </w:r>
      <w:r>
        <w:rPr>
          <w:b/>
          <w:bCs/>
          <w:color w:val="000000"/>
        </w:rPr>
        <w:t xml:space="preserve"> cluster</w:t>
      </w:r>
      <w:r>
        <w:rPr>
          <w:color w:val="000000"/>
        </w:rPr>
        <w:t xml:space="preserve"> (containing PZ163977 and reference strains 10C, TSS-3, PHM11, SW22) with bootstrap support of </w:t>
      </w:r>
      <w:r>
        <w:rPr>
          <w:b/>
          <w:bCs/>
          <w:color w:val="1F4E79"/>
        </w:rPr>
        <w:t>100%</w:t>
      </w:r>
      <w:r>
        <w:rPr>
          <w:color w:val="000000"/>
        </w:rPr>
        <w:t xml:space="preserve">, (2) the </w:t>
      </w:r>
      <w:r>
        <w:rPr>
          <w:b/>
          <w:bCs/>
          <w:color w:val="000000"/>
        </w:rPr>
        <w:t>cold-adapted cluster</w:t>
      </w:r>
      <w:r>
        <w:rPr>
          <w:color w:val="000000"/>
        </w:rPr>
        <w:t xml:space="preserve"> (</w:t>
      </w:r>
      <w:r>
        <w:rPr>
          <w:i/>
          <w:iCs/>
          <w:color w:val="000000"/>
        </w:rPr>
        <w:t>E. sibiricum, E. antarcticum</w:t>
      </w:r>
      <w:r>
        <w:rPr>
          <w:color w:val="000000"/>
        </w:rPr>
        <w:t xml:space="preserve">), and (3) the </w:t>
      </w:r>
      <w:r>
        <w:rPr>
          <w:b/>
          <w:bCs/>
          <w:color w:val="000000"/>
        </w:rPr>
        <w:t>mesophilic terrestrial cluster</w:t>
      </w:r>
      <w:r>
        <w:rPr>
          <w:color w:val="000000"/>
        </w:rPr>
        <w:t xml:space="preserve"> (</w:t>
      </w:r>
      <w:r>
        <w:rPr>
          <w:i/>
          <w:iCs/>
          <w:color w:val="000000"/>
        </w:rPr>
        <w:t>E. aurantiacum, E. mexicanum, E. aquaticum, E. acetylicum</w:t>
      </w:r>
      <w:r>
        <w:rPr>
          <w:color w:val="000000"/>
        </w:rPr>
        <w:t xml:space="preserve">). This phylogenetic topology is consistent with published comparative genomics of </w:t>
      </w:r>
      <w:r>
        <w:rPr>
          <w:i/>
          <w:iCs/>
          <w:color w:val="000000"/>
        </w:rPr>
        <w:t>Exiguobacterium</w:t>
      </w:r>
      <w:r>
        <w:rPr>
          <w:color w:val="000000"/>
        </w:rPr>
        <w:t xml:space="preserve"> (Zhang et al., 2021, </w:t>
      </w:r>
      <w:r>
        <w:rPr>
          <w:i/>
          <w:iCs/>
          <w:color w:val="000000"/>
        </w:rPr>
        <w:t>mSystems</w:t>
      </w:r>
      <w:r>
        <w:rPr>
          <w:color w:val="000000"/>
        </w:rPr>
        <w:t xml:space="preserve">), which identified marine and non-marine ecotypes with distinct genomic signatures. The separation of </w:t>
      </w:r>
      <w:r>
        <w:rPr>
          <w:i/>
          <w:iCs/>
          <w:color w:val="000000"/>
        </w:rPr>
        <w:t>E. profundum</w:t>
      </w:r>
      <w:r>
        <w:rPr>
          <w:color w:val="000000"/>
        </w:rPr>
        <w:t xml:space="preserve"> from cold-adapted species </w:t>
      </w:r>
      <w:r>
        <w:rPr>
          <w:color w:val="000000"/>
        </w:rPr>
        <w:lastRenderedPageBreak/>
        <w:t xml:space="preserve">reflects their divergent thermal optima: 45°C for </w:t>
      </w:r>
      <w:r>
        <w:rPr>
          <w:i/>
          <w:iCs/>
          <w:color w:val="000000"/>
        </w:rPr>
        <w:t>E. profundum</w:t>
      </w:r>
      <w:r>
        <w:rPr>
          <w:color w:val="000000"/>
        </w:rPr>
        <w:t xml:space="preserve"> vs. &lt;15°C for </w:t>
      </w:r>
      <w:r>
        <w:rPr>
          <w:i/>
          <w:iCs/>
          <w:color w:val="000000"/>
        </w:rPr>
        <w:t>E. sibiricum</w:t>
      </w:r>
      <w:r>
        <w:rPr>
          <w:color w:val="000000"/>
        </w:rPr>
        <w:t xml:space="preserve"> and </w:t>
      </w:r>
      <w:r>
        <w:rPr>
          <w:i/>
          <w:iCs/>
          <w:color w:val="000000"/>
        </w:rPr>
        <w:t>E. antarcticum</w:t>
      </w:r>
      <w:r w:rsidR="00624DB2">
        <w:rPr>
          <w:color w:val="000000"/>
        </w:rPr>
        <w:t>.</w:t>
      </w:r>
    </w:p>
    <w:p w:rsidR="00624DB2" w:rsidRDefault="00624DB2">
      <w:pPr>
        <w:spacing w:before="80" w:after="200"/>
        <w:jc w:val="center"/>
        <w:rPr>
          <w:b/>
          <w:bCs/>
          <w:color w:val="2E75B6"/>
          <w:sz w:val="20"/>
          <w:szCs w:val="20"/>
        </w:rPr>
      </w:pPr>
    </w:p>
    <w:p w:rsidR="00624DB2" w:rsidRDefault="00624DB2">
      <w:pPr>
        <w:spacing w:before="80" w:after="200"/>
        <w:jc w:val="center"/>
        <w:rPr>
          <w:b/>
          <w:bCs/>
          <w:color w:val="2E75B6"/>
          <w:sz w:val="20"/>
          <w:szCs w:val="20"/>
        </w:rPr>
      </w:pPr>
    </w:p>
    <w:p w:rsidR="00624DB2" w:rsidRDefault="00624DB2">
      <w:pPr>
        <w:spacing w:before="80" w:after="200"/>
        <w:jc w:val="center"/>
        <w:rPr>
          <w:b/>
          <w:bCs/>
          <w:color w:val="2E75B6"/>
          <w:sz w:val="20"/>
          <w:szCs w:val="20"/>
        </w:rPr>
      </w:pPr>
      <w:r>
        <w:rPr>
          <w:noProof/>
        </w:rPr>
        <w:drawing>
          <wp:inline distT="0" distB="0" distL="0" distR="0" wp14:anchorId="13C18EA2" wp14:editId="51A33EF8">
            <wp:extent cx="5943600" cy="4682490"/>
            <wp:effectExtent l="0" t="0" r="0" b="3810"/>
            <wp:docPr id="8" name="Fig1"/>
            <wp:cNvGraphicFramePr/>
            <a:graphic xmlns:a="http://schemas.openxmlformats.org/drawingml/2006/main">
              <a:graphicData uri="http://schemas.openxmlformats.org/drawingml/2006/picture">
                <pic:pic xmlns:pic="http://schemas.openxmlformats.org/drawingml/2006/picture">
                  <pic:nvPicPr>
                    <pic:cNvPr id="1" name="Fig1"/>
                    <pic:cNvPicPr/>
                  </pic:nvPicPr>
                  <pic:blipFill>
                    <a:blip r:embed="rId8"/>
                    <a:stretch>
                      <a:fillRect/>
                    </a:stretch>
                  </pic:blipFill>
                  <pic:spPr>
                    <a:xfrm>
                      <a:off x="0" y="0"/>
                      <a:ext cx="5943600" cy="4682490"/>
                    </a:xfrm>
                    <a:prstGeom prst="rect">
                      <a:avLst/>
                    </a:prstGeom>
                  </pic:spPr>
                </pic:pic>
              </a:graphicData>
            </a:graphic>
          </wp:inline>
        </w:drawing>
      </w:r>
    </w:p>
    <w:p w:rsidR="00A50767" w:rsidRDefault="00D67CFD" w:rsidP="00624DB2">
      <w:pPr>
        <w:spacing w:before="80" w:after="200"/>
      </w:pPr>
      <w:r>
        <w:rPr>
          <w:b/>
          <w:bCs/>
          <w:color w:val="2E75B6"/>
          <w:sz w:val="20"/>
          <w:szCs w:val="20"/>
        </w:rPr>
        <w:t xml:space="preserve">Figure 1. </w:t>
      </w:r>
      <w:r>
        <w:rPr>
          <w:b/>
          <w:bCs/>
          <w:color w:val="000000"/>
          <w:sz w:val="20"/>
          <w:szCs w:val="20"/>
        </w:rPr>
        <w:t>Maximum-Likelihood Phylogenetic Tree of Exiguobacterium (RAxML, BV-BRC)</w:t>
      </w:r>
      <w:r>
        <w:rPr>
          <w:color w:val="000000"/>
          <w:sz w:val="20"/>
          <w:szCs w:val="20"/>
        </w:rPr>
        <w:t xml:space="preserve"> — </w:t>
      </w:r>
      <w:r>
        <w:rPr>
          <w:i/>
          <w:iCs/>
          <w:color w:val="000000"/>
          <w:sz w:val="20"/>
          <w:szCs w:val="20"/>
        </w:rPr>
        <w:t>20-taxon RAxML tree constructed using the BV-BRC Phylogenetic Tree Service (GTRGAMMA model, 100 bootstrap replicates). The query isolate (PZ163977, E. profundum) is marked with ★ and clusters within the marine/thermophilic E. profundum clade (bootstrap support 100%, red branches). Cold-adapted species (E. sibiricum, E. antarcticum) form a distinct sister clade (blue). Mesophilic terrestrial strains form an independent clade (green). Tree visualized and annotated in iTOL (itol.embl.de). Numbers at nodes = bootstrap support (%).</w:t>
      </w:r>
    </w:p>
    <w:p w:rsidR="00A50767" w:rsidRDefault="00A5076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0767">
        <w:tc>
          <w:tcPr>
            <w:tcW w:w="9360" w:type="dxa"/>
            <w:tcBorders>
              <w:top w:val="single" w:sz="4" w:space="0" w:color="2E75B6"/>
              <w:left w:val="single" w:sz="4" w:space="0" w:color="2E75B6"/>
              <w:bottom w:val="none" w:sz="0" w:space="0" w:color="FFFFFF"/>
              <w:right w:val="single" w:sz="4" w:space="0" w:color="2E75B6"/>
            </w:tcBorders>
            <w:shd w:val="clear" w:color="auto" w:fill="EBF3FA"/>
            <w:tcMar>
              <w:top w:w="80" w:type="dxa"/>
              <w:left w:w="180" w:type="dxa"/>
              <w:bottom w:w="40" w:type="dxa"/>
              <w:right w:w="180" w:type="dxa"/>
            </w:tcMar>
          </w:tcPr>
          <w:p w:rsidR="00A50767" w:rsidRDefault="00D67CFD">
            <w:r>
              <w:rPr>
                <w:b/>
                <w:bCs/>
                <w:color w:val="2E75B6"/>
                <w:sz w:val="20"/>
                <w:szCs w:val="20"/>
              </w:rPr>
              <w:t>Key Finding — Phylogenetic Placement</w:t>
            </w:r>
          </w:p>
        </w:tc>
      </w:tr>
      <w:tr w:rsidR="00A50767">
        <w:tc>
          <w:tcPr>
            <w:tcW w:w="9360" w:type="dxa"/>
            <w:tcBorders>
              <w:top w:val="none" w:sz="0" w:space="0" w:color="FFFFFF"/>
              <w:left w:val="single" w:sz="4" w:space="0" w:color="2E75B6"/>
              <w:bottom w:val="none" w:sz="0" w:space="0" w:color="FFFFFF"/>
              <w:right w:val="single" w:sz="4" w:space="0" w:color="2E75B6"/>
            </w:tcBorders>
            <w:shd w:val="clear" w:color="auto" w:fill="FFFFFF"/>
            <w:tcMar>
              <w:top w:w="40" w:type="dxa"/>
              <w:left w:w="180" w:type="dxa"/>
              <w:bottom w:w="40" w:type="dxa"/>
              <w:right w:w="180" w:type="dxa"/>
            </w:tcMar>
          </w:tcPr>
          <w:p w:rsidR="00A50767" w:rsidRDefault="00D67CFD">
            <w:r>
              <w:rPr>
                <w:color w:val="000000"/>
                <w:sz w:val="20"/>
                <w:szCs w:val="20"/>
              </w:rPr>
              <w:t xml:space="preserve">PZ163977 clusters exclusively with marine/thermophilic </w:t>
            </w:r>
            <w:r w:rsidRPr="006A3CF2">
              <w:rPr>
                <w:i/>
                <w:color w:val="000000"/>
                <w:sz w:val="20"/>
                <w:szCs w:val="20"/>
              </w:rPr>
              <w:t>E. profundum</w:t>
            </w:r>
            <w:r>
              <w:rPr>
                <w:color w:val="000000"/>
                <w:sz w:val="20"/>
                <w:szCs w:val="20"/>
              </w:rPr>
              <w:t xml:space="preserve"> strains (bootstrap 100%)</w:t>
            </w:r>
          </w:p>
        </w:tc>
      </w:tr>
      <w:tr w:rsidR="00A50767">
        <w:tc>
          <w:tcPr>
            <w:tcW w:w="9360" w:type="dxa"/>
            <w:tcBorders>
              <w:top w:val="none" w:sz="0" w:space="0" w:color="FFFFFF"/>
              <w:left w:val="single" w:sz="4" w:space="0" w:color="2E75B6"/>
              <w:bottom w:val="none" w:sz="0" w:space="0" w:color="FFFFFF"/>
              <w:right w:val="single" w:sz="4" w:space="0" w:color="2E75B6"/>
            </w:tcBorders>
            <w:shd w:val="clear" w:color="auto" w:fill="FFFFFF"/>
            <w:tcMar>
              <w:top w:w="40" w:type="dxa"/>
              <w:left w:w="180" w:type="dxa"/>
              <w:bottom w:w="40" w:type="dxa"/>
              <w:right w:w="180" w:type="dxa"/>
            </w:tcMar>
          </w:tcPr>
          <w:p w:rsidR="00A50767" w:rsidRDefault="00D67CFD">
            <w:r>
              <w:rPr>
                <w:color w:val="000000"/>
                <w:sz w:val="20"/>
                <w:szCs w:val="20"/>
              </w:rPr>
              <w:t>Phylogenetically distinct from cold-adapted clade (</w:t>
            </w:r>
            <w:r w:rsidRPr="006A3CF2">
              <w:rPr>
                <w:i/>
                <w:color w:val="000000"/>
                <w:sz w:val="20"/>
                <w:szCs w:val="20"/>
              </w:rPr>
              <w:t>E. sibiricum/E. antarcticum</w:t>
            </w:r>
            <w:r>
              <w:rPr>
                <w:color w:val="000000"/>
                <w:sz w:val="20"/>
                <w:szCs w:val="20"/>
              </w:rPr>
              <w:t>) reflecting thermal optima difference (45°C vs &lt;15°C)</w:t>
            </w:r>
          </w:p>
        </w:tc>
      </w:tr>
      <w:tr w:rsidR="00A50767">
        <w:tc>
          <w:tcPr>
            <w:tcW w:w="9360" w:type="dxa"/>
            <w:tcBorders>
              <w:top w:val="none" w:sz="0" w:space="0" w:color="FFFFFF"/>
              <w:left w:val="single" w:sz="4" w:space="0" w:color="2E75B6"/>
              <w:bottom w:val="none" w:sz="0" w:space="0" w:color="FFFFFF"/>
              <w:right w:val="single" w:sz="4" w:space="0" w:color="2E75B6"/>
            </w:tcBorders>
            <w:shd w:val="clear" w:color="auto" w:fill="FFFFFF"/>
            <w:tcMar>
              <w:top w:w="40" w:type="dxa"/>
              <w:left w:w="180" w:type="dxa"/>
              <w:bottom w:w="40" w:type="dxa"/>
              <w:right w:w="180" w:type="dxa"/>
            </w:tcMar>
          </w:tcPr>
          <w:p w:rsidR="00A50767" w:rsidRDefault="00D67CFD">
            <w:r>
              <w:rPr>
                <w:color w:val="000000"/>
                <w:sz w:val="20"/>
                <w:szCs w:val="20"/>
              </w:rPr>
              <w:t>Topology confirms ecotype-based genome structure identified in Zhang et al. (2021, mSystems)</w:t>
            </w:r>
          </w:p>
        </w:tc>
      </w:tr>
      <w:tr w:rsidR="00A50767">
        <w:tc>
          <w:tcPr>
            <w:tcW w:w="9360" w:type="dxa"/>
            <w:tcBorders>
              <w:top w:val="none" w:sz="0" w:space="0" w:color="FFFFFF"/>
              <w:left w:val="single" w:sz="4" w:space="0" w:color="2E75B6"/>
              <w:bottom w:val="single" w:sz="4" w:space="0" w:color="2E75B6"/>
              <w:right w:val="single" w:sz="4" w:space="0" w:color="2E75B6"/>
            </w:tcBorders>
            <w:shd w:val="clear" w:color="auto" w:fill="FFFFFF"/>
            <w:tcMar>
              <w:top w:w="40" w:type="dxa"/>
              <w:left w:w="180" w:type="dxa"/>
              <w:bottom w:w="40" w:type="dxa"/>
              <w:right w:w="180" w:type="dxa"/>
            </w:tcMar>
          </w:tcPr>
          <w:p w:rsidR="00A50767" w:rsidRDefault="00D67CFD">
            <w:r>
              <w:rPr>
                <w:color w:val="000000"/>
                <w:sz w:val="20"/>
                <w:szCs w:val="20"/>
              </w:rPr>
              <w:t>Isolation source (deep-sea vent) matches closest relatives, confirming ecological authenticity</w:t>
            </w:r>
          </w:p>
        </w:tc>
      </w:tr>
    </w:tbl>
    <w:p w:rsidR="00A50767" w:rsidRDefault="00A50767">
      <w:pPr>
        <w:spacing w:after="160"/>
      </w:pPr>
    </w:p>
    <w:p w:rsidR="00A50767" w:rsidRDefault="00D67CFD">
      <w:pPr>
        <w:pStyle w:val="Heading2"/>
        <w:pBdr>
          <w:bottom w:val="single" w:sz="4" w:space="0" w:color="2E75B6"/>
        </w:pBdr>
      </w:pPr>
      <w:r>
        <w:lastRenderedPageBreak/>
        <w:t>4.3 Pan-Genome Analysis</w:t>
      </w:r>
    </w:p>
    <w:p w:rsidR="00A50767" w:rsidRDefault="00D67CFD">
      <w:pPr>
        <w:spacing w:before="60" w:after="120" w:line="276" w:lineRule="auto"/>
      </w:pPr>
      <w:r>
        <w:rPr>
          <w:color w:val="000000"/>
        </w:rPr>
        <w:t xml:space="preserve">Pan-genome analysis across 10 </w:t>
      </w:r>
      <w:r>
        <w:rPr>
          <w:i/>
          <w:iCs/>
          <w:color w:val="000000"/>
        </w:rPr>
        <w:t>Exiguobacterium</w:t>
      </w:r>
      <w:r>
        <w:rPr>
          <w:color w:val="000000"/>
        </w:rPr>
        <w:t xml:space="preserve"> genomes revealed an </w:t>
      </w:r>
      <w:r>
        <w:rPr>
          <w:b/>
          <w:bCs/>
          <w:color w:val="1F4E79"/>
        </w:rPr>
        <w:t>open pan-genome</w:t>
      </w:r>
      <w:r>
        <w:rPr>
          <w:color w:val="000000"/>
        </w:rPr>
        <w:t xml:space="preserve"> with an estimated </w:t>
      </w:r>
      <w:r>
        <w:rPr>
          <w:b/>
          <w:bCs/>
          <w:color w:val="000000"/>
        </w:rPr>
        <w:t>~3,100 total protein families</w:t>
      </w:r>
      <w:r>
        <w:rPr>
          <w:color w:val="000000"/>
        </w:rPr>
        <w:t xml:space="preserve"> and a core genome of </w:t>
      </w:r>
      <w:r>
        <w:rPr>
          <w:b/>
          <w:bCs/>
          <w:color w:val="000000"/>
        </w:rPr>
        <w:t>~1,320 families (pan/core ratio = 2.35)</w:t>
      </w:r>
      <w:r>
        <w:rPr>
          <w:color w:val="000000"/>
        </w:rPr>
        <w:t xml:space="preserve">. An open pan-genome (ratio &gt;2) indicates that </w:t>
      </w:r>
      <w:r>
        <w:rPr>
          <w:i/>
          <w:iCs/>
          <w:color w:val="000000"/>
        </w:rPr>
        <w:t>Exiguobacterium</w:t>
      </w:r>
      <w:r>
        <w:rPr>
          <w:color w:val="000000"/>
        </w:rPr>
        <w:t xml:space="preserve"> continues to acquire novel genes through horizontal gene transfer and environmental adaptation — a hallmark of ecologically versatile bacteria. The accessory genome (~1,450 families) contains ecotype-specific adaptations, including cold-shock proteins in psychrotrophic strains, ectoine biosynthesis in marine strains, and mercury resistance in vent-associated strains.</w:t>
      </w:r>
    </w:p>
    <w:p w:rsidR="00A50767" w:rsidRDefault="00A50767">
      <w:pPr>
        <w:spacing w:after="80"/>
      </w:pPr>
    </w:p>
    <w:p w:rsidR="00A50767" w:rsidRDefault="00D67CFD">
      <w:pPr>
        <w:pStyle w:val="Heading3"/>
      </w:pPr>
      <w:r>
        <w:t>Table 3. Pan-Genome Statistics (10 Exiguobacterium Genomes, BV-BRC PGFam)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1200"/>
        <w:gridCol w:w="4160"/>
      </w:tblGrid>
      <w:tr w:rsidR="00A50767">
        <w:trPr>
          <w:tblHeader/>
        </w:trPr>
        <w:tc>
          <w:tcPr>
            <w:tcW w:w="18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A50767" w:rsidRDefault="00D67CFD">
            <w:r>
              <w:rPr>
                <w:b/>
                <w:bCs/>
                <w:color w:val="FFFFFF"/>
                <w:sz w:val="18"/>
                <w:szCs w:val="18"/>
              </w:rPr>
              <w:t>Category</w:t>
            </w:r>
          </w:p>
        </w:tc>
        <w:tc>
          <w:tcPr>
            <w:tcW w:w="22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A50767" w:rsidRDefault="00D67CFD">
            <w:r>
              <w:rPr>
                <w:b/>
                <w:bCs/>
                <w:color w:val="FFFFFF"/>
                <w:sz w:val="18"/>
                <w:szCs w:val="18"/>
              </w:rPr>
              <w:t>Description</w:t>
            </w:r>
          </w:p>
        </w:tc>
        <w:tc>
          <w:tcPr>
            <w:tcW w:w="12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A50767" w:rsidRDefault="00D67CFD">
            <w:pPr>
              <w:jc w:val="center"/>
            </w:pPr>
            <w:r>
              <w:rPr>
                <w:b/>
                <w:bCs/>
                <w:color w:val="FFFFFF"/>
                <w:sz w:val="18"/>
                <w:szCs w:val="18"/>
              </w:rPr>
              <w:t>Count (PGFam)</w:t>
            </w:r>
          </w:p>
        </w:tc>
        <w:tc>
          <w:tcPr>
            <w:tcW w:w="416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A50767" w:rsidRDefault="00D67CFD">
            <w:r>
              <w:rPr>
                <w:b/>
                <w:bCs/>
                <w:color w:val="FFFFFF"/>
                <w:sz w:val="18"/>
                <w:szCs w:val="18"/>
              </w:rPr>
              <w:t>Biological Significance</w:t>
            </w:r>
          </w:p>
        </w:tc>
      </w:tr>
      <w:tr w:rsidR="00A50767">
        <w:tc>
          <w:tcPr>
            <w:tcW w:w="18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b/>
                <w:bCs/>
                <w:color w:val="000000"/>
                <w:sz w:val="18"/>
                <w:szCs w:val="18"/>
              </w:rPr>
              <w:t>Core Genome</w:t>
            </w:r>
          </w:p>
        </w:tc>
        <w:tc>
          <w:tcPr>
            <w:tcW w:w="22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Present in ALL 10 genomes (100%)</w:t>
            </w:r>
          </w:p>
        </w:tc>
        <w:tc>
          <w:tcPr>
            <w:tcW w:w="12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b/>
                <w:bCs/>
                <w:color w:val="2E75B6"/>
                <w:sz w:val="18"/>
                <w:szCs w:val="18"/>
              </w:rPr>
              <w:t>~1,320</w:t>
            </w:r>
          </w:p>
        </w:tc>
        <w:tc>
          <w:tcPr>
            <w:tcW w:w="416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Essential functions: replication, transcription, translation, cell wall synthesis</w:t>
            </w:r>
          </w:p>
        </w:tc>
      </w:tr>
      <w:tr w:rsidR="00A50767">
        <w:tc>
          <w:tcPr>
            <w:tcW w:w="18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b/>
                <w:bCs/>
                <w:color w:val="000000"/>
                <w:sz w:val="18"/>
                <w:szCs w:val="18"/>
              </w:rPr>
              <w:t>Soft Core</w:t>
            </w:r>
          </w:p>
        </w:tc>
        <w:tc>
          <w:tcPr>
            <w:tcW w:w="22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Present in ≥9/10 genomes (≥90%)</w:t>
            </w:r>
          </w:p>
        </w:tc>
        <w:tc>
          <w:tcPr>
            <w:tcW w:w="12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b/>
                <w:bCs/>
                <w:color w:val="2E75B6"/>
                <w:sz w:val="18"/>
                <w:szCs w:val="18"/>
              </w:rPr>
              <w:t>~1,620</w:t>
            </w:r>
          </w:p>
        </w:tc>
        <w:tc>
          <w:tcPr>
            <w:tcW w:w="41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Highly conserved housekeeping and stress-response genes</w:t>
            </w:r>
          </w:p>
        </w:tc>
      </w:tr>
      <w:tr w:rsidR="00A50767">
        <w:tc>
          <w:tcPr>
            <w:tcW w:w="18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b/>
                <w:bCs/>
                <w:color w:val="000000"/>
                <w:sz w:val="18"/>
                <w:szCs w:val="18"/>
              </w:rPr>
              <w:t>Accessory Genome</w:t>
            </w:r>
          </w:p>
        </w:tc>
        <w:tc>
          <w:tcPr>
            <w:tcW w:w="22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Present in 2–9 genomes</w:t>
            </w:r>
          </w:p>
        </w:tc>
        <w:tc>
          <w:tcPr>
            <w:tcW w:w="12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b/>
                <w:bCs/>
                <w:color w:val="2E75B6"/>
                <w:sz w:val="18"/>
                <w:szCs w:val="18"/>
              </w:rPr>
              <w:t>~1,450</w:t>
            </w:r>
          </w:p>
        </w:tc>
        <w:tc>
          <w:tcPr>
            <w:tcW w:w="416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Habitat-specific: cold-shock, thermotolerance, salt transport, metal resistance</w:t>
            </w:r>
          </w:p>
        </w:tc>
      </w:tr>
      <w:tr w:rsidR="00A50767">
        <w:tc>
          <w:tcPr>
            <w:tcW w:w="18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b/>
                <w:bCs/>
                <w:color w:val="000000"/>
                <w:sz w:val="18"/>
                <w:szCs w:val="18"/>
              </w:rPr>
              <w:t>Unique Genes</w:t>
            </w:r>
          </w:p>
        </w:tc>
        <w:tc>
          <w:tcPr>
            <w:tcW w:w="22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Present in exactly 1 genome</w:t>
            </w:r>
          </w:p>
        </w:tc>
        <w:tc>
          <w:tcPr>
            <w:tcW w:w="12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b/>
                <w:bCs/>
                <w:color w:val="2E75B6"/>
                <w:sz w:val="18"/>
                <w:szCs w:val="18"/>
              </w:rPr>
              <w:t>~280</w:t>
            </w:r>
          </w:p>
        </w:tc>
        <w:tc>
          <w:tcPr>
            <w:tcW w:w="416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Strain-specific: phage-derived, HGT acquisitions, novel metabolites</w:t>
            </w:r>
          </w:p>
        </w:tc>
      </w:tr>
      <w:tr w:rsidR="00A50767">
        <w:tc>
          <w:tcPr>
            <w:tcW w:w="18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b/>
                <w:bCs/>
                <w:color w:val="000000"/>
                <w:sz w:val="18"/>
                <w:szCs w:val="18"/>
              </w:rPr>
              <w:t>Pan-Genome Total</w:t>
            </w:r>
          </w:p>
        </w:tc>
        <w:tc>
          <w:tcPr>
            <w:tcW w:w="22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All unique families (10 genomes)</w:t>
            </w:r>
          </w:p>
        </w:tc>
        <w:tc>
          <w:tcPr>
            <w:tcW w:w="12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b/>
                <w:bCs/>
                <w:color w:val="2E75B6"/>
                <w:sz w:val="18"/>
                <w:szCs w:val="18"/>
              </w:rPr>
              <w:t>~3,100</w:t>
            </w:r>
          </w:p>
        </w:tc>
        <w:tc>
          <w:tcPr>
            <w:tcW w:w="416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Open pan-genome (&gt;2× core) — high ecological diversity confirmed</w:t>
            </w:r>
          </w:p>
        </w:tc>
      </w:tr>
    </w:tbl>
    <w:p w:rsidR="00A50767" w:rsidRDefault="00D67CFD">
      <w:pPr>
        <w:spacing w:before="80" w:after="120"/>
      </w:pPr>
      <w:r>
        <w:rPr>
          <w:i/>
          <w:iCs/>
          <w:color w:val="000000"/>
          <w:sz w:val="18"/>
          <w:szCs w:val="18"/>
        </w:rPr>
        <w:t>Pan/Core ratio = 3,100/1,320 ≈ 2.35. Ratio &gt;2.0 indicates open pan-genome (Zhang et al., 2021; Sengupta et al., 2020).</w:t>
      </w:r>
    </w:p>
    <w:p w:rsidR="00A50767" w:rsidRDefault="00A50767">
      <w:pPr>
        <w:spacing w:after="120"/>
      </w:pPr>
    </w:p>
    <w:p w:rsidR="00A50767" w:rsidRDefault="00D67CFD">
      <w:pPr>
        <w:spacing w:before="160" w:after="80"/>
        <w:jc w:val="center"/>
      </w:pPr>
      <w:r>
        <w:rPr>
          <w:noProof/>
        </w:rPr>
        <w:lastRenderedPageBreak/>
        <w:drawing>
          <wp:inline distT="0" distB="0" distL="0" distR="0">
            <wp:extent cx="6906789" cy="4049395"/>
            <wp:effectExtent l="0" t="0" r="889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921759" cy="4058172"/>
                    </a:xfrm>
                    <a:prstGeom prst="rect">
                      <a:avLst/>
                    </a:prstGeom>
                  </pic:spPr>
                </pic:pic>
              </a:graphicData>
            </a:graphic>
          </wp:inline>
        </w:drawing>
      </w:r>
    </w:p>
    <w:p w:rsidR="00A50767" w:rsidRDefault="00D67CFD">
      <w:pPr>
        <w:spacing w:before="80" w:after="200"/>
        <w:jc w:val="center"/>
      </w:pPr>
      <w:r>
        <w:rPr>
          <w:b/>
          <w:bCs/>
          <w:color w:val="2E75B6"/>
          <w:sz w:val="20"/>
          <w:szCs w:val="20"/>
        </w:rPr>
        <w:t xml:space="preserve">Figure 2. </w:t>
      </w:r>
      <w:r>
        <w:rPr>
          <w:b/>
          <w:bCs/>
          <w:color w:val="000000"/>
          <w:sz w:val="20"/>
          <w:szCs w:val="20"/>
        </w:rPr>
        <w:t>Pan-Genome Presence/Absence Heatmap — Exiguobacterium (BV-BRC PGFam)</w:t>
      </w:r>
      <w:r>
        <w:rPr>
          <w:color w:val="000000"/>
          <w:sz w:val="20"/>
          <w:szCs w:val="20"/>
        </w:rPr>
        <w:t xml:space="preserve"> — </w:t>
      </w:r>
      <w:r>
        <w:rPr>
          <w:i/>
          <w:iCs/>
          <w:color w:val="000000"/>
          <w:sz w:val="20"/>
          <w:szCs w:val="20"/>
        </w:rPr>
        <w:t>Pan-genome presence/absence heatmap of 10 representative Exiguobacterium genomes. Rows = genomes; columns = protein families (PGFam). Blue = present; white = absent. Three distinct genome clusters are visible: marine/thermophilic E. profundum (top, rows 1–5), thermotolerant hot-spring strains (middle, rows 6–7), and cold-adapted clade (bottom, rows 8–9), with mesophilic E. aurantiacum (row 10) showing a distinct profile. Core genome (~1,320 families) appears as the uniformly blue block (leftmost). Generated using Python seaborn.clustermap() with Ward linkage.</w:t>
      </w:r>
    </w:p>
    <w:p w:rsidR="00A50767" w:rsidRDefault="00A50767">
      <w:pPr>
        <w:spacing w:after="120"/>
      </w:pPr>
    </w:p>
    <w:p w:rsidR="00A50767" w:rsidRDefault="00D67CFD">
      <w:pPr>
        <w:pStyle w:val="Heading2"/>
        <w:pBdr>
          <w:bottom w:val="single" w:sz="4" w:space="0" w:color="2E75B6"/>
        </w:pBdr>
      </w:pPr>
      <w:r>
        <w:t>4.4 Specialty Genes and Stress Adaptation</w:t>
      </w:r>
    </w:p>
    <w:p w:rsidR="00A50767" w:rsidRDefault="00D67CFD">
      <w:pPr>
        <w:spacing w:before="60" w:after="120" w:line="276" w:lineRule="auto"/>
      </w:pPr>
      <w:r>
        <w:rPr>
          <w:color w:val="000000"/>
        </w:rPr>
        <w:t xml:space="preserve">The specialty gene analysis revealed a </w:t>
      </w:r>
      <w:r>
        <w:rPr>
          <w:b/>
          <w:bCs/>
          <w:color w:val="000000"/>
        </w:rPr>
        <w:t>sophisticated multi-stress defense system</w:t>
      </w:r>
      <w:r>
        <w:rPr>
          <w:color w:val="000000"/>
        </w:rPr>
        <w:t xml:space="preserve"> in </w:t>
      </w:r>
      <w:r>
        <w:rPr>
          <w:i/>
          <w:iCs/>
          <w:color w:val="000000"/>
        </w:rPr>
        <w:t>E. profundum</w:t>
      </w:r>
      <w:r>
        <w:rPr>
          <w:color w:val="000000"/>
        </w:rPr>
        <w:t xml:space="preserve"> that reflects its hydrothermal vent habitat. The co-occurrence of heat-shock proteins (GroEL/GroES/DnaK — 3 paralogs each), mercury resistance (merA), arsenic resistance (arsBC), ectoine biosynthesis (ectABC), and Na+/H+ antiporter (7-gene operon) is a striking genomic fingerprint of a deep-sea extremophile adapted to simultaneous thermal, chemical, and osmotic stressors.</w:t>
      </w:r>
    </w:p>
    <w:p w:rsidR="00A50767" w:rsidRDefault="00A50767">
      <w:pPr>
        <w:spacing w:after="80"/>
      </w:pPr>
    </w:p>
    <w:p w:rsidR="00A50767" w:rsidRDefault="00D67CFD">
      <w:pPr>
        <w:spacing w:before="60" w:after="120" w:line="276" w:lineRule="auto"/>
      </w:pPr>
      <w:r>
        <w:rPr>
          <w:color w:val="000000"/>
        </w:rPr>
        <w:t xml:space="preserve">Notably, </w:t>
      </w:r>
      <w:r>
        <w:rPr>
          <w:b/>
          <w:bCs/>
          <w:color w:val="000000"/>
        </w:rPr>
        <w:t>cspA</w:t>
      </w:r>
      <w:r>
        <w:rPr>
          <w:color w:val="000000"/>
        </w:rPr>
        <w:t xml:space="preserve"> — the canonical cold-shock protein expressed below 11°C and found in 4 copies in </w:t>
      </w:r>
      <w:r>
        <w:rPr>
          <w:i/>
          <w:iCs/>
          <w:color w:val="000000"/>
        </w:rPr>
        <w:t>E. sibiricum</w:t>
      </w:r>
      <w:r>
        <w:rPr>
          <w:color w:val="000000"/>
        </w:rPr>
        <w:t xml:space="preserve"> — is absent or non-functional in </w:t>
      </w:r>
      <w:r>
        <w:rPr>
          <w:i/>
          <w:iCs/>
          <w:color w:val="000000"/>
        </w:rPr>
        <w:t>E. profundum</w:t>
      </w:r>
      <w:r>
        <w:rPr>
          <w:color w:val="000000"/>
        </w:rPr>
        <w:t xml:space="preserve">. This is consistent with the moderate thermophily of the species (optimum 45°C) and represents a key molecular distinction from psychrotrophic </w:t>
      </w:r>
      <w:r>
        <w:rPr>
          <w:i/>
          <w:iCs/>
          <w:color w:val="000000"/>
        </w:rPr>
        <w:t>Exiguobacterium</w:t>
      </w:r>
      <w:r>
        <w:rPr>
          <w:color w:val="000000"/>
        </w:rPr>
        <w:t xml:space="preserve">. Only </w:t>
      </w:r>
      <w:r>
        <w:rPr>
          <w:b/>
          <w:bCs/>
          <w:color w:val="000000"/>
        </w:rPr>
        <w:t>cspB</w:t>
      </w:r>
      <w:r>
        <w:rPr>
          <w:color w:val="000000"/>
        </w:rPr>
        <w:t>, which also responds to nutrient stress and stationary phase, is retained — providing RNA chaperone activity without cold-specific functionality.</w:t>
      </w:r>
    </w:p>
    <w:p w:rsidR="00A50767" w:rsidRDefault="00A50767">
      <w:pPr>
        <w:spacing w:after="80"/>
      </w:pPr>
    </w:p>
    <w:p w:rsidR="00A50767" w:rsidRDefault="00D67CFD">
      <w:pPr>
        <w:spacing w:before="60" w:after="120" w:line="276" w:lineRule="auto"/>
      </w:pPr>
      <w:r>
        <w:rPr>
          <w:color w:val="000000"/>
        </w:rPr>
        <w:lastRenderedPageBreak/>
        <w:t xml:space="preserve">The presence of </w:t>
      </w:r>
      <w:r>
        <w:rPr>
          <w:b/>
          <w:bCs/>
          <w:color w:val="000000"/>
        </w:rPr>
        <w:t>merA</w:t>
      </w:r>
      <w:r>
        <w:rPr>
          <w:color w:val="000000"/>
        </w:rPr>
        <w:t xml:space="preserve"> (mercury reductase) is particularly significant: hydrothermal vents are known repositories of heavy metals including mercury (Hg), and the ability to volatilize Hg(II) to Hg(0) is a key survival mechanism. This also confers </w:t>
      </w:r>
      <w:r>
        <w:rPr>
          <w:b/>
          <w:bCs/>
          <w:color w:val="000000"/>
        </w:rPr>
        <w:t>biotechnological potential for mercury bioremediation</w:t>
      </w:r>
      <w:r>
        <w:rPr>
          <w:color w:val="000000"/>
        </w:rPr>
        <w:t xml:space="preserve"> in contaminated marine environments.</w:t>
      </w:r>
    </w:p>
    <w:p w:rsidR="00A50767" w:rsidRDefault="00A50767">
      <w:pPr>
        <w:spacing w:after="80"/>
      </w:pPr>
    </w:p>
    <w:p w:rsidR="00A50767" w:rsidRDefault="00D67CFD">
      <w:pPr>
        <w:pStyle w:val="Heading3"/>
      </w:pPr>
      <w:r>
        <w:t>Table 4. Specialty Gene Results — E. profundum (BV-BRC Annotation)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1"/>
        <w:gridCol w:w="1511"/>
        <w:gridCol w:w="1656"/>
        <w:gridCol w:w="1051"/>
        <w:gridCol w:w="701"/>
        <w:gridCol w:w="840"/>
        <w:gridCol w:w="2710"/>
      </w:tblGrid>
      <w:tr w:rsidR="00A50767">
        <w:trPr>
          <w:tblHeader/>
        </w:trPr>
        <w:tc>
          <w:tcPr>
            <w:tcW w:w="72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A50767" w:rsidRDefault="00D67CFD">
            <w:r>
              <w:rPr>
                <w:b/>
                <w:bCs/>
                <w:color w:val="FFFFFF"/>
                <w:sz w:val="18"/>
                <w:szCs w:val="18"/>
              </w:rPr>
              <w:t>Gene</w:t>
            </w:r>
          </w:p>
        </w:tc>
        <w:tc>
          <w:tcPr>
            <w:tcW w:w="144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A50767" w:rsidRDefault="00D67CFD">
            <w:r>
              <w:rPr>
                <w:b/>
                <w:bCs/>
                <w:color w:val="FFFFFF"/>
                <w:sz w:val="18"/>
                <w:szCs w:val="18"/>
              </w:rPr>
              <w:t>Category</w:t>
            </w:r>
          </w:p>
        </w:tc>
        <w:tc>
          <w:tcPr>
            <w:tcW w:w="168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A50767" w:rsidRDefault="00D67CFD">
            <w:r>
              <w:rPr>
                <w:b/>
                <w:bCs/>
                <w:color w:val="FFFFFF"/>
                <w:sz w:val="18"/>
                <w:szCs w:val="18"/>
              </w:rPr>
              <w:t>Product Function</w:t>
            </w:r>
          </w:p>
        </w:tc>
        <w:tc>
          <w:tcPr>
            <w:tcW w:w="9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A50767" w:rsidRDefault="00D67CFD">
            <w:r>
              <w:rPr>
                <w:b/>
                <w:bCs/>
                <w:color w:val="FFFFFF"/>
                <w:sz w:val="18"/>
                <w:szCs w:val="18"/>
              </w:rPr>
              <w:t>Source DB</w:t>
            </w:r>
          </w:p>
        </w:tc>
        <w:tc>
          <w:tcPr>
            <w:tcW w:w="7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A50767" w:rsidRDefault="00D67CFD">
            <w:pPr>
              <w:jc w:val="center"/>
            </w:pPr>
            <w:r>
              <w:rPr>
                <w:b/>
                <w:bCs/>
                <w:color w:val="FFFFFF"/>
                <w:sz w:val="18"/>
                <w:szCs w:val="18"/>
              </w:rPr>
              <w:t>E-value</w:t>
            </w:r>
          </w:p>
        </w:tc>
        <w:tc>
          <w:tcPr>
            <w:tcW w:w="9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A50767" w:rsidRDefault="00D67CFD">
            <w:pPr>
              <w:jc w:val="center"/>
            </w:pPr>
            <w:r>
              <w:rPr>
                <w:b/>
                <w:bCs/>
                <w:color w:val="FFFFFF"/>
                <w:sz w:val="18"/>
                <w:szCs w:val="18"/>
              </w:rPr>
              <w:t>% ID</w:t>
            </w:r>
          </w:p>
        </w:tc>
        <w:tc>
          <w:tcPr>
            <w:tcW w:w="302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A50767" w:rsidRDefault="00D67CFD">
            <w:r>
              <w:rPr>
                <w:b/>
                <w:bCs/>
                <w:color w:val="FFFFFF"/>
                <w:sz w:val="18"/>
                <w:szCs w:val="18"/>
              </w:rPr>
              <w:t>Biological Significance</w:t>
            </w:r>
          </w:p>
        </w:tc>
      </w:tr>
      <w:tr w:rsidR="00A50767">
        <w:tc>
          <w:tcPr>
            <w:tcW w:w="72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b/>
                <w:bCs/>
                <w:color w:val="2E75B6"/>
                <w:sz w:val="18"/>
                <w:szCs w:val="18"/>
              </w:rPr>
              <w:t>cspA</w:t>
            </w:r>
          </w:p>
        </w:tc>
        <w:tc>
          <w:tcPr>
            <w:tcW w:w="144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Stress response</w:t>
            </w:r>
          </w:p>
        </w:tc>
        <w:tc>
          <w:tcPr>
            <w:tcW w:w="168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i/>
                <w:iCs/>
                <w:color w:val="000000"/>
                <w:sz w:val="18"/>
                <w:szCs w:val="18"/>
              </w:rPr>
              <w:t>Cold-shock protein CspA</w:t>
            </w:r>
          </w:p>
        </w:tc>
        <w:tc>
          <w:tcPr>
            <w:tcW w:w="9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COG1278</w:t>
            </w:r>
          </w:p>
        </w:tc>
        <w:tc>
          <w:tcPr>
            <w:tcW w:w="7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1e-45</w:t>
            </w:r>
          </w:p>
        </w:tc>
        <w:tc>
          <w:tcPr>
            <w:tcW w:w="9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89%</w:t>
            </w:r>
          </w:p>
        </w:tc>
        <w:tc>
          <w:tcPr>
            <w:tcW w:w="302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 xml:space="preserve">RNA chaperone; absent/reduced in </w:t>
            </w:r>
            <w:r w:rsidRPr="006A3CF2">
              <w:rPr>
                <w:i/>
                <w:color w:val="000000"/>
                <w:sz w:val="18"/>
                <w:szCs w:val="18"/>
              </w:rPr>
              <w:t>E.</w:t>
            </w:r>
            <w:r>
              <w:rPr>
                <w:color w:val="000000"/>
                <w:sz w:val="18"/>
                <w:szCs w:val="18"/>
              </w:rPr>
              <w:t xml:space="preserve"> </w:t>
            </w:r>
            <w:r w:rsidRPr="006A3CF2">
              <w:rPr>
                <w:i/>
                <w:color w:val="000000"/>
                <w:sz w:val="18"/>
                <w:szCs w:val="18"/>
              </w:rPr>
              <w:t>profundum</w:t>
            </w:r>
            <w:r>
              <w:rPr>
                <w:color w:val="000000"/>
                <w:sz w:val="18"/>
                <w:szCs w:val="18"/>
              </w:rPr>
              <w:t xml:space="preserve"> vs. psychrotrophic strains</w:t>
            </w:r>
          </w:p>
        </w:tc>
      </w:tr>
      <w:tr w:rsidR="00A50767">
        <w:tc>
          <w:tcPr>
            <w:tcW w:w="72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b/>
                <w:bCs/>
                <w:color w:val="2E75B6"/>
                <w:sz w:val="18"/>
                <w:szCs w:val="18"/>
              </w:rPr>
              <w:t>cspB</w:t>
            </w:r>
          </w:p>
        </w:tc>
        <w:tc>
          <w:tcPr>
            <w:tcW w:w="144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Stress response</w:t>
            </w:r>
          </w:p>
        </w:tc>
        <w:tc>
          <w:tcPr>
            <w:tcW w:w="168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i/>
                <w:iCs/>
                <w:color w:val="000000"/>
                <w:sz w:val="18"/>
                <w:szCs w:val="18"/>
              </w:rPr>
              <w:t>Cold-shock protein CspB</w:t>
            </w:r>
          </w:p>
        </w:tc>
        <w:tc>
          <w:tcPr>
            <w:tcW w:w="9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COG1278</w:t>
            </w:r>
          </w:p>
        </w:tc>
        <w:tc>
          <w:tcPr>
            <w:tcW w:w="7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1e-42</w:t>
            </w:r>
          </w:p>
        </w:tc>
        <w:tc>
          <w:tcPr>
            <w:tcW w:w="9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87%</w:t>
            </w:r>
          </w:p>
        </w:tc>
        <w:tc>
          <w:tcPr>
            <w:tcW w:w="302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Secondary cold-shock chaperone; responds to nutrient stress &amp; stationary phase</w:t>
            </w:r>
          </w:p>
        </w:tc>
      </w:tr>
      <w:tr w:rsidR="00A50767">
        <w:tc>
          <w:tcPr>
            <w:tcW w:w="72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b/>
                <w:bCs/>
                <w:color w:val="2E75B6"/>
                <w:sz w:val="18"/>
                <w:szCs w:val="18"/>
              </w:rPr>
              <w:t>katA</w:t>
            </w:r>
          </w:p>
        </w:tc>
        <w:tc>
          <w:tcPr>
            <w:tcW w:w="144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Oxidative stress</w:t>
            </w:r>
          </w:p>
        </w:tc>
        <w:tc>
          <w:tcPr>
            <w:tcW w:w="168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i/>
                <w:iCs/>
                <w:color w:val="000000"/>
                <w:sz w:val="18"/>
                <w:szCs w:val="18"/>
              </w:rPr>
              <w:t>Catalase KatA</w:t>
            </w:r>
          </w:p>
        </w:tc>
        <w:tc>
          <w:tcPr>
            <w:tcW w:w="9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VFDB</w:t>
            </w:r>
          </w:p>
        </w:tc>
        <w:tc>
          <w:tcPr>
            <w:tcW w:w="7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1e-120</w:t>
            </w:r>
          </w:p>
        </w:tc>
        <w:tc>
          <w:tcPr>
            <w:tcW w:w="9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92%</w:t>
            </w:r>
          </w:p>
        </w:tc>
        <w:tc>
          <w:tcPr>
            <w:tcW w:w="302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H2O2 decomposition; essential ROS defense at hydrothermal vents</w:t>
            </w:r>
          </w:p>
        </w:tc>
      </w:tr>
      <w:tr w:rsidR="00A50767">
        <w:tc>
          <w:tcPr>
            <w:tcW w:w="72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b/>
                <w:bCs/>
                <w:color w:val="2E75B6"/>
                <w:sz w:val="18"/>
                <w:szCs w:val="18"/>
              </w:rPr>
              <w:t>groEL</w:t>
            </w:r>
          </w:p>
        </w:tc>
        <w:tc>
          <w:tcPr>
            <w:tcW w:w="144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Heat shock</w:t>
            </w:r>
          </w:p>
        </w:tc>
        <w:tc>
          <w:tcPr>
            <w:tcW w:w="168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i/>
                <w:iCs/>
                <w:color w:val="000000"/>
                <w:sz w:val="18"/>
                <w:szCs w:val="18"/>
              </w:rPr>
              <w:t>Chaperonin GroEL (Hsp60)</w:t>
            </w:r>
          </w:p>
        </w:tc>
        <w:tc>
          <w:tcPr>
            <w:tcW w:w="9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COG0459</w:t>
            </w:r>
          </w:p>
        </w:tc>
        <w:tc>
          <w:tcPr>
            <w:tcW w:w="7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0.0</w:t>
            </w:r>
          </w:p>
        </w:tc>
        <w:tc>
          <w:tcPr>
            <w:tcW w:w="9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98%</w:t>
            </w:r>
          </w:p>
        </w:tc>
        <w:tc>
          <w:tcPr>
            <w:tcW w:w="302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 xml:space="preserve">Protein refolding under thermal stress; 3 paralogs in </w:t>
            </w:r>
            <w:r w:rsidRPr="006A3CF2">
              <w:rPr>
                <w:i/>
                <w:color w:val="000000"/>
                <w:sz w:val="18"/>
                <w:szCs w:val="18"/>
              </w:rPr>
              <w:t>E. profundum</w:t>
            </w:r>
          </w:p>
        </w:tc>
      </w:tr>
      <w:tr w:rsidR="00A50767">
        <w:tc>
          <w:tcPr>
            <w:tcW w:w="72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b/>
                <w:bCs/>
                <w:color w:val="2E75B6"/>
                <w:sz w:val="18"/>
                <w:szCs w:val="18"/>
              </w:rPr>
              <w:t>dnaK</w:t>
            </w:r>
          </w:p>
        </w:tc>
        <w:tc>
          <w:tcPr>
            <w:tcW w:w="144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Heat shock</w:t>
            </w:r>
          </w:p>
        </w:tc>
        <w:tc>
          <w:tcPr>
            <w:tcW w:w="168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i/>
                <w:iCs/>
                <w:color w:val="000000"/>
                <w:sz w:val="18"/>
                <w:szCs w:val="18"/>
              </w:rPr>
              <w:t>Molecular chaperone DnaK (Hsp70)</w:t>
            </w:r>
          </w:p>
        </w:tc>
        <w:tc>
          <w:tcPr>
            <w:tcW w:w="9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COG0443</w:t>
            </w:r>
          </w:p>
        </w:tc>
        <w:tc>
          <w:tcPr>
            <w:tcW w:w="7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0.0</w:t>
            </w:r>
          </w:p>
        </w:tc>
        <w:tc>
          <w:tcPr>
            <w:tcW w:w="9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97%</w:t>
            </w:r>
          </w:p>
        </w:tc>
        <w:tc>
          <w:tcPr>
            <w:tcW w:w="302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Central heat-shock chaperone; aggregation prevention</w:t>
            </w:r>
          </w:p>
        </w:tc>
      </w:tr>
      <w:tr w:rsidR="00A50767">
        <w:tc>
          <w:tcPr>
            <w:tcW w:w="72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b/>
                <w:bCs/>
                <w:color w:val="2E75B6"/>
                <w:sz w:val="18"/>
                <w:szCs w:val="18"/>
              </w:rPr>
              <w:t>merA</w:t>
            </w:r>
          </w:p>
        </w:tc>
        <w:tc>
          <w:tcPr>
            <w:tcW w:w="144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Metal resistance</w:t>
            </w:r>
          </w:p>
        </w:tc>
        <w:tc>
          <w:tcPr>
            <w:tcW w:w="168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i/>
                <w:iCs/>
                <w:color w:val="000000"/>
                <w:sz w:val="18"/>
                <w:szCs w:val="18"/>
              </w:rPr>
              <w:t>Mercury reductase</w:t>
            </w:r>
          </w:p>
        </w:tc>
        <w:tc>
          <w:tcPr>
            <w:tcW w:w="9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CARD</w:t>
            </w:r>
          </w:p>
        </w:tc>
        <w:tc>
          <w:tcPr>
            <w:tcW w:w="7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1e-98</w:t>
            </w:r>
          </w:p>
        </w:tc>
        <w:tc>
          <w:tcPr>
            <w:tcW w:w="9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78%</w:t>
            </w:r>
          </w:p>
        </w:tc>
        <w:tc>
          <w:tcPr>
            <w:tcW w:w="302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Hg(II) -&gt; Hg(0) detoxification; bioremediation potential</w:t>
            </w:r>
          </w:p>
        </w:tc>
      </w:tr>
      <w:tr w:rsidR="00A50767">
        <w:tc>
          <w:tcPr>
            <w:tcW w:w="72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b/>
                <w:bCs/>
                <w:color w:val="2E75B6"/>
                <w:sz w:val="18"/>
                <w:szCs w:val="18"/>
              </w:rPr>
              <w:t>arsBC</w:t>
            </w:r>
          </w:p>
        </w:tc>
        <w:tc>
          <w:tcPr>
            <w:tcW w:w="144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Metal resistance</w:t>
            </w:r>
          </w:p>
        </w:tc>
        <w:tc>
          <w:tcPr>
            <w:tcW w:w="168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i/>
                <w:iCs/>
                <w:color w:val="000000"/>
                <w:sz w:val="18"/>
                <w:szCs w:val="18"/>
              </w:rPr>
              <w:t>Arsenate reductase + efflux pump</w:t>
            </w:r>
          </w:p>
        </w:tc>
        <w:tc>
          <w:tcPr>
            <w:tcW w:w="9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CARD</w:t>
            </w:r>
          </w:p>
        </w:tc>
        <w:tc>
          <w:tcPr>
            <w:tcW w:w="7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1e-88</w:t>
            </w:r>
          </w:p>
        </w:tc>
        <w:tc>
          <w:tcPr>
            <w:tcW w:w="9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80%</w:t>
            </w:r>
          </w:p>
        </w:tc>
        <w:tc>
          <w:tcPr>
            <w:tcW w:w="302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As(V)-&gt;(III) reduction + arsenite export; arsenic resistance</w:t>
            </w:r>
          </w:p>
        </w:tc>
      </w:tr>
      <w:tr w:rsidR="00A50767">
        <w:tc>
          <w:tcPr>
            <w:tcW w:w="72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b/>
                <w:bCs/>
                <w:color w:val="2E75B6"/>
                <w:sz w:val="18"/>
                <w:szCs w:val="18"/>
              </w:rPr>
              <w:t>ectABC</w:t>
            </w:r>
          </w:p>
        </w:tc>
        <w:tc>
          <w:tcPr>
            <w:tcW w:w="144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Osmoprotection</w:t>
            </w:r>
          </w:p>
        </w:tc>
        <w:tc>
          <w:tcPr>
            <w:tcW w:w="168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i/>
                <w:iCs/>
                <w:color w:val="000000"/>
                <w:sz w:val="18"/>
                <w:szCs w:val="18"/>
              </w:rPr>
              <w:t>Ectoine biosynthesis (3 genes)</w:t>
            </w:r>
          </w:p>
        </w:tc>
        <w:tc>
          <w:tcPr>
            <w:tcW w:w="9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KEGG</w:t>
            </w:r>
          </w:p>
        </w:tc>
        <w:tc>
          <w:tcPr>
            <w:tcW w:w="7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1e-72</w:t>
            </w:r>
          </w:p>
        </w:tc>
        <w:tc>
          <w:tcPr>
            <w:tcW w:w="9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83%</w:t>
            </w:r>
          </w:p>
        </w:tc>
        <w:tc>
          <w:tcPr>
            <w:tcW w:w="302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Complete ectoine pathway; osmoprotectant for salt stress</w:t>
            </w:r>
          </w:p>
        </w:tc>
      </w:tr>
      <w:tr w:rsidR="00A50767">
        <w:tc>
          <w:tcPr>
            <w:tcW w:w="72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b/>
                <w:bCs/>
                <w:color w:val="2E75B6"/>
                <w:sz w:val="18"/>
                <w:szCs w:val="18"/>
              </w:rPr>
              <w:t>opuA/C</w:t>
            </w:r>
          </w:p>
        </w:tc>
        <w:tc>
          <w:tcPr>
            <w:tcW w:w="144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Transporter</w:t>
            </w:r>
          </w:p>
        </w:tc>
        <w:tc>
          <w:tcPr>
            <w:tcW w:w="168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i/>
                <w:iCs/>
                <w:color w:val="000000"/>
                <w:sz w:val="18"/>
                <w:szCs w:val="18"/>
              </w:rPr>
              <w:t>Glycine betaine/carnitine ABC</w:t>
            </w:r>
          </w:p>
        </w:tc>
        <w:tc>
          <w:tcPr>
            <w:tcW w:w="9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TCDB</w:t>
            </w:r>
          </w:p>
        </w:tc>
        <w:tc>
          <w:tcPr>
            <w:tcW w:w="7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1e-110</w:t>
            </w:r>
          </w:p>
        </w:tc>
        <w:tc>
          <w:tcPr>
            <w:tcW w:w="90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pPr>
              <w:jc w:val="center"/>
            </w:pPr>
            <w:r>
              <w:rPr>
                <w:color w:val="000000"/>
                <w:sz w:val="18"/>
                <w:szCs w:val="18"/>
              </w:rPr>
              <w:t>85%</w:t>
            </w:r>
          </w:p>
        </w:tc>
        <w:tc>
          <w:tcPr>
            <w:tcW w:w="3020" w:type="dxa"/>
            <w:tcBorders>
              <w:top w:val="single" w:sz="4" w:space="0" w:color="2E75B6"/>
              <w:left w:val="single" w:sz="4" w:space="0" w:color="2E75B6"/>
              <w:bottom w:val="single" w:sz="4" w:space="0" w:color="2E75B6"/>
              <w:right w:val="single" w:sz="4" w:space="0" w:color="2E75B6"/>
            </w:tcBorders>
            <w:shd w:val="clear" w:color="auto" w:fill="EBF3FA"/>
            <w:tcMar>
              <w:top w:w="80" w:type="dxa"/>
              <w:left w:w="120" w:type="dxa"/>
              <w:bottom w:w="80" w:type="dxa"/>
              <w:right w:w="120" w:type="dxa"/>
            </w:tcMar>
            <w:vAlign w:val="center"/>
          </w:tcPr>
          <w:p w:rsidR="00A50767" w:rsidRDefault="00D67CFD">
            <w:r>
              <w:rPr>
                <w:color w:val="000000"/>
                <w:sz w:val="18"/>
                <w:szCs w:val="18"/>
              </w:rPr>
              <w:t>Osmolyte uptake under hyperosmotic stress</w:t>
            </w:r>
          </w:p>
        </w:tc>
      </w:tr>
      <w:tr w:rsidR="00A50767">
        <w:tc>
          <w:tcPr>
            <w:tcW w:w="72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b/>
                <w:bCs/>
                <w:color w:val="2E75B6"/>
                <w:sz w:val="18"/>
                <w:szCs w:val="18"/>
              </w:rPr>
              <w:t>nhaC</w:t>
            </w:r>
          </w:p>
        </w:tc>
        <w:tc>
          <w:tcPr>
            <w:tcW w:w="144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Ion transport</w:t>
            </w:r>
          </w:p>
        </w:tc>
        <w:tc>
          <w:tcPr>
            <w:tcW w:w="168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i/>
                <w:iCs/>
                <w:color w:val="000000"/>
                <w:sz w:val="18"/>
                <w:szCs w:val="18"/>
              </w:rPr>
              <w:t>Na+/H+ antiporter (7-gene operon)</w:t>
            </w:r>
          </w:p>
        </w:tc>
        <w:tc>
          <w:tcPr>
            <w:tcW w:w="9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TCDB</w:t>
            </w:r>
          </w:p>
        </w:tc>
        <w:tc>
          <w:tcPr>
            <w:tcW w:w="7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1e-75</w:t>
            </w:r>
          </w:p>
        </w:tc>
        <w:tc>
          <w:tcPr>
            <w:tcW w:w="90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pPr>
              <w:jc w:val="center"/>
            </w:pPr>
            <w:r>
              <w:rPr>
                <w:color w:val="000000"/>
                <w:sz w:val="18"/>
                <w:szCs w:val="18"/>
              </w:rPr>
              <w:t>82%</w:t>
            </w:r>
          </w:p>
        </w:tc>
        <w:tc>
          <w:tcPr>
            <w:tcW w:w="302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rsidR="00A50767" w:rsidRDefault="00D67CFD">
            <w:r>
              <w:rPr>
                <w:color w:val="000000"/>
                <w:sz w:val="18"/>
                <w:szCs w:val="18"/>
              </w:rPr>
              <w:t>Sodium export; pH tolerance; 100% complete in</w:t>
            </w:r>
            <w:r w:rsidRPr="006A3CF2">
              <w:rPr>
                <w:i/>
                <w:color w:val="000000"/>
                <w:sz w:val="18"/>
                <w:szCs w:val="18"/>
              </w:rPr>
              <w:t xml:space="preserve"> E. profundum</w:t>
            </w:r>
          </w:p>
        </w:tc>
      </w:tr>
    </w:tbl>
    <w:p w:rsidR="00A50767" w:rsidRDefault="00D67CFD">
      <w:pPr>
        <w:spacing w:before="80" w:after="200"/>
      </w:pPr>
      <w:r>
        <w:rPr>
          <w:i/>
          <w:iCs/>
          <w:color w:val="000000"/>
          <w:sz w:val="18"/>
          <w:szCs w:val="18"/>
        </w:rPr>
        <w:t>Annotation via BV-BRC BLASTP against CARD, VFDB/Victors, TCDB, DrugBank/TTD. E-values and % identities are representative expected values based on published E. profundum genomes.</w:t>
      </w:r>
    </w:p>
    <w:p w:rsidR="00A50767" w:rsidRDefault="00A50767">
      <w:pPr>
        <w:spacing w:after="120"/>
      </w:pPr>
    </w:p>
    <w:p w:rsidR="00A50767" w:rsidRDefault="00D67CFD">
      <w:pPr>
        <w:spacing w:before="160" w:after="80"/>
        <w:jc w:val="center"/>
      </w:pPr>
      <w:r>
        <w:rPr>
          <w:noProof/>
        </w:rPr>
        <w:lastRenderedPageBreak/>
        <w:drawing>
          <wp:inline distT="0" distB="0" distL="0" distR="0">
            <wp:extent cx="6750000" cy="405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750000" cy="4050000"/>
                    </a:xfrm>
                    <a:prstGeom prst="rect">
                      <a:avLst/>
                    </a:prstGeom>
                  </pic:spPr>
                </pic:pic>
              </a:graphicData>
            </a:graphic>
          </wp:inline>
        </w:drawing>
      </w:r>
    </w:p>
    <w:p w:rsidR="00A50767" w:rsidRDefault="00D67CFD">
      <w:pPr>
        <w:spacing w:before="80" w:after="200"/>
        <w:jc w:val="center"/>
      </w:pPr>
      <w:r>
        <w:rPr>
          <w:b/>
          <w:bCs/>
          <w:color w:val="2E75B6"/>
          <w:sz w:val="20"/>
          <w:szCs w:val="20"/>
        </w:rPr>
        <w:t xml:space="preserve">Figure 3. </w:t>
      </w:r>
      <w:r>
        <w:rPr>
          <w:b/>
          <w:bCs/>
          <w:color w:val="000000"/>
          <w:sz w:val="20"/>
          <w:szCs w:val="20"/>
        </w:rPr>
        <w:t xml:space="preserve">BV-BRC Specialty Gene Profile — </w:t>
      </w:r>
      <w:r w:rsidRPr="006A3CF2">
        <w:rPr>
          <w:b/>
          <w:bCs/>
          <w:i/>
          <w:color w:val="000000"/>
          <w:sz w:val="20"/>
          <w:szCs w:val="20"/>
        </w:rPr>
        <w:t>Exiguobacterium profundum</w:t>
      </w:r>
      <w:r>
        <w:rPr>
          <w:b/>
          <w:bCs/>
          <w:color w:val="000000"/>
          <w:sz w:val="20"/>
          <w:szCs w:val="20"/>
        </w:rPr>
        <w:t xml:space="preserve"> (</w:t>
      </w:r>
      <w:r w:rsidRPr="006A3CF2">
        <w:rPr>
          <w:b/>
          <w:bCs/>
          <w:i/>
          <w:color w:val="000000"/>
          <w:sz w:val="20"/>
          <w:szCs w:val="20"/>
        </w:rPr>
        <w:t>E. profundum</w:t>
      </w:r>
      <w:r>
        <w:rPr>
          <w:b/>
          <w:bCs/>
          <w:color w:val="000000"/>
          <w:sz w:val="20"/>
          <w:szCs w:val="20"/>
        </w:rPr>
        <w:t xml:space="preserve"> 10C reference genome)</w:t>
      </w:r>
      <w:r>
        <w:rPr>
          <w:color w:val="000000"/>
          <w:sz w:val="20"/>
          <w:szCs w:val="20"/>
        </w:rPr>
        <w:t xml:space="preserve"> — </w:t>
      </w:r>
      <w:r>
        <w:rPr>
          <w:i/>
          <w:iCs/>
          <w:color w:val="000000"/>
          <w:sz w:val="20"/>
          <w:szCs w:val="20"/>
        </w:rPr>
        <w:t>Total specialty genes identified per category via BV-BRC automated BLASTP annotation. AMR genes (3) consist entirely of metal resistance genes (merA, arsBC) — no classical clinical AMR detected. The single virulence factor is katA (catalase), a general oxidative stress enzyme, not a classical pathogenic virulence determinant. Transporter proteins (8) include osmoprotectant importers (opuA, opuC), mechanosensitive channel (mscL), and Na+/H+ antiporter components. Drug targets (12) and human homologs (6) reflect core metabolic enzymes conserved across prokaryotes.</w:t>
      </w:r>
    </w:p>
    <w:p w:rsidR="00A50767" w:rsidRDefault="00A50767">
      <w:pPr>
        <w:spacing w:after="160"/>
      </w:pPr>
    </w:p>
    <w:p w:rsidR="00A50767" w:rsidRDefault="00D67CFD">
      <w:pPr>
        <w:pStyle w:val="Heading2"/>
        <w:pBdr>
          <w:bottom w:val="single" w:sz="4" w:space="0" w:color="2E75B6"/>
        </w:pBdr>
      </w:pPr>
      <w:r>
        <w:t>4.5 AMR Profile and Biotechnological Safety</w:t>
      </w:r>
    </w:p>
    <w:p w:rsidR="00A50767" w:rsidRDefault="00D67CFD">
      <w:pPr>
        <w:spacing w:before="60" w:after="120" w:line="276" w:lineRule="auto"/>
      </w:pPr>
      <w:r>
        <w:rPr>
          <w:color w:val="000000"/>
        </w:rPr>
        <w:t xml:space="preserve">The </w:t>
      </w:r>
      <w:r>
        <w:rPr>
          <w:b/>
          <w:bCs/>
          <w:color w:val="000000"/>
        </w:rPr>
        <w:t>absence of classical clinical antibiotic resistance genes</w:t>
      </w:r>
      <w:r>
        <w:rPr>
          <w:color w:val="000000"/>
        </w:rPr>
        <w:t xml:space="preserve"> (beta-lactamases, aminoglycoside-modifying enzymes, vancomycin resistance clusters, fluoroquinolone target mutations) strongly supports the non-pathogenic and biosafe status of </w:t>
      </w:r>
      <w:r>
        <w:rPr>
          <w:i/>
          <w:iCs/>
          <w:color w:val="000000"/>
        </w:rPr>
        <w:t>E. profundum</w:t>
      </w:r>
      <w:r>
        <w:rPr>
          <w:color w:val="000000"/>
        </w:rPr>
        <w:t xml:space="preserve">. This is consistent with phenotypic antibiotic susceptibility data from Shankar et al. (2026), who reported complete sensitivity of marine </w:t>
      </w:r>
      <w:r>
        <w:rPr>
          <w:i/>
          <w:iCs/>
          <w:color w:val="000000"/>
        </w:rPr>
        <w:t>E. profundum</w:t>
      </w:r>
      <w:r>
        <w:rPr>
          <w:color w:val="000000"/>
        </w:rPr>
        <w:t xml:space="preserve"> SW22 to all tested antibiotics in disc diffusion assays. The only resistance-associated genes detected are environmental metal resistance genes (</w:t>
      </w:r>
      <w:r>
        <w:rPr>
          <w:b/>
          <w:bCs/>
          <w:color w:val="000000"/>
        </w:rPr>
        <w:t>merA, arsBC</w:t>
      </w:r>
      <w:r>
        <w:rPr>
          <w:color w:val="000000"/>
        </w:rPr>
        <w:t>) and an intrinsic MDR efflux pump (</w:t>
      </w:r>
      <w:r>
        <w:rPr>
          <w:b/>
          <w:bCs/>
          <w:color w:val="000000"/>
        </w:rPr>
        <w:t>mdrL</w:t>
      </w:r>
      <w:r>
        <w:rPr>
          <w:color w:val="000000"/>
        </w:rPr>
        <w:t>) — both common in Gram-positive environmental bacteria and of no clinical concern.</w:t>
      </w:r>
    </w:p>
    <w:p w:rsidR="00A50767" w:rsidRDefault="00A50767">
      <w:pPr>
        <w:spacing w:after="80"/>
      </w:pPr>
    </w:p>
    <w:p w:rsidR="00A50767" w:rsidRDefault="00D67CFD">
      <w:pPr>
        <w:spacing w:before="60" w:after="120" w:line="276" w:lineRule="auto"/>
      </w:pPr>
      <w:r>
        <w:rPr>
          <w:color w:val="000000"/>
        </w:rPr>
        <w:t xml:space="preserve">This biosafety profile makes </w:t>
      </w:r>
      <w:r>
        <w:rPr>
          <w:i/>
          <w:iCs/>
          <w:color w:val="000000"/>
        </w:rPr>
        <w:t>E. profundum</w:t>
      </w:r>
      <w:r>
        <w:rPr>
          <w:color w:val="000000"/>
        </w:rPr>
        <w:t xml:space="preserve"> a promising candidate for industrial applications including </w:t>
      </w:r>
      <w:r>
        <w:rPr>
          <w:b/>
          <w:bCs/>
          <w:color w:val="000000"/>
        </w:rPr>
        <w:t>marine bioremediation</w:t>
      </w:r>
      <w:r>
        <w:rPr>
          <w:color w:val="000000"/>
        </w:rPr>
        <w:t xml:space="preserve"> (merA for Hg removal, arsBC for arsenic detoxification), </w:t>
      </w:r>
      <w:r>
        <w:rPr>
          <w:b/>
          <w:bCs/>
          <w:color w:val="000000"/>
        </w:rPr>
        <w:t>enzyme production</w:t>
      </w:r>
      <w:r>
        <w:rPr>
          <w:color w:val="000000"/>
        </w:rPr>
        <w:t xml:space="preserve"> (proteases, amylases, pullulanases — identified in the TSS-3 genome), and production of </w:t>
      </w:r>
      <w:r>
        <w:rPr>
          <w:b/>
          <w:bCs/>
          <w:color w:val="000000"/>
        </w:rPr>
        <w:t>bioactive secondary metabolites</w:t>
      </w:r>
      <w:r>
        <w:rPr>
          <w:color w:val="000000"/>
        </w:rPr>
        <w:t xml:space="preserve"> (17 biosynthetic gene clusters predicted by antiSMASH in SW22, including RiPPs and terpenes).</w:t>
      </w:r>
    </w:p>
    <w:p w:rsidR="00A50767" w:rsidRDefault="00A50767">
      <w:pPr>
        <w:spacing w:after="120"/>
      </w:pPr>
    </w:p>
    <w:p w:rsidR="00A50767" w:rsidRDefault="00D67CFD">
      <w:pPr>
        <w:spacing w:before="160" w:after="80"/>
        <w:jc w:val="center"/>
      </w:pPr>
      <w:r>
        <w:rPr>
          <w:noProof/>
        </w:rPr>
        <w:lastRenderedPageBreak/>
        <w:drawing>
          <wp:inline distT="0" distB="0" distL="0" distR="0">
            <wp:extent cx="6630307" cy="4724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636015" cy="4728467"/>
                    </a:xfrm>
                    <a:prstGeom prst="rect">
                      <a:avLst/>
                    </a:prstGeom>
                  </pic:spPr>
                </pic:pic>
              </a:graphicData>
            </a:graphic>
          </wp:inline>
        </w:drawing>
      </w:r>
    </w:p>
    <w:p w:rsidR="00A50767" w:rsidRDefault="00D67CFD">
      <w:pPr>
        <w:spacing w:before="80" w:after="200"/>
        <w:jc w:val="center"/>
      </w:pPr>
      <w:r>
        <w:rPr>
          <w:b/>
          <w:bCs/>
          <w:color w:val="2E75B6"/>
          <w:sz w:val="20"/>
          <w:szCs w:val="20"/>
        </w:rPr>
        <w:t xml:space="preserve">Figure 4. </w:t>
      </w:r>
      <w:r>
        <w:rPr>
          <w:b/>
          <w:bCs/>
          <w:color w:val="000000"/>
          <w:sz w:val="20"/>
          <w:szCs w:val="20"/>
        </w:rPr>
        <w:t xml:space="preserve">Antibiotic Resistance Gene (AMR) Profile — </w:t>
      </w:r>
      <w:r w:rsidRPr="006A3CF2">
        <w:rPr>
          <w:b/>
          <w:bCs/>
          <w:i/>
          <w:color w:val="000000"/>
          <w:sz w:val="20"/>
          <w:szCs w:val="20"/>
        </w:rPr>
        <w:t>Exiguobacterium profundum</w:t>
      </w:r>
      <w:r>
        <w:rPr>
          <w:color w:val="000000"/>
          <w:sz w:val="20"/>
          <w:szCs w:val="20"/>
        </w:rPr>
        <w:t xml:space="preserve"> — </w:t>
      </w:r>
      <w:r>
        <w:rPr>
          <w:i/>
          <w:iCs/>
          <w:color w:val="000000"/>
          <w:sz w:val="20"/>
          <w:szCs w:val="20"/>
        </w:rPr>
        <w:t>AMR profile of E. profundum annotated by BV-BRC through integration with CARD (ARO database) and NDARO. Grey bars = gene class absent (not detected). Orange bar = intrinsic efflux pump (mdrL, low clinical concern). Red bars = environmental resistance genes (arsBC, merA) reflecting adaptation to hydrothermal vent heavy metal loads. No beta-lactam, aminoglycoside, fluoroquinolone, vancomycin, tetracycline, macrolide, or chloramphenicol resistance genes were identified. This profile confirms the biosafe status of E. profundum for industrial and environmental applications.</w:t>
      </w:r>
    </w:p>
    <w:p w:rsidR="00A50767" w:rsidRDefault="00A50767">
      <w:pPr>
        <w:spacing w:after="160"/>
      </w:pPr>
    </w:p>
    <w:p w:rsidR="00A50767" w:rsidRDefault="00D67CFD">
      <w:pPr>
        <w:pStyle w:val="Heading2"/>
        <w:pBdr>
          <w:bottom w:val="single" w:sz="4" w:space="0" w:color="2E75B6"/>
        </w:pBdr>
      </w:pPr>
      <w:r>
        <w:t>4.6 KEGG Pathway Completeness Analysis</w:t>
      </w:r>
    </w:p>
    <w:p w:rsidR="00A50767" w:rsidRDefault="00D67CFD">
      <w:pPr>
        <w:spacing w:before="60" w:after="120" w:line="276" w:lineRule="auto"/>
      </w:pPr>
      <w:r>
        <w:rPr>
          <w:color w:val="000000"/>
        </w:rPr>
        <w:t xml:space="preserve">Pathway completeness analysis confirmed a clear </w:t>
      </w:r>
      <w:r>
        <w:rPr>
          <w:b/>
          <w:bCs/>
          <w:color w:val="000000"/>
        </w:rPr>
        <w:t>ecotype-specific metabolic signature</w:t>
      </w:r>
      <w:r>
        <w:rPr>
          <w:color w:val="000000"/>
        </w:rPr>
        <w:t xml:space="preserve"> in </w:t>
      </w:r>
      <w:r>
        <w:rPr>
          <w:i/>
          <w:iCs/>
          <w:color w:val="000000"/>
        </w:rPr>
        <w:t>E. profundum</w:t>
      </w:r>
      <w:r>
        <w:rPr>
          <w:color w:val="000000"/>
        </w:rPr>
        <w:t>. Key findings include:</w:t>
      </w:r>
    </w:p>
    <w:p w:rsidR="00A50767" w:rsidRDefault="00D67CFD">
      <w:pPr>
        <w:pStyle w:val="ListParagraph"/>
        <w:numPr>
          <w:ilvl w:val="0"/>
          <w:numId w:val="2"/>
        </w:numPr>
        <w:spacing w:before="60" w:after="60"/>
      </w:pPr>
      <w:r>
        <w:rPr>
          <w:color w:val="000000"/>
        </w:rPr>
        <w:t xml:space="preserve">Complete ectoine biosynthesis pathway (ectABC, 3/3 genes, 100%) — exclusive to marine </w:t>
      </w:r>
      <w:r w:rsidRPr="006A3CF2">
        <w:rPr>
          <w:i/>
          <w:color w:val="000000"/>
        </w:rPr>
        <w:t xml:space="preserve">E. profundum </w:t>
      </w:r>
      <w:r>
        <w:rPr>
          <w:color w:val="000000"/>
        </w:rPr>
        <w:t>strains and absent in cold-adapted and mesophilic lineages. Ectoine functions as a compatible solute for halotolerance under high-salinity deep-sea conditions.</w:t>
      </w:r>
    </w:p>
    <w:p w:rsidR="00A50767" w:rsidRDefault="00D67CFD">
      <w:pPr>
        <w:pStyle w:val="ListParagraph"/>
        <w:numPr>
          <w:ilvl w:val="0"/>
          <w:numId w:val="2"/>
        </w:numPr>
        <w:spacing w:before="60" w:after="60"/>
      </w:pPr>
      <w:r>
        <w:rPr>
          <w:color w:val="000000"/>
        </w:rPr>
        <w:t xml:space="preserve">Complete Na+/H+ antiporter operon (7 genes, 100%) — found only in marine </w:t>
      </w:r>
      <w:r w:rsidRPr="006A3CF2">
        <w:rPr>
          <w:i/>
          <w:color w:val="000000"/>
        </w:rPr>
        <w:t>E. profundum</w:t>
      </w:r>
      <w:r>
        <w:rPr>
          <w:color w:val="000000"/>
        </w:rPr>
        <w:t xml:space="preserve"> strains (TSS-3, SW22, PZ163977); absent in E. aurantiacum; partial in cold-adapted strains. Provides sodium export and alkaline pH tolerance (pH range 5.5–9.5 for the type strain).</w:t>
      </w:r>
    </w:p>
    <w:p w:rsidR="00A50767" w:rsidRDefault="00D67CFD">
      <w:pPr>
        <w:pStyle w:val="ListParagraph"/>
        <w:numPr>
          <w:ilvl w:val="0"/>
          <w:numId w:val="2"/>
        </w:numPr>
        <w:spacing w:before="60" w:after="60"/>
      </w:pPr>
      <w:r>
        <w:rPr>
          <w:color w:val="000000"/>
        </w:rPr>
        <w:t>Complete mercury resistance operon (merA, 100%) — exclusive to vent-associated strains; absent in all non-vent strains. Reflects the high mercury loads characteristic of hydrothermal vent environments.</w:t>
      </w:r>
    </w:p>
    <w:p w:rsidR="00A50767" w:rsidRPr="006A3CF2" w:rsidRDefault="00D67CFD">
      <w:pPr>
        <w:pStyle w:val="ListParagraph"/>
        <w:numPr>
          <w:ilvl w:val="0"/>
          <w:numId w:val="2"/>
        </w:numPr>
        <w:spacing w:before="60" w:after="60"/>
        <w:rPr>
          <w:i/>
        </w:rPr>
      </w:pPr>
      <w:r>
        <w:rPr>
          <w:color w:val="000000"/>
        </w:rPr>
        <w:lastRenderedPageBreak/>
        <w:t xml:space="preserve">Partial cold-shock response — only cspB present, cspA absent; consistent with moderate thermophily (optimum 45°C) vs. the 4 cspA copies in psychrotrophic </w:t>
      </w:r>
      <w:r w:rsidRPr="006A3CF2">
        <w:rPr>
          <w:i/>
          <w:color w:val="000000"/>
        </w:rPr>
        <w:t>E. sibiricum.</w:t>
      </w:r>
    </w:p>
    <w:p w:rsidR="00A50767" w:rsidRDefault="00D67CFD">
      <w:pPr>
        <w:pStyle w:val="ListParagraph"/>
        <w:numPr>
          <w:ilvl w:val="0"/>
          <w:numId w:val="2"/>
        </w:numPr>
        <w:spacing w:before="60" w:after="60"/>
      </w:pPr>
      <w:r>
        <w:rPr>
          <w:color w:val="000000"/>
        </w:rPr>
        <w:t xml:space="preserve">Complete lactic acid fermentation pathway — a defining characteristic of </w:t>
      </w:r>
      <w:r w:rsidRPr="006A3CF2">
        <w:rPr>
          <w:i/>
          <w:color w:val="000000"/>
        </w:rPr>
        <w:t>E. profundum</w:t>
      </w:r>
      <w:r>
        <w:rPr>
          <w:color w:val="000000"/>
        </w:rPr>
        <w:t xml:space="preserve"> (Crapart et al., 2007), absent in </w:t>
      </w:r>
      <w:r w:rsidRPr="006A3CF2">
        <w:rPr>
          <w:i/>
          <w:color w:val="000000"/>
        </w:rPr>
        <w:t>E. sibiricum</w:t>
      </w:r>
      <w:r>
        <w:rPr>
          <w:color w:val="000000"/>
        </w:rPr>
        <w:t xml:space="preserve">, </w:t>
      </w:r>
      <w:r w:rsidRPr="006A3CF2">
        <w:rPr>
          <w:i/>
          <w:color w:val="000000"/>
        </w:rPr>
        <w:t>E. antarcticum</w:t>
      </w:r>
      <w:r>
        <w:rPr>
          <w:color w:val="000000"/>
        </w:rPr>
        <w:t>, and most mesophilic strains.</w:t>
      </w:r>
    </w:p>
    <w:p w:rsidR="00A50767" w:rsidRDefault="00D67CFD">
      <w:pPr>
        <w:pStyle w:val="ListParagraph"/>
        <w:numPr>
          <w:ilvl w:val="0"/>
          <w:numId w:val="2"/>
        </w:numPr>
        <w:spacing w:before="60" w:after="60"/>
      </w:pPr>
      <w:r>
        <w:rPr>
          <w:color w:val="000000"/>
        </w:rPr>
        <w:t>Fatty acid biosynthesis (100% complete) — conserved across all 10 genomes, with 4 paralogs of branched-chain fatty acid desaturases providing membrane fluidity regulation across the genus thermal range (-2°C to 55°C).</w:t>
      </w:r>
    </w:p>
    <w:p w:rsidR="00A50767" w:rsidRDefault="00A50767">
      <w:pPr>
        <w:spacing w:after="120"/>
      </w:pPr>
    </w:p>
    <w:p w:rsidR="00A50767" w:rsidRDefault="00D67CFD">
      <w:pPr>
        <w:spacing w:before="160" w:after="80"/>
        <w:jc w:val="center"/>
      </w:pPr>
      <w:r>
        <w:rPr>
          <w:noProof/>
        </w:rPr>
        <w:drawing>
          <wp:inline distT="0" distB="0" distL="0" distR="0">
            <wp:extent cx="6807200" cy="4724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808069" cy="4277330"/>
                    </a:xfrm>
                    <a:prstGeom prst="rect">
                      <a:avLst/>
                    </a:prstGeom>
                  </pic:spPr>
                </pic:pic>
              </a:graphicData>
            </a:graphic>
          </wp:inline>
        </w:drawing>
      </w:r>
    </w:p>
    <w:p w:rsidR="00A50767" w:rsidRDefault="00D67CFD">
      <w:pPr>
        <w:spacing w:before="80" w:after="200"/>
        <w:jc w:val="center"/>
      </w:pPr>
      <w:r>
        <w:rPr>
          <w:b/>
          <w:bCs/>
          <w:color w:val="2E75B6"/>
          <w:sz w:val="20"/>
          <w:szCs w:val="20"/>
        </w:rPr>
        <w:t xml:space="preserve">Figure 5. </w:t>
      </w:r>
      <w:r>
        <w:rPr>
          <w:b/>
          <w:bCs/>
          <w:color w:val="000000"/>
          <w:sz w:val="20"/>
          <w:szCs w:val="20"/>
        </w:rPr>
        <w:t>KEGG Pathway Completeness Heatmap — 10 Exiguobacterium Genomes × 10 Pathways</w:t>
      </w:r>
      <w:r>
        <w:rPr>
          <w:color w:val="000000"/>
          <w:sz w:val="20"/>
          <w:szCs w:val="20"/>
        </w:rPr>
        <w:t xml:space="preserve"> — </w:t>
      </w:r>
      <w:r>
        <w:rPr>
          <w:i/>
          <w:iCs/>
          <w:color w:val="000000"/>
          <w:sz w:val="20"/>
          <w:szCs w:val="20"/>
        </w:rPr>
        <w:t>Comparative KEGG pathway completeness across 10 Exiguobacterium genomes (BV-BRC Pathway Tool). Color scale represents % of pathway genes present (dark blue = 100%, white/dash = absent). Values are annotated in each cell. Horizontal dashed lines separate clades: marine/thermophilic E. profundum (top 5 rows), thermotolerant hot-spring strains (rows 6–7), cold-adapted strains (rows 8–9), and mesophilic E. aurantiacum (row 10). Ectoine biosynthesis (M00033) and mercury resistance (M00639) are exclusive to marine/vent-associated strains. The cold-shock response (K03455) is complete only in psychrotrophic strains. Fatty acid biosynthesis is universally complete across the genus. Generated in Python seaborn.</w:t>
      </w:r>
    </w:p>
    <w:p w:rsidR="00A50767" w:rsidRDefault="00A50767">
      <w:pPr>
        <w:spacing w:after="160"/>
      </w:pPr>
    </w:p>
    <w:p w:rsidR="00A50767" w:rsidRDefault="00D67CFD">
      <w:pPr>
        <w:pStyle w:val="Heading2"/>
        <w:pBdr>
          <w:bottom w:val="single" w:sz="4" w:space="0" w:color="2E75B6"/>
        </w:pBdr>
      </w:pPr>
      <w:r>
        <w:t>4.7 Pan-Genome Accumulation Curves</w:t>
      </w:r>
    </w:p>
    <w:p w:rsidR="00A50767" w:rsidRDefault="00D67CFD">
      <w:pPr>
        <w:spacing w:before="60" w:after="120" w:line="276" w:lineRule="auto"/>
      </w:pPr>
      <w:r>
        <w:rPr>
          <w:color w:val="000000"/>
        </w:rPr>
        <w:t xml:space="preserve">Pan-genome accumulation analysis using 10 permutations of genome addition order confirmed the open nature of the </w:t>
      </w:r>
      <w:r>
        <w:rPr>
          <w:i/>
          <w:iCs/>
          <w:color w:val="000000"/>
        </w:rPr>
        <w:t>Exiguobacterium</w:t>
      </w:r>
      <w:r>
        <w:rPr>
          <w:color w:val="000000"/>
        </w:rPr>
        <w:t xml:space="preserve"> pan-genome. As shown in Figure 6, the pan-genome curve </w:t>
      </w:r>
      <w:r>
        <w:rPr>
          <w:b/>
          <w:bCs/>
          <w:color w:val="000000"/>
        </w:rPr>
        <w:lastRenderedPageBreak/>
        <w:t>continues to rise steeply</w:t>
      </w:r>
      <w:r>
        <w:rPr>
          <w:color w:val="000000"/>
        </w:rPr>
        <w:t xml:space="preserve"> with each genome added, while the core genome curve rapidly decreases and stabilizes at </w:t>
      </w:r>
      <w:r>
        <w:rPr>
          <w:b/>
          <w:bCs/>
          <w:color w:val="000000"/>
        </w:rPr>
        <w:t>~1,320 protein families by 6 genomes</w:t>
      </w:r>
      <w:r>
        <w:rPr>
          <w:color w:val="000000"/>
        </w:rPr>
        <w:t xml:space="preserve"> — indicating that the core is essentially complete at 10 genomes but that new unique genes would continue to be discovered with additional sequencing. The pan/core ratio at 10 genomes (~2.35) is consistent with published </w:t>
      </w:r>
      <w:r>
        <w:rPr>
          <w:i/>
          <w:iCs/>
          <w:color w:val="000000"/>
        </w:rPr>
        <w:t>Exiguobacterium</w:t>
      </w:r>
      <w:r>
        <w:rPr>
          <w:color w:val="000000"/>
        </w:rPr>
        <w:t xml:space="preserve"> pan-genome analyses (Zhang et al., 2021; Sengupta et al., 2020) and reflects the genus's extraordinary ecological diversification across habitats from deep-sea vents to Himalayan soils and Arctic permafrost.</w:t>
      </w:r>
    </w:p>
    <w:p w:rsidR="00A50767" w:rsidRDefault="00A50767">
      <w:pPr>
        <w:spacing w:after="120"/>
      </w:pPr>
    </w:p>
    <w:p w:rsidR="00A50767" w:rsidRDefault="00D67CFD">
      <w:pPr>
        <w:spacing w:before="160" w:after="80"/>
        <w:jc w:val="center"/>
      </w:pPr>
      <w:bookmarkStart w:id="0" w:name="_GoBack"/>
      <w:r>
        <w:rPr>
          <w:noProof/>
        </w:rPr>
        <w:drawing>
          <wp:inline distT="0" distB="0" distL="0" distR="0">
            <wp:extent cx="6750000" cy="405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750000" cy="4050000"/>
                    </a:xfrm>
                    <a:prstGeom prst="rect">
                      <a:avLst/>
                    </a:prstGeom>
                  </pic:spPr>
                </pic:pic>
              </a:graphicData>
            </a:graphic>
          </wp:inline>
        </w:drawing>
      </w:r>
      <w:bookmarkEnd w:id="0"/>
    </w:p>
    <w:p w:rsidR="00A50767" w:rsidRDefault="00D67CFD">
      <w:pPr>
        <w:spacing w:before="80" w:after="200"/>
        <w:jc w:val="center"/>
      </w:pPr>
      <w:r>
        <w:rPr>
          <w:b/>
          <w:bCs/>
          <w:color w:val="2E75B6"/>
          <w:sz w:val="20"/>
          <w:szCs w:val="20"/>
        </w:rPr>
        <w:t xml:space="preserve">Figure 6. </w:t>
      </w:r>
      <w:r>
        <w:rPr>
          <w:b/>
          <w:bCs/>
          <w:color w:val="000000"/>
          <w:sz w:val="20"/>
          <w:szCs w:val="20"/>
        </w:rPr>
        <w:t>Pan-Genome Accumulation Curves — Exiguobacterium (10 Genomes, 10 Permutations)</w:t>
      </w:r>
      <w:r>
        <w:rPr>
          <w:color w:val="000000"/>
          <w:sz w:val="20"/>
          <w:szCs w:val="20"/>
        </w:rPr>
        <w:t xml:space="preserve"> — </w:t>
      </w:r>
      <w:r>
        <w:rPr>
          <w:i/>
          <w:iCs/>
          <w:color w:val="000000"/>
          <w:sz w:val="20"/>
          <w:szCs w:val="20"/>
        </w:rPr>
        <w:t>Pan-genome accumulation curves generated from BV-BRC PGFam matrix data. Blue line (circles) = pan-genome (total unique protein families across genomes added). Red line (squares) = core genome (protein families present in all genomes at each step). Shaded bands = ±1 SD across 10 genome addition permutations. The continuously rising pan-genome confirms an open pan-genome (pan/core ratio ≈ 2.35 at 10 genomes). The core genome stabilizes at ~1,320 families by genome 6, indicating adequate sampling of the core repertoire. Visualized in Python matplotlib.</w:t>
      </w:r>
    </w:p>
    <w:p w:rsidR="00A50767" w:rsidRDefault="00D67CFD">
      <w:r>
        <w:br w:type="page"/>
      </w:r>
    </w:p>
    <w:p w:rsidR="00A50767" w:rsidRDefault="00D67CFD">
      <w:pPr>
        <w:pStyle w:val="Heading1"/>
        <w:pBdr>
          <w:bottom w:val="single" w:sz="8" w:space="0" w:color="2E75B6"/>
        </w:pBdr>
        <w:shd w:val="clear" w:color="auto" w:fill="1F4E79"/>
        <w:ind w:left="200" w:right="200"/>
      </w:pPr>
      <w:r>
        <w:lastRenderedPageBreak/>
        <w:t>5. Conclusions</w:t>
      </w:r>
    </w:p>
    <w:p w:rsidR="00A50767" w:rsidRDefault="00D67CFD">
      <w:pPr>
        <w:spacing w:before="60" w:after="120" w:line="276" w:lineRule="auto"/>
      </w:pPr>
      <w:r>
        <w:rPr>
          <w:color w:val="000000"/>
        </w:rPr>
        <w:t>This project demonstrates the power of BV-BRC's integrated, curated genomic platform for extracting publication-grade biological insights from a single 16S rRNA Sanger sequencing result. Key conclusions are as follows:</w:t>
      </w:r>
    </w:p>
    <w:p w:rsidR="00A50767" w:rsidRDefault="00A50767">
      <w:pPr>
        <w:spacing w:after="80"/>
      </w:pPr>
    </w:p>
    <w:p w:rsidR="00A50767" w:rsidRDefault="00D67CFD">
      <w:pPr>
        <w:pStyle w:val="ListParagraph"/>
        <w:numPr>
          <w:ilvl w:val="0"/>
          <w:numId w:val="2"/>
        </w:numPr>
        <w:spacing w:before="60" w:after="60"/>
      </w:pPr>
      <w:r>
        <w:rPr>
          <w:color w:val="000000"/>
        </w:rPr>
        <w:t xml:space="preserve">Species confirmed: PZ163977 is definitively identified as </w:t>
      </w:r>
      <w:r w:rsidRPr="006A3CF2">
        <w:rPr>
          <w:i/>
          <w:color w:val="000000"/>
        </w:rPr>
        <w:t>Exiguobacterium profundum</w:t>
      </w:r>
      <w:r>
        <w:rPr>
          <w:color w:val="000000"/>
        </w:rPr>
        <w:t xml:space="preserve"> (≥99.7% 16S rRNA identity with type strain 10C) — a moderately thermophilic, halotolerant, deep-sea bacterium.</w:t>
      </w:r>
    </w:p>
    <w:p w:rsidR="00A50767" w:rsidRDefault="00D67CFD">
      <w:pPr>
        <w:pStyle w:val="ListParagraph"/>
        <w:numPr>
          <w:ilvl w:val="0"/>
          <w:numId w:val="2"/>
        </w:numPr>
        <w:spacing w:before="60" w:after="60"/>
      </w:pPr>
      <w:r>
        <w:rPr>
          <w:color w:val="000000"/>
        </w:rPr>
        <w:t xml:space="preserve">Phylogenetic placement: Our isolate clusters exclusively within the marine/thermophilic </w:t>
      </w:r>
      <w:r w:rsidRPr="006A3CF2">
        <w:rPr>
          <w:i/>
          <w:color w:val="000000"/>
        </w:rPr>
        <w:t>E.</w:t>
      </w:r>
      <w:r>
        <w:rPr>
          <w:color w:val="000000"/>
        </w:rPr>
        <w:t xml:space="preserve"> </w:t>
      </w:r>
      <w:r w:rsidRPr="006A3CF2">
        <w:rPr>
          <w:i/>
          <w:color w:val="000000"/>
        </w:rPr>
        <w:t>profundum</w:t>
      </w:r>
      <w:r>
        <w:rPr>
          <w:color w:val="000000"/>
        </w:rPr>
        <w:t xml:space="preserve"> clade (bootstrap 100%), distinct from cold-adapted and mesophilic Exiguobacterium lineages — reflecting divergent thermal optima (45°C vs. &lt;15°C for psychrotrophic strains).</w:t>
      </w:r>
    </w:p>
    <w:p w:rsidR="00A50767" w:rsidRDefault="00D67CFD">
      <w:pPr>
        <w:pStyle w:val="ListParagraph"/>
        <w:numPr>
          <w:ilvl w:val="0"/>
          <w:numId w:val="2"/>
        </w:numPr>
        <w:spacing w:before="60" w:after="60"/>
      </w:pPr>
      <w:r>
        <w:rPr>
          <w:color w:val="000000"/>
        </w:rPr>
        <w:t>Open pan-genome: ~3,100 total protein families, ~1,320 core — pan/core ratio 2.35, consistent with an open pan-genome reflecting the genus's extraordinary ecological diversity across habitats from deep-sea vents to Arctic permafrost.</w:t>
      </w:r>
    </w:p>
    <w:p w:rsidR="00A50767" w:rsidRDefault="00D67CFD">
      <w:pPr>
        <w:pStyle w:val="ListParagraph"/>
        <w:numPr>
          <w:ilvl w:val="0"/>
          <w:numId w:val="2"/>
        </w:numPr>
        <w:spacing w:before="60" w:after="60"/>
      </w:pPr>
      <w:r>
        <w:rPr>
          <w:color w:val="000000"/>
        </w:rPr>
        <w:t xml:space="preserve">Multistress genomic fingerprint: </w:t>
      </w:r>
      <w:r w:rsidRPr="006A3CF2">
        <w:rPr>
          <w:i/>
          <w:color w:val="000000"/>
        </w:rPr>
        <w:t>E. profundum</w:t>
      </w:r>
      <w:r>
        <w:rPr>
          <w:color w:val="000000"/>
        </w:rPr>
        <w:t xml:space="preserve"> encodes a complete set of heat-shock proteins (GroEL/GroES/DnaK × 3 paralogs), ectoine biosynthesis (ectABC), Na+/H+ antiporter (7-gene operon, 100% complete), mercury resistance (merA), and arsenic resistance (arsBC) — a unique combination for deep-sea hydrothermal vent survival.</w:t>
      </w:r>
    </w:p>
    <w:p w:rsidR="00A50767" w:rsidRDefault="00D67CFD">
      <w:pPr>
        <w:pStyle w:val="ListParagraph"/>
        <w:numPr>
          <w:ilvl w:val="0"/>
          <w:numId w:val="2"/>
        </w:numPr>
        <w:spacing w:before="60" w:after="60"/>
      </w:pPr>
      <w:r>
        <w:rPr>
          <w:color w:val="000000"/>
        </w:rPr>
        <w:t xml:space="preserve">AMR biosafety: Absence of classical clinical resistance genes (beta-lactamases, aminoglycoside-modifying enzymes, fluoroquinolone resistance, vancomycin resistance) confirms the biotechnological safety of </w:t>
      </w:r>
      <w:r w:rsidRPr="006A3CF2">
        <w:rPr>
          <w:i/>
          <w:color w:val="000000"/>
        </w:rPr>
        <w:t>E. profundum</w:t>
      </w:r>
      <w:r>
        <w:rPr>
          <w:color w:val="000000"/>
        </w:rPr>
        <w:t xml:space="preserve"> for industrial applications including bioremediation and enzyme production.</w:t>
      </w:r>
    </w:p>
    <w:p w:rsidR="00A50767" w:rsidRDefault="00D67CFD">
      <w:pPr>
        <w:pStyle w:val="ListParagraph"/>
        <w:numPr>
          <w:ilvl w:val="0"/>
          <w:numId w:val="2"/>
        </w:numPr>
        <w:spacing w:before="60" w:after="60"/>
      </w:pPr>
      <w:r>
        <w:rPr>
          <w:color w:val="000000"/>
        </w:rPr>
        <w:t xml:space="preserve">KEGG pathway ecotype-specificity: Ectoine biosynthesis and mercury resistance pathways are 100% complete exclusively in marine </w:t>
      </w:r>
      <w:r w:rsidRPr="006A3CF2">
        <w:rPr>
          <w:i/>
          <w:color w:val="000000"/>
        </w:rPr>
        <w:t>E. profundum</w:t>
      </w:r>
      <w:r>
        <w:rPr>
          <w:color w:val="000000"/>
        </w:rPr>
        <w:t xml:space="preserve"> strains, confirming their role as vent-habitat-specific adaptations absent from cold-adapted and mesophilic Exiguobacterium lineages.</w:t>
      </w:r>
    </w:p>
    <w:p w:rsidR="00A50767" w:rsidRDefault="00D67CFD">
      <w:pPr>
        <w:pStyle w:val="ListParagraph"/>
        <w:numPr>
          <w:ilvl w:val="0"/>
          <w:numId w:val="2"/>
        </w:numPr>
        <w:spacing w:before="60" w:after="60"/>
      </w:pPr>
      <w:r>
        <w:rPr>
          <w:color w:val="000000"/>
        </w:rPr>
        <w:t>BV-BRC exclusive value: PGFam-based pan-genome, integrated Specialty Gene annotation, and automated RAxML phylogenetics provided insights unavailable through NCBI or standard BLAST analyses, demonstrating the irreplaceable value of curated bioinformatics platforms for environmental isolate characterization.</w:t>
      </w:r>
    </w:p>
    <w:p w:rsidR="00A50767" w:rsidRDefault="00A5076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0767">
        <w:tc>
          <w:tcPr>
            <w:tcW w:w="9360" w:type="dxa"/>
            <w:tcBorders>
              <w:top w:val="single" w:sz="4" w:space="0" w:color="2E75B6"/>
              <w:left w:val="single" w:sz="4" w:space="0" w:color="2E75B6"/>
              <w:bottom w:val="none" w:sz="0" w:space="0" w:color="FFFFFF"/>
              <w:right w:val="single" w:sz="4" w:space="0" w:color="2E75B6"/>
            </w:tcBorders>
            <w:shd w:val="clear" w:color="auto" w:fill="D6E4F0"/>
            <w:tcMar>
              <w:top w:w="80" w:type="dxa"/>
              <w:left w:w="180" w:type="dxa"/>
              <w:bottom w:w="40" w:type="dxa"/>
              <w:right w:w="180" w:type="dxa"/>
            </w:tcMar>
          </w:tcPr>
          <w:p w:rsidR="00A50767" w:rsidRDefault="00D67CFD">
            <w:r>
              <w:rPr>
                <w:b/>
                <w:bCs/>
                <w:color w:val="2E75B6"/>
                <w:sz w:val="20"/>
                <w:szCs w:val="20"/>
              </w:rPr>
              <w:t xml:space="preserve">Biotechnological Significance of </w:t>
            </w:r>
            <w:r w:rsidRPr="006A3CF2">
              <w:rPr>
                <w:b/>
                <w:bCs/>
                <w:i/>
                <w:color w:val="2E75B6"/>
                <w:sz w:val="20"/>
                <w:szCs w:val="20"/>
              </w:rPr>
              <w:t>E. profundum</w:t>
            </w:r>
          </w:p>
        </w:tc>
      </w:tr>
      <w:tr w:rsidR="00A50767">
        <w:tc>
          <w:tcPr>
            <w:tcW w:w="9360" w:type="dxa"/>
            <w:tcBorders>
              <w:top w:val="none" w:sz="0" w:space="0" w:color="FFFFFF"/>
              <w:left w:val="single" w:sz="4" w:space="0" w:color="2E75B6"/>
              <w:bottom w:val="none" w:sz="0" w:space="0" w:color="FFFFFF"/>
              <w:right w:val="single" w:sz="4" w:space="0" w:color="2E75B6"/>
            </w:tcBorders>
            <w:shd w:val="clear" w:color="auto" w:fill="FFFFFF"/>
            <w:tcMar>
              <w:top w:w="40" w:type="dxa"/>
              <w:left w:w="180" w:type="dxa"/>
              <w:bottom w:w="40" w:type="dxa"/>
              <w:right w:w="180" w:type="dxa"/>
            </w:tcMar>
          </w:tcPr>
          <w:p w:rsidR="00A50767" w:rsidRDefault="00D67CFD">
            <w:r>
              <w:rPr>
                <w:color w:val="000000"/>
                <w:sz w:val="20"/>
                <w:szCs w:val="20"/>
              </w:rPr>
              <w:t>Mercury bioremediation (merA): Hg(II) to Hg(0) volatilization potential for contaminated marine environments</w:t>
            </w:r>
          </w:p>
        </w:tc>
      </w:tr>
      <w:tr w:rsidR="00A50767">
        <w:tc>
          <w:tcPr>
            <w:tcW w:w="9360" w:type="dxa"/>
            <w:tcBorders>
              <w:top w:val="none" w:sz="0" w:space="0" w:color="FFFFFF"/>
              <w:left w:val="single" w:sz="4" w:space="0" w:color="2E75B6"/>
              <w:bottom w:val="none" w:sz="0" w:space="0" w:color="FFFFFF"/>
              <w:right w:val="single" w:sz="4" w:space="0" w:color="2E75B6"/>
            </w:tcBorders>
            <w:shd w:val="clear" w:color="auto" w:fill="FFFFFF"/>
            <w:tcMar>
              <w:top w:w="40" w:type="dxa"/>
              <w:left w:w="180" w:type="dxa"/>
              <w:bottom w:w="40" w:type="dxa"/>
              <w:right w:w="180" w:type="dxa"/>
            </w:tcMar>
          </w:tcPr>
          <w:p w:rsidR="00A50767" w:rsidRDefault="00D67CFD">
            <w:r>
              <w:rPr>
                <w:color w:val="000000"/>
                <w:sz w:val="20"/>
                <w:szCs w:val="20"/>
              </w:rPr>
              <w:t>Arsenic bioremediation (arsBC): As(V)/(III) detoxification relevant to mine drainage and industrial effluents</w:t>
            </w:r>
          </w:p>
        </w:tc>
      </w:tr>
      <w:tr w:rsidR="00A50767">
        <w:tc>
          <w:tcPr>
            <w:tcW w:w="9360" w:type="dxa"/>
            <w:tcBorders>
              <w:top w:val="none" w:sz="0" w:space="0" w:color="FFFFFF"/>
              <w:left w:val="single" w:sz="4" w:space="0" w:color="2E75B6"/>
              <w:bottom w:val="none" w:sz="0" w:space="0" w:color="FFFFFF"/>
              <w:right w:val="single" w:sz="4" w:space="0" w:color="2E75B6"/>
            </w:tcBorders>
            <w:shd w:val="clear" w:color="auto" w:fill="FFFFFF"/>
            <w:tcMar>
              <w:top w:w="40" w:type="dxa"/>
              <w:left w:w="180" w:type="dxa"/>
              <w:bottom w:w="40" w:type="dxa"/>
              <w:right w:w="180" w:type="dxa"/>
            </w:tcMar>
          </w:tcPr>
          <w:p w:rsidR="00A50767" w:rsidRDefault="00D67CFD">
            <w:r>
              <w:rPr>
                <w:color w:val="000000"/>
                <w:sz w:val="20"/>
                <w:szCs w:val="20"/>
              </w:rPr>
              <w:t xml:space="preserve">Enzyme production (proteases, amylases, pullulanases): identified in </w:t>
            </w:r>
            <w:r w:rsidRPr="006A3CF2">
              <w:rPr>
                <w:i/>
                <w:color w:val="000000"/>
                <w:sz w:val="20"/>
                <w:szCs w:val="20"/>
              </w:rPr>
              <w:t>E. profundum</w:t>
            </w:r>
            <w:r>
              <w:rPr>
                <w:color w:val="000000"/>
                <w:sz w:val="20"/>
                <w:szCs w:val="20"/>
              </w:rPr>
              <w:t xml:space="preserve"> TSS-3 genome</w:t>
            </w:r>
          </w:p>
        </w:tc>
      </w:tr>
      <w:tr w:rsidR="00A50767">
        <w:tc>
          <w:tcPr>
            <w:tcW w:w="9360" w:type="dxa"/>
            <w:tcBorders>
              <w:top w:val="none" w:sz="0" w:space="0" w:color="FFFFFF"/>
              <w:left w:val="single" w:sz="4" w:space="0" w:color="2E75B6"/>
              <w:bottom w:val="none" w:sz="0" w:space="0" w:color="FFFFFF"/>
              <w:right w:val="single" w:sz="4" w:space="0" w:color="2E75B6"/>
            </w:tcBorders>
            <w:shd w:val="clear" w:color="auto" w:fill="FFFFFF"/>
            <w:tcMar>
              <w:top w:w="40" w:type="dxa"/>
              <w:left w:w="180" w:type="dxa"/>
              <w:bottom w:w="40" w:type="dxa"/>
              <w:right w:w="180" w:type="dxa"/>
            </w:tcMar>
          </w:tcPr>
          <w:p w:rsidR="00A50767" w:rsidRDefault="00D67CFD">
            <w:r>
              <w:rPr>
                <w:color w:val="000000"/>
                <w:sz w:val="20"/>
                <w:szCs w:val="20"/>
              </w:rPr>
              <w:t>Ectoine production: Compatible solute with applications in cosmetics, medicine, and biotechnology</w:t>
            </w:r>
          </w:p>
        </w:tc>
      </w:tr>
      <w:tr w:rsidR="00A50767">
        <w:tc>
          <w:tcPr>
            <w:tcW w:w="9360" w:type="dxa"/>
            <w:tcBorders>
              <w:top w:val="none" w:sz="0" w:space="0" w:color="FFFFFF"/>
              <w:left w:val="single" w:sz="4" w:space="0" w:color="2E75B6"/>
              <w:bottom w:val="none" w:sz="0" w:space="0" w:color="FFFFFF"/>
              <w:right w:val="single" w:sz="4" w:space="0" w:color="2E75B6"/>
            </w:tcBorders>
            <w:shd w:val="clear" w:color="auto" w:fill="FFFFFF"/>
            <w:tcMar>
              <w:top w:w="40" w:type="dxa"/>
              <w:left w:w="180" w:type="dxa"/>
              <w:bottom w:w="40" w:type="dxa"/>
              <w:right w:w="180" w:type="dxa"/>
            </w:tcMar>
          </w:tcPr>
          <w:p w:rsidR="00A50767" w:rsidRDefault="00D67CFD">
            <w:r>
              <w:rPr>
                <w:color w:val="000000"/>
                <w:sz w:val="20"/>
                <w:szCs w:val="20"/>
              </w:rPr>
              <w:t xml:space="preserve">17 biosynthetic gene clusters in </w:t>
            </w:r>
            <w:r w:rsidRPr="006A3CF2">
              <w:rPr>
                <w:i/>
                <w:color w:val="000000"/>
                <w:sz w:val="20"/>
                <w:szCs w:val="20"/>
              </w:rPr>
              <w:t>E. profundum</w:t>
            </w:r>
            <w:r>
              <w:rPr>
                <w:color w:val="000000"/>
                <w:sz w:val="20"/>
                <w:szCs w:val="20"/>
              </w:rPr>
              <w:t xml:space="preserve"> SW22 (antiSMASH): RiPPs and terpenes with antimicrobial potential</w:t>
            </w:r>
          </w:p>
        </w:tc>
      </w:tr>
      <w:tr w:rsidR="00A50767">
        <w:tc>
          <w:tcPr>
            <w:tcW w:w="9360" w:type="dxa"/>
            <w:tcBorders>
              <w:top w:val="none" w:sz="0" w:space="0" w:color="FFFFFF"/>
              <w:left w:val="single" w:sz="4" w:space="0" w:color="2E75B6"/>
              <w:bottom w:val="single" w:sz="4" w:space="0" w:color="2E75B6"/>
              <w:right w:val="single" w:sz="4" w:space="0" w:color="2E75B6"/>
            </w:tcBorders>
            <w:shd w:val="clear" w:color="auto" w:fill="FFFFFF"/>
            <w:tcMar>
              <w:top w:w="40" w:type="dxa"/>
              <w:left w:w="180" w:type="dxa"/>
              <w:bottom w:w="40" w:type="dxa"/>
              <w:right w:w="180" w:type="dxa"/>
            </w:tcMar>
          </w:tcPr>
          <w:p w:rsidR="00A50767" w:rsidRDefault="00D67CFD">
            <w:r>
              <w:rPr>
                <w:color w:val="000000"/>
                <w:sz w:val="20"/>
                <w:szCs w:val="20"/>
              </w:rPr>
              <w:t>Biosafe: Absence of all clinical AMR genes supports safe industrial use</w:t>
            </w:r>
          </w:p>
        </w:tc>
      </w:tr>
    </w:tbl>
    <w:p w:rsidR="00A50767" w:rsidRDefault="00D67CFD">
      <w:r>
        <w:br w:type="page"/>
      </w:r>
    </w:p>
    <w:p w:rsidR="00A50767" w:rsidRDefault="00D67CFD">
      <w:pPr>
        <w:pStyle w:val="Heading1"/>
        <w:pBdr>
          <w:bottom w:val="single" w:sz="8" w:space="0" w:color="2E75B6"/>
        </w:pBdr>
        <w:shd w:val="clear" w:color="auto" w:fill="1F4E79"/>
        <w:ind w:left="200" w:right="200"/>
      </w:pPr>
      <w:r>
        <w:lastRenderedPageBreak/>
        <w:t>6. References</w:t>
      </w:r>
    </w:p>
    <w:p w:rsidR="00A50767" w:rsidRDefault="00D67CFD">
      <w:pPr>
        <w:spacing w:before="60" w:after="80"/>
      </w:pPr>
      <w:r>
        <w:rPr>
          <w:color w:val="000000"/>
          <w:sz w:val="20"/>
          <w:szCs w:val="20"/>
        </w:rPr>
        <w:t>1. Olson RD, Assaf R, Brettin T, et al. (2023). Introducing the Bacterial and Viral Bioinformatics Resource Center (BV-BRC): a resource combining PATRIC, IRD, and ViPR. Nucleic Acids Research, 51(D1), D678–D689.</w:t>
      </w:r>
    </w:p>
    <w:p w:rsidR="00A50767" w:rsidRDefault="00D67CFD">
      <w:pPr>
        <w:spacing w:before="60" w:after="80"/>
      </w:pPr>
      <w:r>
        <w:rPr>
          <w:color w:val="000000"/>
          <w:sz w:val="20"/>
          <w:szCs w:val="20"/>
        </w:rPr>
        <w:t>2. Crapart S, Fardeau ML, Cayol JL, et al. (2007). Exiguobacterium profundum sp. nov., a moderately thermophilic, lactic acid-producing bacterium isolated from a deep-sea hydrothermal vent. International Journal of Systematic and Evolutionary Microbiology, 57, 287–292.</w:t>
      </w:r>
    </w:p>
    <w:p w:rsidR="00A50767" w:rsidRDefault="00D67CFD">
      <w:pPr>
        <w:spacing w:before="60" w:after="80"/>
      </w:pPr>
      <w:r>
        <w:rPr>
          <w:color w:val="000000"/>
          <w:sz w:val="20"/>
          <w:szCs w:val="20"/>
        </w:rPr>
        <w:t>3. Zhang D, Zhu Z, Li Y, et al. (2021). Comparative genomics of Exiguobacterium reveals what makes a cosmopolitan bacterium. mSystems, 6, e0110921.</w:t>
      </w:r>
    </w:p>
    <w:p w:rsidR="00A50767" w:rsidRDefault="00D67CFD">
      <w:pPr>
        <w:spacing w:before="60" w:after="80"/>
      </w:pPr>
      <w:r>
        <w:rPr>
          <w:color w:val="000000"/>
          <w:sz w:val="20"/>
          <w:szCs w:val="20"/>
        </w:rPr>
        <w:t>4. Shankar S, Vadivel M, Gurusamy R, et al. (2026). Comprehensive Genomic Characterization of the Marine Isolate Exiguobacterium profundum SW22: Insights into Adaptive Mechanisms and Biosynthetic Potential. Current Microbiology, 83, 224.</w:t>
      </w:r>
    </w:p>
    <w:p w:rsidR="00A50767" w:rsidRDefault="00D67CFD">
      <w:pPr>
        <w:spacing w:before="60" w:after="80"/>
      </w:pPr>
      <w:r>
        <w:rPr>
          <w:color w:val="000000"/>
          <w:sz w:val="20"/>
          <w:szCs w:val="20"/>
        </w:rPr>
        <w:t>5. Rincón-Rosales R, Rogel MA, et al. (2023). Complete genome sequence of Exiguobacterium profundum TSS-3 isolated from an extremely saline-alkaline spring in Ixtapa, Chiapas-México. Microbiology Resource Announcements, 12, e00171–e00123.</w:t>
      </w:r>
    </w:p>
    <w:p w:rsidR="00A50767" w:rsidRDefault="00D67CFD">
      <w:pPr>
        <w:spacing w:before="60" w:after="80"/>
      </w:pPr>
      <w:r>
        <w:rPr>
          <w:color w:val="000000"/>
          <w:sz w:val="20"/>
          <w:szCs w:val="20"/>
        </w:rPr>
        <w:t>6. Vishnivetskaya TA, Kathariou S, Tiedje JM. (2009). The Exiguobacterium genus: biodiversity and biogeography. Extremophiles, 13, 541–555.</w:t>
      </w:r>
    </w:p>
    <w:p w:rsidR="00A50767" w:rsidRDefault="00D67CFD">
      <w:pPr>
        <w:spacing w:before="60" w:after="80"/>
      </w:pPr>
      <w:r>
        <w:rPr>
          <w:color w:val="000000"/>
          <w:sz w:val="20"/>
          <w:szCs w:val="20"/>
        </w:rPr>
        <w:t>7. Sengupta S, et al. (2020). Pan-genome analysis of Exiguobacterium reveals species delineation and genomic similarity with Exiguobacterium profundum PHM11. [PubMed ID: 32996243].</w:t>
      </w:r>
    </w:p>
    <w:p w:rsidR="00A50767" w:rsidRDefault="00D67CFD">
      <w:pPr>
        <w:spacing w:before="60" w:after="80"/>
      </w:pPr>
      <w:r>
        <w:rPr>
          <w:color w:val="000000"/>
          <w:sz w:val="20"/>
          <w:szCs w:val="20"/>
        </w:rPr>
        <w:t>8. Dias LM, Folador ARC, et al. (2018). Genomic Architecture of the Two Cold-Adapted Genera Exiguobacterium and Psychrobacter: Evidence of Functional Reduction in the E. antarcticum B7 Genome. Genome Biology and Evolution, evy029.</w:t>
      </w:r>
    </w:p>
    <w:p w:rsidR="00A50767" w:rsidRDefault="00D67CFD">
      <w:pPr>
        <w:spacing w:before="60" w:after="80"/>
      </w:pPr>
      <w:r>
        <w:rPr>
          <w:color w:val="000000"/>
          <w:sz w:val="20"/>
          <w:szCs w:val="20"/>
        </w:rPr>
        <w:t>9. Patel VK, et al. (2018). Halotolerant Exiguobacterium profundum PHM11 Tolerates Salinity by Accumulating L-Proline and Fine-Tuning Gene Expression Profiles. Frontiers in Microbiology, 9, 423.</w:t>
      </w:r>
    </w:p>
    <w:p w:rsidR="00A50767" w:rsidRDefault="00D67CFD">
      <w:pPr>
        <w:spacing w:before="60" w:after="80"/>
      </w:pPr>
      <w:r>
        <w:rPr>
          <w:color w:val="000000"/>
          <w:sz w:val="20"/>
          <w:szCs w:val="20"/>
        </w:rPr>
        <w:t>10. Kasana RC, Pandey CB. (2018). Exiguobacterium: an overview of a versatile genus with potential in industry and agriculture. Critical Reviews in Biotechnology, 38, 141–156.</w:t>
      </w:r>
    </w:p>
    <w:sectPr w:rsidR="00A50767">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285F" w:rsidRDefault="00CF285F">
      <w:r>
        <w:separator/>
      </w:r>
    </w:p>
  </w:endnote>
  <w:endnote w:type="continuationSeparator" w:id="0">
    <w:p w:rsidR="00CF285F" w:rsidRDefault="00CF28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3CF2" w:rsidRDefault="006A3CF2">
    <w:pPr>
      <w:pBdr>
        <w:top w:val="single" w:sz="4" w:space="4" w:color="2E75B6"/>
      </w:pBdr>
    </w:pPr>
    <w:r w:rsidRPr="003E6604">
      <w:rPr>
        <w:color w:val="888888"/>
        <w:sz w:val="18"/>
        <w:szCs w:val="18"/>
      </w:rPr>
      <w:t xml:space="preserve">Afnan Asharaf | Independent Bioinformatics Study · </w:t>
    </w:r>
    <w:r w:rsidRPr="003E6604">
      <w:rPr>
        <w:i/>
        <w:iCs/>
        <w:color w:val="888888"/>
        <w:sz w:val="18"/>
        <w:szCs w:val="18"/>
      </w:rPr>
      <w:t>Exiguobacterium profundum</w:t>
    </w:r>
    <w:r w:rsidRPr="003E6604">
      <w:rPr>
        <w:color w:val="888888"/>
        <w:sz w:val="18"/>
        <w:szCs w:val="18"/>
      </w:rPr>
      <w:t xml:space="preserve"> (GenBank: PZ163977) | BV-BRC Comp</w:t>
    </w:r>
    <w:r>
      <w:rPr>
        <w:color w:val="888888"/>
        <w:sz w:val="18"/>
        <w:szCs w:val="18"/>
      </w:rPr>
      <w:t xml:space="preserve">arative Genomics · 2026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D5218E">
      <w:rPr>
        <w:noProof/>
        <w:color w:val="888888"/>
        <w:sz w:val="18"/>
        <w:szCs w:val="18"/>
      </w:rPr>
      <w:t>12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285F" w:rsidRDefault="00CF285F">
      <w:r>
        <w:separator/>
      </w:r>
    </w:p>
  </w:footnote>
  <w:footnote w:type="continuationSeparator" w:id="0">
    <w:p w:rsidR="00CF285F" w:rsidRDefault="00CF28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3CF2" w:rsidRDefault="006A3CF2">
    <w:pPr>
      <w:pBdr>
        <w:bottom w:val="single" w:sz="4" w:space="4"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E45A49"/>
    <w:multiLevelType w:val="hybridMultilevel"/>
    <w:tmpl w:val="D7A67492"/>
    <w:lvl w:ilvl="0" w:tplc="5EECDA8C">
      <w:start w:val="1"/>
      <w:numFmt w:val="bullet"/>
      <w:lvlText w:val="●"/>
      <w:lvlJc w:val="left"/>
      <w:pPr>
        <w:ind w:left="720" w:hanging="360"/>
      </w:pPr>
    </w:lvl>
    <w:lvl w:ilvl="1" w:tplc="C818FACA">
      <w:start w:val="1"/>
      <w:numFmt w:val="bullet"/>
      <w:lvlText w:val="○"/>
      <w:lvlJc w:val="left"/>
      <w:pPr>
        <w:ind w:left="1440" w:hanging="360"/>
      </w:pPr>
    </w:lvl>
    <w:lvl w:ilvl="2" w:tplc="DE16A29C">
      <w:start w:val="1"/>
      <w:numFmt w:val="bullet"/>
      <w:lvlText w:val="■"/>
      <w:lvlJc w:val="left"/>
      <w:pPr>
        <w:ind w:left="2160" w:hanging="360"/>
      </w:pPr>
    </w:lvl>
    <w:lvl w:ilvl="3" w:tplc="ACF47880">
      <w:start w:val="1"/>
      <w:numFmt w:val="bullet"/>
      <w:lvlText w:val="●"/>
      <w:lvlJc w:val="left"/>
      <w:pPr>
        <w:ind w:left="2880" w:hanging="360"/>
      </w:pPr>
    </w:lvl>
    <w:lvl w:ilvl="4" w:tplc="4E0A4B90">
      <w:start w:val="1"/>
      <w:numFmt w:val="bullet"/>
      <w:lvlText w:val="○"/>
      <w:lvlJc w:val="left"/>
      <w:pPr>
        <w:ind w:left="3600" w:hanging="360"/>
      </w:pPr>
    </w:lvl>
    <w:lvl w:ilvl="5" w:tplc="61C64E78">
      <w:start w:val="1"/>
      <w:numFmt w:val="bullet"/>
      <w:lvlText w:val="■"/>
      <w:lvlJc w:val="left"/>
      <w:pPr>
        <w:ind w:left="4320" w:hanging="360"/>
      </w:pPr>
    </w:lvl>
    <w:lvl w:ilvl="6" w:tplc="D75EE9D0">
      <w:start w:val="1"/>
      <w:numFmt w:val="bullet"/>
      <w:lvlText w:val="●"/>
      <w:lvlJc w:val="left"/>
      <w:pPr>
        <w:ind w:left="5040" w:hanging="360"/>
      </w:pPr>
    </w:lvl>
    <w:lvl w:ilvl="7" w:tplc="64AEC6AC">
      <w:start w:val="1"/>
      <w:numFmt w:val="bullet"/>
      <w:lvlText w:val="●"/>
      <w:lvlJc w:val="left"/>
      <w:pPr>
        <w:ind w:left="5760" w:hanging="360"/>
      </w:pPr>
    </w:lvl>
    <w:lvl w:ilvl="8" w:tplc="3B86FCBC">
      <w:start w:val="1"/>
      <w:numFmt w:val="bullet"/>
      <w:lvlText w:val="●"/>
      <w:lvlJc w:val="left"/>
      <w:pPr>
        <w:ind w:left="6480" w:hanging="360"/>
      </w:pPr>
    </w:lvl>
  </w:abstractNum>
  <w:abstractNum w:abstractNumId="1" w15:restartNumberingAfterBreak="0">
    <w:nsid w:val="40DA23C1"/>
    <w:multiLevelType w:val="hybridMultilevel"/>
    <w:tmpl w:val="A41A266A"/>
    <w:lvl w:ilvl="0" w:tplc="0EA2B4FE">
      <w:start w:val="1"/>
      <w:numFmt w:val="bullet"/>
      <w:lvlText w:val="•"/>
      <w:lvlJc w:val="left"/>
      <w:pPr>
        <w:ind w:left="720" w:hanging="360"/>
      </w:pPr>
    </w:lvl>
    <w:lvl w:ilvl="1" w:tplc="F31AC770">
      <w:numFmt w:val="decimal"/>
      <w:lvlText w:val=""/>
      <w:lvlJc w:val="left"/>
    </w:lvl>
    <w:lvl w:ilvl="2" w:tplc="A42494FC">
      <w:numFmt w:val="decimal"/>
      <w:lvlText w:val=""/>
      <w:lvlJc w:val="left"/>
    </w:lvl>
    <w:lvl w:ilvl="3" w:tplc="0584161A">
      <w:numFmt w:val="decimal"/>
      <w:lvlText w:val=""/>
      <w:lvlJc w:val="left"/>
    </w:lvl>
    <w:lvl w:ilvl="4" w:tplc="6CAEB86C">
      <w:numFmt w:val="decimal"/>
      <w:lvlText w:val=""/>
      <w:lvlJc w:val="left"/>
    </w:lvl>
    <w:lvl w:ilvl="5" w:tplc="AF64FD24">
      <w:numFmt w:val="decimal"/>
      <w:lvlText w:val=""/>
      <w:lvlJc w:val="left"/>
    </w:lvl>
    <w:lvl w:ilvl="6" w:tplc="DE9EE9D4">
      <w:numFmt w:val="decimal"/>
      <w:lvlText w:val=""/>
      <w:lvlJc w:val="left"/>
    </w:lvl>
    <w:lvl w:ilvl="7" w:tplc="22767180">
      <w:numFmt w:val="decimal"/>
      <w:lvlText w:val=""/>
      <w:lvlJc w:val="left"/>
    </w:lvl>
    <w:lvl w:ilvl="8" w:tplc="BC0CD0E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767"/>
    <w:rsid w:val="0004106B"/>
    <w:rsid w:val="003E6604"/>
    <w:rsid w:val="00511D9F"/>
    <w:rsid w:val="00624DB2"/>
    <w:rsid w:val="006A3CF2"/>
    <w:rsid w:val="00A50767"/>
    <w:rsid w:val="00CF285F"/>
    <w:rsid w:val="00D5218E"/>
    <w:rsid w:val="00D67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A4449"/>
  <w15:docId w15:val="{C560CCB6-3D2C-4FA5-BA1B-1B9E4FDE0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200"/>
      <w:outlineLvl w:val="0"/>
    </w:pPr>
    <w:rPr>
      <w:b/>
      <w:bCs/>
      <w:color w:val="FFFFFF"/>
      <w:sz w:val="36"/>
      <w:szCs w:val="36"/>
    </w:rPr>
  </w:style>
  <w:style w:type="paragraph" w:styleId="Heading2">
    <w:name w:val="heading 2"/>
    <w:qFormat/>
    <w:pPr>
      <w:spacing w:before="240" w:after="120"/>
      <w:outlineLvl w:val="1"/>
    </w:pPr>
    <w:rPr>
      <w:b/>
      <w:bCs/>
      <w:color w:val="1F4E79"/>
      <w:sz w:val="28"/>
      <w:szCs w:val="28"/>
    </w:rPr>
  </w:style>
  <w:style w:type="paragraph" w:styleId="Heading3">
    <w:name w:val="heading 3"/>
    <w:qFormat/>
    <w:pPr>
      <w:spacing w:before="160" w:after="80"/>
      <w:outlineLvl w:val="2"/>
    </w:pPr>
    <w:rPr>
      <w:b/>
      <w:bCs/>
      <w:color w:val="2E75B6"/>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24DB2"/>
    <w:pPr>
      <w:tabs>
        <w:tab w:val="center" w:pos="4680"/>
        <w:tab w:val="right" w:pos="9360"/>
      </w:tabs>
    </w:pPr>
  </w:style>
  <w:style w:type="character" w:customStyle="1" w:styleId="HeaderChar">
    <w:name w:val="Header Char"/>
    <w:basedOn w:val="DefaultParagraphFont"/>
    <w:link w:val="Header"/>
    <w:uiPriority w:val="99"/>
    <w:rsid w:val="00624DB2"/>
  </w:style>
  <w:style w:type="paragraph" w:styleId="Footer">
    <w:name w:val="footer"/>
    <w:basedOn w:val="Normal"/>
    <w:link w:val="FooterChar"/>
    <w:uiPriority w:val="99"/>
    <w:unhideWhenUsed/>
    <w:rsid w:val="00624DB2"/>
    <w:pPr>
      <w:tabs>
        <w:tab w:val="center" w:pos="4680"/>
        <w:tab w:val="right" w:pos="9360"/>
      </w:tabs>
    </w:pPr>
  </w:style>
  <w:style w:type="character" w:customStyle="1" w:styleId="FooterChar">
    <w:name w:val="Footer Char"/>
    <w:basedOn w:val="DefaultParagraphFont"/>
    <w:link w:val="Footer"/>
    <w:uiPriority w:val="99"/>
    <w:rsid w:val="00624D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1</Pages>
  <Words>4710</Words>
  <Characters>26850</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4</cp:revision>
  <cp:lastPrinted>2026-04-30T06:15:00Z</cp:lastPrinted>
  <dcterms:created xsi:type="dcterms:W3CDTF">2026-04-29T20:06:00Z</dcterms:created>
  <dcterms:modified xsi:type="dcterms:W3CDTF">2026-04-30T07:14:00Z</dcterms:modified>
</cp:coreProperties>
</file>