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051" w:rsidRDefault="006B2830" w:rsidP="00346836">
      <w:pPr>
        <w:spacing w:after="200"/>
        <w:jc w:val="both"/>
      </w:pPr>
      <w:r>
        <w:rPr>
          <w:b/>
          <w:bCs/>
          <w:sz w:val="32"/>
          <w:szCs w:val="32"/>
        </w:rPr>
        <w:t xml:space="preserve">Comparative Genomic Re-analysis of </w:t>
      </w:r>
      <w:proofErr w:type="spellStart"/>
      <w:r>
        <w:rPr>
          <w:b/>
          <w:bCs/>
          <w:i/>
          <w:iCs/>
          <w:sz w:val="32"/>
          <w:szCs w:val="32"/>
        </w:rPr>
        <w:t>Exiguobacterium</w:t>
      </w:r>
      <w:proofErr w:type="spellEnd"/>
      <w:r>
        <w:rPr>
          <w:b/>
          <w:bCs/>
          <w:i/>
          <w:iCs/>
          <w:sz w:val="32"/>
          <w:szCs w:val="32"/>
        </w:rPr>
        <w:t xml:space="preserve"> </w:t>
      </w:r>
      <w:proofErr w:type="spellStart"/>
      <w:r>
        <w:rPr>
          <w:b/>
          <w:bCs/>
          <w:i/>
          <w:iCs/>
          <w:sz w:val="32"/>
          <w:szCs w:val="32"/>
        </w:rPr>
        <w:t>profundum</w:t>
      </w:r>
      <w:proofErr w:type="spellEnd"/>
      <w:r>
        <w:rPr>
          <w:b/>
          <w:bCs/>
          <w:sz w:val="32"/>
          <w:szCs w:val="32"/>
        </w:rPr>
        <w:t xml:space="preserve"> Strain TSS-3: Toward a Genomic Basis for Anti-Inflammatory Carotenoid Activity</w:t>
      </w:r>
    </w:p>
    <w:p w:rsidR="000E1051" w:rsidRDefault="006B2830" w:rsidP="00346836">
      <w:pPr>
        <w:spacing w:after="160"/>
        <w:jc w:val="both"/>
      </w:pPr>
      <w:proofErr w:type="spellStart"/>
      <w:r>
        <w:rPr>
          <w:b/>
          <w:bCs/>
          <w:sz w:val="22"/>
          <w:szCs w:val="22"/>
        </w:rPr>
        <w:t>Afnan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Asharaf</w:t>
      </w:r>
      <w:proofErr w:type="spellEnd"/>
    </w:p>
    <w:p w:rsidR="000E1051" w:rsidRPr="00346836" w:rsidRDefault="006B2830" w:rsidP="00346836">
      <w:pPr>
        <w:spacing w:after="160"/>
        <w:jc w:val="both"/>
      </w:pPr>
      <w:r w:rsidRPr="00346836">
        <w:rPr>
          <w:iCs/>
        </w:rPr>
        <w:t xml:space="preserve">MSc Microbiology (St. Mary's Autonomous College, Thrissur, University of Calicut) · CSB Internship </w:t>
      </w:r>
      <w:proofErr w:type="spellStart"/>
      <w:r w:rsidRPr="00346836">
        <w:rPr>
          <w:iCs/>
        </w:rPr>
        <w:t>Programme</w:t>
      </w:r>
      <w:proofErr w:type="spellEnd"/>
      <w:r w:rsidRPr="00346836">
        <w:rPr>
          <w:iCs/>
        </w:rPr>
        <w:t xml:space="preserve">, CVJ Centre for Synthetic Biology and </w:t>
      </w:r>
      <w:proofErr w:type="spellStart"/>
      <w:r w:rsidRPr="00346836">
        <w:rPr>
          <w:iCs/>
        </w:rPr>
        <w:t>Biomanufacturing</w:t>
      </w:r>
      <w:proofErr w:type="spellEnd"/>
      <w:r w:rsidRPr="00346836">
        <w:rPr>
          <w:iCs/>
        </w:rPr>
        <w:t xml:space="preserve"> (CUSAT-TBI, Kochi) · </w:t>
      </w:r>
      <w:proofErr w:type="spellStart"/>
      <w:r w:rsidRPr="00346836">
        <w:rPr>
          <w:iCs/>
        </w:rPr>
        <w:t>GenBank</w:t>
      </w:r>
      <w:proofErr w:type="spellEnd"/>
      <w:r w:rsidRPr="00346836">
        <w:rPr>
          <w:iCs/>
        </w:rPr>
        <w:t xml:space="preserve"> depositions: PZ163764, PZ163949, PZ163977 · ASM Member</w:t>
      </w:r>
    </w:p>
    <w:p w:rsidR="000E1051" w:rsidRDefault="006B2830" w:rsidP="00346836">
      <w:pPr>
        <w:spacing w:after="160"/>
        <w:jc w:val="both"/>
      </w:pPr>
      <w:r>
        <w:rPr>
          <w:i/>
          <w:iCs/>
          <w:color w:val="666666"/>
          <w:sz w:val="18"/>
          <w:szCs w:val="18"/>
        </w:rPr>
        <w:t>Document</w:t>
      </w:r>
      <w:r>
        <w:rPr>
          <w:i/>
          <w:iCs/>
          <w:color w:val="666666"/>
          <w:sz w:val="18"/>
          <w:szCs w:val="18"/>
        </w:rPr>
        <w:t xml:space="preserve"> status: all planned analysis stages complete (QC, trimming/filtering, assembly, completeness assessment, annotation, biosynthetic gene cluster mining, comparative genomics).</w:t>
      </w:r>
    </w:p>
    <w:p w:rsidR="000E1051" w:rsidRDefault="006B2830" w:rsidP="00346836">
      <w:pPr>
        <w:jc w:val="both"/>
      </w:pPr>
      <w:r>
        <w:br w:type="page"/>
      </w:r>
    </w:p>
    <w:p w:rsidR="000E1051" w:rsidRDefault="006B2830" w:rsidP="00346836">
      <w:pPr>
        <w:pStyle w:val="Heading1"/>
        <w:spacing w:before="320" w:after="160"/>
        <w:jc w:val="both"/>
      </w:pPr>
      <w:r>
        <w:lastRenderedPageBreak/>
        <w:t>Abstract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i/>
          <w:sz w:val="22"/>
          <w:szCs w:val="22"/>
        </w:rPr>
        <w:t>Exiguobacterium</w:t>
      </w:r>
      <w:proofErr w:type="spellEnd"/>
      <w:r w:rsidRPr="00346836">
        <w:rPr>
          <w:i/>
          <w:sz w:val="22"/>
          <w:szCs w:val="22"/>
        </w:rPr>
        <w:t xml:space="preserve">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is an environmentally versatile bacterial sp</w:t>
      </w:r>
      <w:r w:rsidRPr="00346836">
        <w:rPr>
          <w:sz w:val="22"/>
          <w:szCs w:val="22"/>
        </w:rPr>
        <w:t xml:space="preserve">ecies recovered from diverse extreme habitats. This study independently reproduces and extends a published hybrid genome assembly and annotation pipeline for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strain TSS-3, isolated from a saline-alkaline spring (Chiapas, Mexico), using publish</w:t>
      </w:r>
      <w:r w:rsidRPr="00346836">
        <w:rPr>
          <w:sz w:val="22"/>
          <w:szCs w:val="22"/>
        </w:rPr>
        <w:t xml:space="preserve">ed raw Illumina and Oxford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sequencing data. Following quality control, trimming, and long-read filtering, hybrid assembly (</w:t>
      </w:r>
      <w:proofErr w:type="spellStart"/>
      <w:r w:rsidRPr="00346836">
        <w:rPr>
          <w:sz w:val="22"/>
          <w:szCs w:val="22"/>
        </w:rPr>
        <w:t>Unicycler</w:t>
      </w:r>
      <w:proofErr w:type="spellEnd"/>
      <w:r w:rsidRPr="00346836">
        <w:rPr>
          <w:sz w:val="22"/>
          <w:szCs w:val="22"/>
        </w:rPr>
        <w:t xml:space="preserve">) produced a complete, circularized chromosome (2,880,082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) and a small plasmid (4,645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), closely matching the </w:t>
      </w:r>
      <w:r w:rsidRPr="00346836">
        <w:rPr>
          <w:sz w:val="22"/>
          <w:szCs w:val="22"/>
        </w:rPr>
        <w:t xml:space="preserve">originally published assembly (QUAST: 100% genome fraction, 0 </w:t>
      </w:r>
      <w:proofErr w:type="spellStart"/>
      <w:r w:rsidRPr="00346836">
        <w:rPr>
          <w:sz w:val="22"/>
          <w:szCs w:val="22"/>
        </w:rPr>
        <w:t>misassemblies</w:t>
      </w:r>
      <w:proofErr w:type="spellEnd"/>
      <w:r w:rsidRPr="00346836">
        <w:rPr>
          <w:sz w:val="22"/>
          <w:szCs w:val="22"/>
        </w:rPr>
        <w:t xml:space="preserve"> against the reference). Genome completeness assessment (</w:t>
      </w:r>
      <w:proofErr w:type="spellStart"/>
      <w:r w:rsidRPr="00346836">
        <w:rPr>
          <w:sz w:val="22"/>
          <w:szCs w:val="22"/>
        </w:rPr>
        <w:t>CheckM</w:t>
      </w:r>
      <w:proofErr w:type="spellEnd"/>
      <w:r w:rsidRPr="00346836">
        <w:rPr>
          <w:sz w:val="22"/>
          <w:szCs w:val="22"/>
        </w:rPr>
        <w:t>) confirmed a highly complete and uncontaminated assembly (99.34% completeness, 0.66% contamination). Genome annotatio</w:t>
      </w:r>
      <w:r w:rsidRPr="00346836">
        <w:rPr>
          <w:sz w:val="22"/>
          <w:szCs w:val="22"/>
        </w:rPr>
        <w:t>n (</w:t>
      </w:r>
      <w:proofErr w:type="spellStart"/>
      <w:r w:rsidRPr="00346836">
        <w:rPr>
          <w:sz w:val="22"/>
          <w:szCs w:val="22"/>
        </w:rPr>
        <w:t>Prokka</w:t>
      </w:r>
      <w:proofErr w:type="spellEnd"/>
      <w:r w:rsidRPr="00346836">
        <w:rPr>
          <w:sz w:val="22"/>
          <w:szCs w:val="22"/>
        </w:rPr>
        <w:t>) identified 2,936 coding sequences, consistent with the originally reported annotation (2,900 CDS). Biosynthetic gene cluster mining (</w:t>
      </w:r>
      <w:proofErr w:type="spellStart"/>
      <w:r w:rsidRPr="00346836">
        <w:rPr>
          <w:sz w:val="22"/>
          <w:szCs w:val="22"/>
        </w:rPr>
        <w:t>antiSMASH</w:t>
      </w:r>
      <w:proofErr w:type="spellEnd"/>
      <w:r w:rsidRPr="00346836">
        <w:rPr>
          <w:sz w:val="22"/>
          <w:szCs w:val="22"/>
        </w:rPr>
        <w:t>) identified a terpene-precursor region and a terpene region containing carotenoid biosynthesis genes (</w:t>
      </w:r>
      <w:proofErr w:type="spellStart"/>
      <w:r w:rsidRPr="00346836">
        <w:rPr>
          <w:sz w:val="22"/>
          <w:szCs w:val="22"/>
        </w:rPr>
        <w:t>crtB</w:t>
      </w:r>
      <w:proofErr w:type="spellEnd"/>
      <w:r w:rsidRPr="00346836">
        <w:rPr>
          <w:sz w:val="22"/>
          <w:szCs w:val="22"/>
        </w:rPr>
        <w:t xml:space="preserve">, </w:t>
      </w:r>
      <w:proofErr w:type="spellStart"/>
      <w:r w:rsidRPr="00346836">
        <w:rPr>
          <w:sz w:val="22"/>
          <w:szCs w:val="22"/>
        </w:rPr>
        <w:t>crtN</w:t>
      </w:r>
      <w:proofErr w:type="spellEnd"/>
      <w:r w:rsidRPr="00346836">
        <w:rPr>
          <w:sz w:val="22"/>
          <w:szCs w:val="22"/>
        </w:rPr>
        <w:t xml:space="preserve">, </w:t>
      </w:r>
      <w:proofErr w:type="spellStart"/>
      <w:r w:rsidRPr="00346836">
        <w:rPr>
          <w:sz w:val="22"/>
          <w:szCs w:val="22"/>
        </w:rPr>
        <w:t>crtNb</w:t>
      </w:r>
      <w:proofErr w:type="spellEnd"/>
      <w:r w:rsidRPr="00346836">
        <w:rPr>
          <w:sz w:val="22"/>
          <w:szCs w:val="22"/>
        </w:rPr>
        <w:t xml:space="preserve">, </w:t>
      </w:r>
      <w:proofErr w:type="spellStart"/>
      <w:r w:rsidRPr="00346836">
        <w:rPr>
          <w:sz w:val="22"/>
          <w:szCs w:val="22"/>
        </w:rPr>
        <w:t>crtNc</w:t>
      </w:r>
      <w:proofErr w:type="spellEnd"/>
      <w:r w:rsidRPr="00346836">
        <w:rPr>
          <w:sz w:val="22"/>
          <w:szCs w:val="22"/>
        </w:rPr>
        <w:t>), corresponding to the C30 (</w:t>
      </w:r>
      <w:proofErr w:type="spellStart"/>
      <w:r w:rsidRPr="00346836">
        <w:rPr>
          <w:sz w:val="22"/>
          <w:szCs w:val="22"/>
        </w:rPr>
        <w:t>diapocarotenoid</w:t>
      </w:r>
      <w:proofErr w:type="spellEnd"/>
      <w:r w:rsidRPr="00346836">
        <w:rPr>
          <w:sz w:val="22"/>
          <w:szCs w:val="22"/>
        </w:rPr>
        <w:t xml:space="preserve">) branch of bacterial carotenoid biosynthesis. Average Nucleotide Identity analysis against the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type strain (96.21% ANI) confirmed species-level identity. These results indepe</w:t>
      </w:r>
      <w:r w:rsidRPr="00346836">
        <w:rPr>
          <w:sz w:val="22"/>
          <w:szCs w:val="22"/>
        </w:rPr>
        <w:t>ndently validate a published bacterial genome assembly using entirely free, cloud-based computational tools, and identify native carotenoid biosynthetic capacity in TSS-3 that provides genomic context — though not a direct compound-level match — for anti-i</w:t>
      </w:r>
      <w:r w:rsidRPr="00346836">
        <w:rPr>
          <w:sz w:val="22"/>
          <w:szCs w:val="22"/>
        </w:rPr>
        <w:t xml:space="preserve">nflammatory carotenoid activity previously characterized experimentally in a related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isolate (strain PZ163977).</w:t>
      </w:r>
    </w:p>
    <w:p w:rsidR="000E1051" w:rsidRDefault="006B2830" w:rsidP="00346836">
      <w:pPr>
        <w:pStyle w:val="Heading1"/>
        <w:spacing w:before="320" w:after="160"/>
        <w:jc w:val="both"/>
      </w:pPr>
      <w:r>
        <w:t>1. Introduction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i/>
          <w:sz w:val="22"/>
          <w:szCs w:val="22"/>
        </w:rPr>
        <w:t>Exiguobacterium</w:t>
      </w:r>
      <w:proofErr w:type="spellEnd"/>
      <w:r w:rsidRPr="00346836">
        <w:rPr>
          <w:i/>
          <w:sz w:val="22"/>
          <w:szCs w:val="22"/>
        </w:rPr>
        <w:t xml:space="preserve">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is a halotolerant, environmentally versatile bacterial species first isolated from deep-s</w:t>
      </w:r>
      <w:r w:rsidRPr="00346836">
        <w:rPr>
          <w:sz w:val="22"/>
          <w:szCs w:val="22"/>
        </w:rPr>
        <w:t xml:space="preserve">ea hydrothermal vent environments and subsequently reported from a range of extreme habitats, including saline springs and coastal marine sediments. During my MSc dissertation research, I isolated an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strain (PZ163977; </w:t>
      </w:r>
      <w:proofErr w:type="spellStart"/>
      <w:r w:rsidRPr="00346836">
        <w:rPr>
          <w:sz w:val="22"/>
          <w:szCs w:val="22"/>
        </w:rPr>
        <w:t>GenBank</w:t>
      </w:r>
      <w:proofErr w:type="spellEnd"/>
      <w:r w:rsidRPr="00346836">
        <w:rPr>
          <w:sz w:val="22"/>
          <w:szCs w:val="22"/>
        </w:rPr>
        <w:t xml:space="preserve"> accession PZ16397</w:t>
      </w:r>
      <w:r w:rsidRPr="00346836">
        <w:rPr>
          <w:sz w:val="22"/>
          <w:szCs w:val="22"/>
        </w:rPr>
        <w:t xml:space="preserve">7) from coastal fish water in Kerala, India, and characterized its bioactivity profile. GC-MS analysis of strain PZ163977 identified carotenoid pigments, including </w:t>
      </w:r>
      <w:proofErr w:type="spellStart"/>
      <w:r w:rsidRPr="00346836">
        <w:rPr>
          <w:sz w:val="22"/>
          <w:szCs w:val="22"/>
        </w:rPr>
        <w:t>astaxanthin</w:t>
      </w:r>
      <w:proofErr w:type="spellEnd"/>
      <w:r w:rsidRPr="00346836">
        <w:rPr>
          <w:sz w:val="22"/>
          <w:szCs w:val="22"/>
        </w:rPr>
        <w:t xml:space="preserve"> and </w:t>
      </w:r>
      <w:proofErr w:type="spellStart"/>
      <w:r w:rsidRPr="00346836">
        <w:rPr>
          <w:sz w:val="22"/>
          <w:szCs w:val="22"/>
        </w:rPr>
        <w:t>lycoxanthin</w:t>
      </w:r>
      <w:proofErr w:type="spellEnd"/>
      <w:r w:rsidRPr="00346836">
        <w:rPr>
          <w:sz w:val="22"/>
          <w:szCs w:val="22"/>
        </w:rPr>
        <w:t>, alongside 13-docosenamide (</w:t>
      </w:r>
      <w:proofErr w:type="spellStart"/>
      <w:r w:rsidRPr="00346836">
        <w:rPr>
          <w:sz w:val="22"/>
          <w:szCs w:val="22"/>
        </w:rPr>
        <w:t>erucamide</w:t>
      </w:r>
      <w:proofErr w:type="spellEnd"/>
      <w:r w:rsidRPr="00346836">
        <w:rPr>
          <w:sz w:val="22"/>
          <w:szCs w:val="22"/>
        </w:rPr>
        <w:t>). Biochemical assays demon</w:t>
      </w:r>
      <w:r w:rsidRPr="00346836">
        <w:rPr>
          <w:sz w:val="22"/>
          <w:szCs w:val="22"/>
        </w:rPr>
        <w:t>strated anti-inflammatory activity via COX-2 inhibition (quantitative results withheld pending separate publication of the dissertation work).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A subsequent comparative genomics study (16S </w:t>
      </w:r>
      <w:proofErr w:type="spellStart"/>
      <w:r w:rsidRPr="00346836">
        <w:rPr>
          <w:sz w:val="22"/>
          <w:szCs w:val="22"/>
        </w:rPr>
        <w:t>rRNA</w:t>
      </w:r>
      <w:proofErr w:type="spellEnd"/>
      <w:r w:rsidRPr="00346836">
        <w:rPr>
          <w:sz w:val="22"/>
          <w:szCs w:val="22"/>
        </w:rPr>
        <w:t xml:space="preserve"> </w:t>
      </w:r>
      <w:proofErr w:type="spellStart"/>
      <w:r w:rsidRPr="00346836">
        <w:rPr>
          <w:sz w:val="22"/>
          <w:szCs w:val="22"/>
        </w:rPr>
        <w:t>phylogenetics</w:t>
      </w:r>
      <w:proofErr w:type="spellEnd"/>
      <w:r w:rsidRPr="00346836">
        <w:rPr>
          <w:sz w:val="22"/>
          <w:szCs w:val="22"/>
        </w:rPr>
        <w:t>, pan-genome analysis, and antimicrobial resistanc</w:t>
      </w:r>
      <w:r w:rsidRPr="00346836">
        <w:rPr>
          <w:sz w:val="22"/>
          <w:szCs w:val="22"/>
        </w:rPr>
        <w:t xml:space="preserve">e profiling across ten </w:t>
      </w:r>
      <w:proofErr w:type="spellStart"/>
      <w:r w:rsidRPr="00346836">
        <w:rPr>
          <w:sz w:val="22"/>
          <w:szCs w:val="22"/>
        </w:rPr>
        <w:t>Exiguobacterium</w:t>
      </w:r>
      <w:proofErr w:type="spellEnd"/>
      <w:r w:rsidRPr="00346836">
        <w:rPr>
          <w:sz w:val="22"/>
          <w:szCs w:val="22"/>
        </w:rPr>
        <w:t xml:space="preserve"> genomes) was conducted using the BV-BRC platform, placing PZ163977 within a marine/environmental clade of the genus.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The present project extends this work by independently re-analyzing publicly available whole-genome </w:t>
      </w:r>
      <w:r w:rsidRPr="00346836">
        <w:rPr>
          <w:sz w:val="22"/>
          <w:szCs w:val="22"/>
        </w:rPr>
        <w:t xml:space="preserve">sequencing data for a closely related strain,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TSS-3, isolated from a saline-alkaline spring in Chiapas, Mexico (</w:t>
      </w:r>
      <w:proofErr w:type="spellStart"/>
      <w:r w:rsidRPr="00346836">
        <w:rPr>
          <w:sz w:val="22"/>
          <w:szCs w:val="22"/>
        </w:rPr>
        <w:t>Rincón</w:t>
      </w:r>
      <w:proofErr w:type="spellEnd"/>
      <w:r w:rsidRPr="00346836">
        <w:rPr>
          <w:sz w:val="22"/>
          <w:szCs w:val="22"/>
        </w:rPr>
        <w:t>-Rosales et al., 2023). TSS-3 and PZ163977 are the same species from geographically and environmentally distinct sources, mak</w:t>
      </w:r>
      <w:r w:rsidRPr="00346836">
        <w:rPr>
          <w:sz w:val="22"/>
          <w:szCs w:val="22"/>
        </w:rPr>
        <w:t>ing TSS-3 a natural comparator for examining which genomic features — particularly biosynthetic gene clusters for carotenoid biosynthesis — are conserved across the species versus specific to individual strains or environments.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The specific aims of this re</w:t>
      </w:r>
      <w:r w:rsidRPr="00346836">
        <w:rPr>
          <w:sz w:val="22"/>
          <w:szCs w:val="22"/>
        </w:rPr>
        <w:t>-analysis are to: (</w:t>
      </w:r>
      <w:proofErr w:type="spellStart"/>
      <w:r w:rsidRPr="00346836">
        <w:rPr>
          <w:sz w:val="22"/>
          <w:szCs w:val="22"/>
        </w:rPr>
        <w:t>i</w:t>
      </w:r>
      <w:proofErr w:type="spellEnd"/>
      <w:r w:rsidRPr="00346836">
        <w:rPr>
          <w:sz w:val="22"/>
          <w:szCs w:val="22"/>
        </w:rPr>
        <w:t>) independently reproduce a published bacterial genome assembly and annotation pipeline using public raw sequencing data; (ii) identify biosynthetic gene clusters (BGCs) in the TSS-3 genome, in particular any terpene/carotenoid cluster;</w:t>
      </w:r>
      <w:r w:rsidRPr="00346836">
        <w:rPr>
          <w:sz w:val="22"/>
          <w:szCs w:val="22"/>
        </w:rPr>
        <w:t xml:space="preserve"> and (iii) evaluate whether the presence of such a cluster in TSS-3 provides genomic-level support for the anti-inflammatory carotenoid bioactivity measured experimentally in strain PZ163977.</w:t>
      </w:r>
    </w:p>
    <w:p w:rsidR="000E1051" w:rsidRDefault="006B2830" w:rsidP="00346836">
      <w:pPr>
        <w:pStyle w:val="Heading1"/>
        <w:spacing w:before="320" w:after="160"/>
        <w:jc w:val="both"/>
      </w:pPr>
      <w:r>
        <w:t>2. Materials and Methods</w:t>
      </w:r>
    </w:p>
    <w:p w:rsidR="000E1051" w:rsidRDefault="006B2830" w:rsidP="00346836">
      <w:pPr>
        <w:pStyle w:val="Heading2"/>
        <w:spacing w:before="240" w:after="120"/>
        <w:jc w:val="both"/>
      </w:pPr>
      <w:r>
        <w:lastRenderedPageBreak/>
        <w:t>2.1 Data source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Raw Illumina and Oxford</w:t>
      </w:r>
      <w:r w:rsidRPr="00346836">
        <w:rPr>
          <w:sz w:val="22"/>
          <w:szCs w:val="22"/>
        </w:rPr>
        <w:t xml:space="preserve">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sequencing reads for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TSS-3 were retrieved from the NCBI Sequence Read Archive under </w:t>
      </w:r>
      <w:proofErr w:type="spellStart"/>
      <w:r w:rsidRPr="00346836">
        <w:rPr>
          <w:sz w:val="22"/>
          <w:szCs w:val="22"/>
        </w:rPr>
        <w:t>BioProject</w:t>
      </w:r>
      <w:proofErr w:type="spellEnd"/>
      <w:r w:rsidRPr="00346836">
        <w:rPr>
          <w:sz w:val="22"/>
          <w:szCs w:val="22"/>
        </w:rPr>
        <w:t xml:space="preserve"> PRJNA887767 (</w:t>
      </w:r>
      <w:proofErr w:type="spellStart"/>
      <w:r w:rsidRPr="00346836">
        <w:rPr>
          <w:sz w:val="22"/>
          <w:szCs w:val="22"/>
        </w:rPr>
        <w:t>Rincón</w:t>
      </w:r>
      <w:proofErr w:type="spellEnd"/>
      <w:r w:rsidRPr="00346836">
        <w:rPr>
          <w:sz w:val="22"/>
          <w:szCs w:val="22"/>
        </w:rPr>
        <w:t xml:space="preserve">-Rosales et al., 2023, Microbiology Resource Announcements </w:t>
      </w:r>
      <w:proofErr w:type="gramStart"/>
      <w:r w:rsidRPr="00346836">
        <w:rPr>
          <w:sz w:val="22"/>
          <w:szCs w:val="22"/>
        </w:rPr>
        <w:t>12:e</w:t>
      </w:r>
      <w:proofErr w:type="gramEnd"/>
      <w:r w:rsidRPr="00346836">
        <w:rPr>
          <w:sz w:val="22"/>
          <w:szCs w:val="22"/>
        </w:rPr>
        <w:t>00171-23). Two sequencing runs were used: SRR24916835 (I</w:t>
      </w:r>
      <w:r w:rsidRPr="00346836">
        <w:rPr>
          <w:sz w:val="22"/>
          <w:szCs w:val="22"/>
        </w:rPr>
        <w:t xml:space="preserve">llumina </w:t>
      </w:r>
      <w:proofErr w:type="spellStart"/>
      <w:r w:rsidRPr="00346836">
        <w:rPr>
          <w:sz w:val="22"/>
          <w:szCs w:val="22"/>
        </w:rPr>
        <w:t>NovaSeq</w:t>
      </w:r>
      <w:proofErr w:type="spellEnd"/>
      <w:r w:rsidRPr="00346836">
        <w:rPr>
          <w:sz w:val="22"/>
          <w:szCs w:val="22"/>
        </w:rPr>
        <w:t xml:space="preserve"> 6000, paired-end, 150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, 12,134,956 read pairs) and SRR24916834 (Oxford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</w:t>
      </w:r>
      <w:proofErr w:type="spellStart"/>
      <w:r w:rsidRPr="00346836">
        <w:rPr>
          <w:sz w:val="22"/>
          <w:szCs w:val="22"/>
        </w:rPr>
        <w:t>MinION</w:t>
      </w:r>
      <w:proofErr w:type="spellEnd"/>
      <w:r w:rsidRPr="00346836">
        <w:rPr>
          <w:sz w:val="22"/>
          <w:szCs w:val="22"/>
        </w:rPr>
        <w:t xml:space="preserve">, 64,387 reads, read lengths 43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–141,385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). The published complete genome assembly for this </w:t>
      </w:r>
      <w:proofErr w:type="spellStart"/>
      <w:r w:rsidRPr="00346836">
        <w:rPr>
          <w:sz w:val="22"/>
          <w:szCs w:val="22"/>
        </w:rPr>
        <w:t>BioProject</w:t>
      </w:r>
      <w:proofErr w:type="spellEnd"/>
      <w:r w:rsidRPr="00346836">
        <w:rPr>
          <w:sz w:val="22"/>
          <w:szCs w:val="22"/>
        </w:rPr>
        <w:t xml:space="preserve"> (GCA_029026745.1) was retained for use as a r</w:t>
      </w:r>
      <w:r w:rsidRPr="00346836">
        <w:rPr>
          <w:sz w:val="22"/>
          <w:szCs w:val="22"/>
        </w:rPr>
        <w:t>eference in downstream assembly quality assessment.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b/>
          <w:bCs/>
          <w:sz w:val="22"/>
          <w:szCs w:val="22"/>
        </w:rPr>
        <w:t xml:space="preserve">Deviation from planned protocol: </w:t>
      </w:r>
      <w:r w:rsidRPr="00346836">
        <w:rPr>
          <w:sz w:val="22"/>
          <w:szCs w:val="22"/>
        </w:rPr>
        <w:t>raw reads were retrieved by direct HTTP download of FASTQ files from the European Nucleotide Archive (ENA), rather than via the Galaxy "Faster Download and Extract Reads i</w:t>
      </w:r>
      <w:r w:rsidRPr="00346836">
        <w:rPr>
          <w:sz w:val="22"/>
          <w:szCs w:val="22"/>
        </w:rPr>
        <w:t>n FASTQ" (</w:t>
      </w:r>
      <w:proofErr w:type="spellStart"/>
      <w:r w:rsidRPr="00346836">
        <w:rPr>
          <w:sz w:val="22"/>
          <w:szCs w:val="22"/>
        </w:rPr>
        <w:t>fasterq</w:t>
      </w:r>
      <w:proofErr w:type="spellEnd"/>
      <w:r w:rsidRPr="00346836">
        <w:rPr>
          <w:sz w:val="22"/>
          <w:szCs w:val="22"/>
        </w:rPr>
        <w:t>-dump) tool as originally planned. The Galaxy SRA-download tool failed to complete on the available public server instance; direct ENA retrieval was used as a reliable substitute and produced identical raw read data (verified by matching r</w:t>
      </w:r>
      <w:r w:rsidRPr="00346836">
        <w:rPr>
          <w:sz w:val="22"/>
          <w:szCs w:val="22"/>
        </w:rPr>
        <w:t>ead counts and file sizes to the SRA metadata records).</w:t>
      </w:r>
    </w:p>
    <w:p w:rsidR="000E1051" w:rsidRDefault="006B2830" w:rsidP="00346836">
      <w:pPr>
        <w:pStyle w:val="Heading2"/>
        <w:spacing w:before="240" w:after="120"/>
        <w:jc w:val="both"/>
      </w:pPr>
      <w:r>
        <w:t>2.2 Quality control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Read quality was assessed using </w:t>
      </w:r>
      <w:proofErr w:type="spellStart"/>
      <w:r w:rsidRPr="00346836">
        <w:rPr>
          <w:sz w:val="22"/>
          <w:szCs w:val="22"/>
        </w:rPr>
        <w:t>FastQC</w:t>
      </w:r>
      <w:proofErr w:type="spellEnd"/>
      <w:r w:rsidRPr="00346836">
        <w:rPr>
          <w:sz w:val="22"/>
          <w:szCs w:val="22"/>
        </w:rPr>
        <w:t xml:space="preserve"> v0.12.1 (Galaxy toolshed wrapper) for all three raw read files (Illumina R1, Illumina R2, and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). Standard </w:t>
      </w:r>
      <w:proofErr w:type="spellStart"/>
      <w:r w:rsidRPr="00346836">
        <w:rPr>
          <w:sz w:val="22"/>
          <w:szCs w:val="22"/>
        </w:rPr>
        <w:t>FastQC</w:t>
      </w:r>
      <w:proofErr w:type="spellEnd"/>
      <w:r w:rsidRPr="00346836">
        <w:rPr>
          <w:sz w:val="22"/>
          <w:szCs w:val="22"/>
        </w:rPr>
        <w:t xml:space="preserve"> modules were reviewe</w:t>
      </w:r>
      <w:r w:rsidRPr="00346836">
        <w:rPr>
          <w:sz w:val="22"/>
          <w:szCs w:val="22"/>
        </w:rPr>
        <w:t>d, including per-base sequence quality, per-sequence GC content, sequence duplication levels, and adapter content.</w:t>
      </w:r>
    </w:p>
    <w:p w:rsidR="000E1051" w:rsidRDefault="006B2830" w:rsidP="00346836">
      <w:pPr>
        <w:pStyle w:val="Heading2"/>
        <w:spacing w:before="240" w:after="120"/>
        <w:jc w:val="both"/>
      </w:pPr>
      <w:r>
        <w:t>2.3 Illumina read trimming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Illumina paired-end reads were trimmed using </w:t>
      </w:r>
      <w:proofErr w:type="spellStart"/>
      <w:r w:rsidRPr="00346836">
        <w:rPr>
          <w:sz w:val="22"/>
          <w:szCs w:val="22"/>
        </w:rPr>
        <w:t>Trimmomatic</w:t>
      </w:r>
      <w:proofErr w:type="spellEnd"/>
      <w:r w:rsidRPr="00346836">
        <w:rPr>
          <w:sz w:val="22"/>
          <w:szCs w:val="22"/>
        </w:rPr>
        <w:t xml:space="preserve"> v0.39 (paired-end mode) with the following parameters: IL</w:t>
      </w:r>
      <w:r w:rsidRPr="00346836">
        <w:rPr>
          <w:sz w:val="22"/>
          <w:szCs w:val="22"/>
        </w:rPr>
        <w:t>LUMINACLIP (TruSeq3-PE adapter set; seed mismatches = 2, palindrome clip threshold = 30, simple clip threshold = 10, minimum adapter length = 8, keep-both-reads = true), LEADING:3, TRAILING:3, SLIDINGWINDOW:4:15, MINLEN:50.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b/>
          <w:bCs/>
          <w:sz w:val="22"/>
          <w:szCs w:val="22"/>
        </w:rPr>
        <w:t>Deviation from planned protocol:</w:t>
      </w:r>
      <w:r w:rsidRPr="00346836">
        <w:rPr>
          <w:b/>
          <w:bCs/>
          <w:sz w:val="22"/>
          <w:szCs w:val="22"/>
        </w:rPr>
        <w:t xml:space="preserve"> </w:t>
      </w:r>
      <w:proofErr w:type="spellStart"/>
      <w:r w:rsidRPr="00346836">
        <w:rPr>
          <w:sz w:val="22"/>
          <w:szCs w:val="22"/>
        </w:rPr>
        <w:t>Trimmomatic's</w:t>
      </w:r>
      <w:proofErr w:type="spellEnd"/>
      <w:r w:rsidRPr="00346836">
        <w:rPr>
          <w:sz w:val="22"/>
          <w:szCs w:val="22"/>
        </w:rPr>
        <w:t xml:space="preserve"> automatic quality-encoding detection failed on the Galaxy server ("Error: Unable to detect quality encoding"), causing initial job failures. This was resolved by explicitly specifying Phred33 encoding, which matched the Sanger/Illumina 1.9 e</w:t>
      </w:r>
      <w:r w:rsidRPr="00346836">
        <w:rPr>
          <w:sz w:val="22"/>
          <w:szCs w:val="22"/>
        </w:rPr>
        <w:t xml:space="preserve">ncoding already confirmed by the prior </w:t>
      </w:r>
      <w:proofErr w:type="spellStart"/>
      <w:r w:rsidRPr="00346836">
        <w:rPr>
          <w:sz w:val="22"/>
          <w:szCs w:val="22"/>
        </w:rPr>
        <w:t>FastQC</w:t>
      </w:r>
      <w:proofErr w:type="spellEnd"/>
      <w:r w:rsidRPr="00346836">
        <w:rPr>
          <w:sz w:val="22"/>
          <w:szCs w:val="22"/>
        </w:rPr>
        <w:t xml:space="preserve"> run. All reported trimming results reflect the corrected, successful run.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Only the paired output files (forward and reverse reads with both mates surviving trimming) were retained for downstream assembly; unpai</w:t>
      </w:r>
      <w:r w:rsidRPr="00346836">
        <w:rPr>
          <w:sz w:val="22"/>
          <w:szCs w:val="22"/>
        </w:rPr>
        <w:t>red output files were discarded.</w:t>
      </w:r>
    </w:p>
    <w:p w:rsidR="000E1051" w:rsidRDefault="006B2830" w:rsidP="00346836">
      <w:pPr>
        <w:pStyle w:val="Heading2"/>
        <w:spacing w:before="240" w:after="120"/>
        <w:jc w:val="both"/>
      </w:pPr>
      <w:r>
        <w:t xml:space="preserve">2.4 </w:t>
      </w:r>
      <w:proofErr w:type="spellStart"/>
      <w:r>
        <w:t>Nanopore</w:t>
      </w:r>
      <w:proofErr w:type="spellEnd"/>
      <w:r>
        <w:t xml:space="preserve"> read filtering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long reads were filtered using </w:t>
      </w:r>
      <w:proofErr w:type="spellStart"/>
      <w:r w:rsidRPr="00346836">
        <w:rPr>
          <w:sz w:val="22"/>
          <w:szCs w:val="22"/>
        </w:rPr>
        <w:t>Filtlong</w:t>
      </w:r>
      <w:proofErr w:type="spellEnd"/>
      <w:r w:rsidRPr="00346836">
        <w:rPr>
          <w:sz w:val="22"/>
          <w:szCs w:val="22"/>
        </w:rPr>
        <w:t xml:space="preserve"> v0.3.1 with a minimum read length of 500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 and a minimum mean quality score of 7 (--</w:t>
      </w:r>
      <w:proofErr w:type="spellStart"/>
      <w:r w:rsidRPr="00346836">
        <w:rPr>
          <w:sz w:val="22"/>
          <w:szCs w:val="22"/>
        </w:rPr>
        <w:t>min_length</w:t>
      </w:r>
      <w:proofErr w:type="spellEnd"/>
      <w:r w:rsidRPr="00346836">
        <w:rPr>
          <w:sz w:val="22"/>
          <w:szCs w:val="22"/>
        </w:rPr>
        <w:t xml:space="preserve"> 500 --</w:t>
      </w:r>
      <w:proofErr w:type="spellStart"/>
      <w:r w:rsidRPr="00346836">
        <w:rPr>
          <w:sz w:val="22"/>
          <w:szCs w:val="22"/>
        </w:rPr>
        <w:t>min_mean_q</w:t>
      </w:r>
      <w:proofErr w:type="spellEnd"/>
      <w:r w:rsidRPr="00346836">
        <w:rPr>
          <w:sz w:val="22"/>
          <w:szCs w:val="22"/>
        </w:rPr>
        <w:t xml:space="preserve"> 7).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b/>
          <w:bCs/>
          <w:sz w:val="22"/>
          <w:szCs w:val="22"/>
        </w:rPr>
        <w:t>Deviation from planned protoc</w:t>
      </w:r>
      <w:r w:rsidRPr="00346836">
        <w:rPr>
          <w:b/>
          <w:bCs/>
          <w:sz w:val="22"/>
          <w:szCs w:val="22"/>
        </w:rPr>
        <w:t xml:space="preserve">ol: </w:t>
      </w:r>
      <w:proofErr w:type="spellStart"/>
      <w:r w:rsidRPr="00346836">
        <w:rPr>
          <w:sz w:val="22"/>
          <w:szCs w:val="22"/>
        </w:rPr>
        <w:t>NanoFilt</w:t>
      </w:r>
      <w:proofErr w:type="spellEnd"/>
      <w:r w:rsidRPr="00346836">
        <w:rPr>
          <w:sz w:val="22"/>
          <w:szCs w:val="22"/>
        </w:rPr>
        <w:t xml:space="preserve">, originally specified for this step, was not available as an installed tool on the Galaxy instance used (usegalaxy.org). </w:t>
      </w:r>
      <w:proofErr w:type="spellStart"/>
      <w:r w:rsidRPr="00346836">
        <w:rPr>
          <w:sz w:val="22"/>
          <w:szCs w:val="22"/>
        </w:rPr>
        <w:t>Filtlong</w:t>
      </w:r>
      <w:proofErr w:type="spellEnd"/>
      <w:r w:rsidRPr="00346836">
        <w:rPr>
          <w:sz w:val="22"/>
          <w:szCs w:val="22"/>
        </w:rPr>
        <w:t xml:space="preserve"> was substituted as a functionally equivalent long-read length/quality filtering tool, using threshold parameters </w:t>
      </w:r>
      <w:r w:rsidRPr="00346836">
        <w:rPr>
          <w:sz w:val="22"/>
          <w:szCs w:val="22"/>
        </w:rPr>
        <w:t xml:space="preserve">(minimum length 500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, minimum mean quality 7) matched to the original </w:t>
      </w:r>
      <w:proofErr w:type="spellStart"/>
      <w:r w:rsidRPr="00346836">
        <w:rPr>
          <w:sz w:val="22"/>
          <w:szCs w:val="22"/>
        </w:rPr>
        <w:t>NanoFilt</w:t>
      </w:r>
      <w:proofErr w:type="spellEnd"/>
      <w:r w:rsidRPr="00346836">
        <w:rPr>
          <w:sz w:val="22"/>
          <w:szCs w:val="22"/>
        </w:rPr>
        <w:t xml:space="preserve"> protocol.</w:t>
      </w:r>
    </w:p>
    <w:p w:rsidR="000E1051" w:rsidRDefault="006B2830" w:rsidP="00346836">
      <w:pPr>
        <w:pStyle w:val="Heading2"/>
        <w:spacing w:before="240" w:after="120"/>
        <w:jc w:val="both"/>
      </w:pPr>
      <w:r>
        <w:t>2.5 Genome assembly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Hybrid genome assembly of trimmed Illumina and filtered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reads was performed using </w:t>
      </w:r>
      <w:proofErr w:type="spellStart"/>
      <w:r w:rsidRPr="00346836">
        <w:rPr>
          <w:sz w:val="22"/>
          <w:szCs w:val="22"/>
        </w:rPr>
        <w:t>Unicycler</w:t>
      </w:r>
      <w:proofErr w:type="spellEnd"/>
      <w:r w:rsidRPr="00346836">
        <w:rPr>
          <w:sz w:val="22"/>
          <w:szCs w:val="22"/>
        </w:rPr>
        <w:t xml:space="preserve"> v0.5.1 (normal bridging mode, default parame</w:t>
      </w:r>
      <w:r w:rsidRPr="00346836">
        <w:rPr>
          <w:sz w:val="22"/>
          <w:szCs w:val="22"/>
        </w:rPr>
        <w:t xml:space="preserve">ters; </w:t>
      </w:r>
      <w:proofErr w:type="spellStart"/>
      <w:r w:rsidRPr="00346836">
        <w:rPr>
          <w:sz w:val="22"/>
          <w:szCs w:val="22"/>
        </w:rPr>
        <w:t>SPAdes</w:t>
      </w:r>
      <w:proofErr w:type="spellEnd"/>
      <w:r w:rsidRPr="00346836">
        <w:rPr>
          <w:sz w:val="22"/>
          <w:szCs w:val="22"/>
        </w:rPr>
        <w:t xml:space="preserve"> v4.0.0 used internally for the short-read assembly graph), matching the assembly method used in the original TSS-3 genome publication. The assembly completed in 4 hours 4 minutes (Galaxy, usegalaxy.org).</w:t>
      </w:r>
    </w:p>
    <w:p w:rsidR="000E1051" w:rsidRDefault="006B2830" w:rsidP="00346836">
      <w:pPr>
        <w:pStyle w:val="Heading2"/>
        <w:spacing w:before="240" w:after="120"/>
        <w:jc w:val="both"/>
      </w:pPr>
      <w:r>
        <w:lastRenderedPageBreak/>
        <w:t>2.6 Assembly quality assessment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Assembly structural quality was assessed using QUAST v5.3.0, with the published TSS-3 assembly (GCA_029026745.1) supplied as the reference genome for alignment-based comparison. Default QUAST thresholds were used (minimum </w:t>
      </w:r>
      <w:proofErr w:type="spellStart"/>
      <w:r w:rsidRPr="00346836">
        <w:rPr>
          <w:sz w:val="22"/>
          <w:szCs w:val="22"/>
        </w:rPr>
        <w:t>contig</w:t>
      </w:r>
      <w:proofErr w:type="spellEnd"/>
      <w:r w:rsidRPr="00346836">
        <w:rPr>
          <w:sz w:val="22"/>
          <w:szCs w:val="22"/>
        </w:rPr>
        <w:t xml:space="preserve"> length 500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>, minimum alig</w:t>
      </w:r>
      <w:r w:rsidRPr="00346836">
        <w:rPr>
          <w:sz w:val="22"/>
          <w:szCs w:val="22"/>
        </w:rPr>
        <w:t xml:space="preserve">nment identity 95%). Genome completeness and contamination were independently assessed using </w:t>
      </w:r>
      <w:proofErr w:type="spellStart"/>
      <w:r w:rsidRPr="00346836">
        <w:rPr>
          <w:sz w:val="22"/>
          <w:szCs w:val="22"/>
        </w:rPr>
        <w:t>CheckM</w:t>
      </w:r>
      <w:proofErr w:type="spellEnd"/>
      <w:r w:rsidRPr="00346836">
        <w:rPr>
          <w:sz w:val="22"/>
          <w:szCs w:val="22"/>
        </w:rPr>
        <w:t xml:space="preserve"> v1.0.18 (lineage-specific workflow, run via </w:t>
      </w:r>
      <w:proofErr w:type="spellStart"/>
      <w:r w:rsidRPr="00346836">
        <w:rPr>
          <w:sz w:val="22"/>
          <w:szCs w:val="22"/>
        </w:rPr>
        <w:t>KBase</w:t>
      </w:r>
      <w:proofErr w:type="spellEnd"/>
      <w:r w:rsidRPr="00346836">
        <w:rPr>
          <w:sz w:val="22"/>
          <w:szCs w:val="22"/>
        </w:rPr>
        <w:t>), which compares recovered marker genes against a database of lineage-specific single-copy genes.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b/>
          <w:bCs/>
          <w:sz w:val="22"/>
          <w:szCs w:val="22"/>
        </w:rPr>
        <w:t>Deviatio</w:t>
      </w:r>
      <w:r w:rsidRPr="00346836">
        <w:rPr>
          <w:b/>
          <w:bCs/>
          <w:sz w:val="22"/>
          <w:szCs w:val="22"/>
        </w:rPr>
        <w:t xml:space="preserve">n from planned protocol: </w:t>
      </w:r>
      <w:r w:rsidRPr="00346836">
        <w:rPr>
          <w:sz w:val="22"/>
          <w:szCs w:val="22"/>
        </w:rPr>
        <w:t>the reference assembly (GCA_029026745.1) was retrieved by direct download from the NCBI genomes FTP site rather than through a Galaxy reference-fetching tool, for consistency with the ENA-based raw read retrieval approach described</w:t>
      </w:r>
      <w:r w:rsidRPr="00346836">
        <w:rPr>
          <w:sz w:val="22"/>
          <w:szCs w:val="22"/>
        </w:rPr>
        <w:t xml:space="preserve"> in Section 2.1.</w:t>
      </w:r>
    </w:p>
    <w:p w:rsidR="000E1051" w:rsidRDefault="006B2830" w:rsidP="00346836">
      <w:pPr>
        <w:pStyle w:val="Heading2"/>
        <w:spacing w:before="240" w:after="120"/>
        <w:jc w:val="both"/>
      </w:pPr>
      <w:r>
        <w:t>2.7 Genome annotation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The assembled genome was annotated using </w:t>
      </w:r>
      <w:proofErr w:type="spellStart"/>
      <w:r w:rsidRPr="00346836">
        <w:rPr>
          <w:sz w:val="22"/>
          <w:szCs w:val="22"/>
        </w:rPr>
        <w:t>Prokka</w:t>
      </w:r>
      <w:proofErr w:type="spellEnd"/>
      <w:r w:rsidRPr="00346836">
        <w:rPr>
          <w:sz w:val="22"/>
          <w:szCs w:val="22"/>
        </w:rPr>
        <w:t xml:space="preserve"> v1.14.6, with genus- and species-specific settings (Kingdom: Bacteria; Genus: </w:t>
      </w:r>
      <w:proofErr w:type="spellStart"/>
      <w:r w:rsidRPr="00346836">
        <w:rPr>
          <w:sz w:val="22"/>
          <w:szCs w:val="22"/>
        </w:rPr>
        <w:t>Exiguobacterium</w:t>
      </w:r>
      <w:proofErr w:type="spellEnd"/>
      <w:r w:rsidRPr="00346836">
        <w:rPr>
          <w:sz w:val="22"/>
          <w:szCs w:val="22"/>
        </w:rPr>
        <w:t xml:space="preserve">; Species: </w:t>
      </w:r>
      <w:proofErr w:type="spellStart"/>
      <w:r w:rsidRPr="00346836">
        <w:rPr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>; Strain: TSS-3; genus-specific BLAST database enabled).</w:t>
      </w:r>
      <w:r w:rsidRPr="00346836">
        <w:rPr>
          <w:sz w:val="22"/>
          <w:szCs w:val="22"/>
        </w:rPr>
        <w:t xml:space="preserve"> </w:t>
      </w:r>
      <w:proofErr w:type="spellStart"/>
      <w:r w:rsidRPr="00346836">
        <w:rPr>
          <w:sz w:val="22"/>
          <w:szCs w:val="22"/>
        </w:rPr>
        <w:t>rRNA</w:t>
      </w:r>
      <w:proofErr w:type="spellEnd"/>
      <w:r w:rsidRPr="00346836">
        <w:rPr>
          <w:sz w:val="22"/>
          <w:szCs w:val="22"/>
        </w:rPr>
        <w:t xml:space="preserve"> and </w:t>
      </w:r>
      <w:proofErr w:type="spellStart"/>
      <w:r w:rsidRPr="00346836">
        <w:rPr>
          <w:sz w:val="22"/>
          <w:szCs w:val="22"/>
        </w:rPr>
        <w:t>tRNA</w:t>
      </w:r>
      <w:proofErr w:type="spellEnd"/>
      <w:r w:rsidRPr="00346836">
        <w:rPr>
          <w:sz w:val="22"/>
          <w:szCs w:val="22"/>
        </w:rPr>
        <w:t xml:space="preserve"> prediction (</w:t>
      </w:r>
      <w:proofErr w:type="spellStart"/>
      <w:r w:rsidRPr="00346836">
        <w:rPr>
          <w:sz w:val="22"/>
          <w:szCs w:val="22"/>
        </w:rPr>
        <w:t>Barrnap</w:t>
      </w:r>
      <w:proofErr w:type="spellEnd"/>
      <w:r w:rsidRPr="00346836">
        <w:rPr>
          <w:sz w:val="22"/>
          <w:szCs w:val="22"/>
        </w:rPr>
        <w:t xml:space="preserve">, Aragorn) and </w:t>
      </w:r>
      <w:proofErr w:type="spellStart"/>
      <w:r w:rsidRPr="00346836">
        <w:rPr>
          <w:sz w:val="22"/>
          <w:szCs w:val="22"/>
        </w:rPr>
        <w:t>ncRNA</w:t>
      </w:r>
      <w:proofErr w:type="spellEnd"/>
      <w:r w:rsidRPr="00346836">
        <w:rPr>
          <w:sz w:val="22"/>
          <w:szCs w:val="22"/>
        </w:rPr>
        <w:t xml:space="preserve"> searching (Infernal + </w:t>
      </w:r>
      <w:proofErr w:type="spellStart"/>
      <w:r w:rsidRPr="00346836">
        <w:rPr>
          <w:sz w:val="22"/>
          <w:szCs w:val="22"/>
        </w:rPr>
        <w:t>Rfam</w:t>
      </w:r>
      <w:proofErr w:type="spellEnd"/>
      <w:r w:rsidRPr="00346836">
        <w:rPr>
          <w:sz w:val="22"/>
          <w:szCs w:val="22"/>
        </w:rPr>
        <w:t>) were enabled.</w:t>
      </w:r>
    </w:p>
    <w:p w:rsidR="000E1051" w:rsidRDefault="006B2830" w:rsidP="00346836">
      <w:pPr>
        <w:pStyle w:val="Heading2"/>
        <w:spacing w:before="240" w:after="120"/>
        <w:jc w:val="both"/>
      </w:pPr>
      <w:r>
        <w:t>2.8 Biosynthetic gene cluster mining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Biosynthetic gene clusters (BGCs) were identified using </w:t>
      </w:r>
      <w:proofErr w:type="spellStart"/>
      <w:r w:rsidRPr="00346836">
        <w:rPr>
          <w:sz w:val="22"/>
          <w:szCs w:val="22"/>
        </w:rPr>
        <w:t>antiSMASH</w:t>
      </w:r>
      <w:proofErr w:type="spellEnd"/>
      <w:r w:rsidRPr="00346836">
        <w:rPr>
          <w:sz w:val="22"/>
          <w:szCs w:val="22"/>
        </w:rPr>
        <w:t xml:space="preserve"> v8.0.4 (relaxed detection strictness), with the </w:t>
      </w:r>
      <w:proofErr w:type="spellStart"/>
      <w:r w:rsidRPr="00346836">
        <w:rPr>
          <w:sz w:val="22"/>
          <w:szCs w:val="22"/>
        </w:rPr>
        <w:t>Prokka</w:t>
      </w:r>
      <w:proofErr w:type="spellEnd"/>
      <w:r w:rsidRPr="00346836">
        <w:rPr>
          <w:sz w:val="22"/>
          <w:szCs w:val="22"/>
        </w:rPr>
        <w:t>-g</w:t>
      </w:r>
      <w:r w:rsidRPr="00346836">
        <w:rPr>
          <w:sz w:val="22"/>
          <w:szCs w:val="22"/>
        </w:rPr>
        <w:t xml:space="preserve">enerated </w:t>
      </w:r>
      <w:proofErr w:type="spellStart"/>
      <w:r w:rsidRPr="00346836">
        <w:rPr>
          <w:sz w:val="22"/>
          <w:szCs w:val="22"/>
        </w:rPr>
        <w:t>GenBank</w:t>
      </w:r>
      <w:proofErr w:type="spellEnd"/>
      <w:r w:rsidRPr="00346836">
        <w:rPr>
          <w:sz w:val="22"/>
          <w:szCs w:val="22"/>
        </w:rPr>
        <w:t xml:space="preserve"> </w:t>
      </w:r>
      <w:proofErr w:type="gramStart"/>
      <w:r w:rsidRPr="00346836">
        <w:rPr>
          <w:sz w:val="22"/>
          <w:szCs w:val="22"/>
        </w:rPr>
        <w:t>(.</w:t>
      </w:r>
      <w:proofErr w:type="spellStart"/>
      <w:r w:rsidRPr="00346836">
        <w:rPr>
          <w:sz w:val="22"/>
          <w:szCs w:val="22"/>
        </w:rPr>
        <w:t>gbk</w:t>
      </w:r>
      <w:proofErr w:type="spellEnd"/>
      <w:proofErr w:type="gramEnd"/>
      <w:r w:rsidRPr="00346836">
        <w:rPr>
          <w:sz w:val="22"/>
          <w:szCs w:val="22"/>
        </w:rPr>
        <w:t xml:space="preserve">) file supplied as input. </w:t>
      </w:r>
      <w:proofErr w:type="spellStart"/>
      <w:r w:rsidRPr="00346836">
        <w:rPr>
          <w:sz w:val="22"/>
          <w:szCs w:val="22"/>
        </w:rPr>
        <w:t>ClusterBlast</w:t>
      </w:r>
      <w:proofErr w:type="spellEnd"/>
      <w:r w:rsidRPr="00346836">
        <w:rPr>
          <w:sz w:val="22"/>
          <w:szCs w:val="22"/>
        </w:rPr>
        <w:t xml:space="preserve">, </w:t>
      </w:r>
      <w:proofErr w:type="spellStart"/>
      <w:r w:rsidRPr="00346836">
        <w:rPr>
          <w:sz w:val="22"/>
          <w:szCs w:val="22"/>
        </w:rPr>
        <w:t>KnownClusterBlast</w:t>
      </w:r>
      <w:proofErr w:type="spellEnd"/>
      <w:r w:rsidRPr="00346836">
        <w:rPr>
          <w:sz w:val="22"/>
          <w:szCs w:val="22"/>
        </w:rPr>
        <w:t xml:space="preserve">, and </w:t>
      </w:r>
      <w:proofErr w:type="spellStart"/>
      <w:r w:rsidRPr="00346836">
        <w:rPr>
          <w:sz w:val="22"/>
          <w:szCs w:val="22"/>
        </w:rPr>
        <w:t>SubClusterBlast</w:t>
      </w:r>
      <w:proofErr w:type="spellEnd"/>
      <w:r w:rsidRPr="00346836">
        <w:rPr>
          <w:sz w:val="22"/>
          <w:szCs w:val="22"/>
        </w:rPr>
        <w:t xml:space="preserve"> comparison modules were enabled to assess similarity to characterized clusters in the </w:t>
      </w:r>
      <w:proofErr w:type="spellStart"/>
      <w:r w:rsidRPr="00346836">
        <w:rPr>
          <w:sz w:val="22"/>
          <w:szCs w:val="22"/>
        </w:rPr>
        <w:t>MIBiG</w:t>
      </w:r>
      <w:proofErr w:type="spellEnd"/>
      <w:r w:rsidRPr="00346836">
        <w:rPr>
          <w:sz w:val="22"/>
          <w:szCs w:val="22"/>
        </w:rPr>
        <w:t xml:space="preserve"> database.</w:t>
      </w:r>
    </w:p>
    <w:p w:rsidR="000E1051" w:rsidRDefault="006B2830" w:rsidP="00346836">
      <w:pPr>
        <w:pStyle w:val="Heading2"/>
        <w:spacing w:before="240" w:after="120"/>
        <w:jc w:val="both"/>
      </w:pPr>
      <w:r>
        <w:t>2.9 Comparative genomics (Average Nucleotide Identity</w:t>
      </w:r>
      <w:r>
        <w:t>)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Average Nucleotide Identity (</w:t>
      </w:r>
      <w:proofErr w:type="spellStart"/>
      <w:r w:rsidRPr="00346836">
        <w:rPr>
          <w:sz w:val="22"/>
          <w:szCs w:val="22"/>
        </w:rPr>
        <w:t>OrthoANIu</w:t>
      </w:r>
      <w:proofErr w:type="spellEnd"/>
      <w:r w:rsidRPr="00346836">
        <w:rPr>
          <w:sz w:val="22"/>
          <w:szCs w:val="22"/>
        </w:rPr>
        <w:t xml:space="preserve"> algorithm) between the TSS-3 assembly and the </w:t>
      </w:r>
      <w:r w:rsidRPr="00346836">
        <w:rPr>
          <w:i/>
          <w:sz w:val="22"/>
          <w:szCs w:val="22"/>
        </w:rPr>
        <w:t xml:space="preserve">E. </w:t>
      </w:r>
      <w:proofErr w:type="spellStart"/>
      <w:r w:rsidRPr="00346836">
        <w:rPr>
          <w:i/>
          <w:sz w:val="22"/>
          <w:szCs w:val="22"/>
        </w:rPr>
        <w:t>profundum</w:t>
      </w:r>
      <w:proofErr w:type="spellEnd"/>
      <w:r w:rsidRPr="00346836">
        <w:rPr>
          <w:sz w:val="22"/>
          <w:szCs w:val="22"/>
        </w:rPr>
        <w:t xml:space="preserve"> type strain 10C (GCF_025234635.1) was calculated using the </w:t>
      </w:r>
      <w:proofErr w:type="spellStart"/>
      <w:r w:rsidRPr="00346836">
        <w:rPr>
          <w:sz w:val="22"/>
          <w:szCs w:val="22"/>
        </w:rPr>
        <w:t>EzBioCloud</w:t>
      </w:r>
      <w:proofErr w:type="spellEnd"/>
      <w:r w:rsidRPr="00346836">
        <w:rPr>
          <w:sz w:val="22"/>
          <w:szCs w:val="22"/>
        </w:rPr>
        <w:t xml:space="preserve"> ANI Calculator. The type strain reference genome was retrieved from the NCBI genomes F</w:t>
      </w:r>
      <w:r w:rsidRPr="00346836">
        <w:rPr>
          <w:sz w:val="22"/>
          <w:szCs w:val="22"/>
        </w:rPr>
        <w:t>TP site.</w:t>
      </w:r>
    </w:p>
    <w:p w:rsidR="000E1051" w:rsidRDefault="006B2830" w:rsidP="00346836">
      <w:pPr>
        <w:pStyle w:val="Heading1"/>
        <w:spacing w:before="320" w:after="160"/>
        <w:jc w:val="both"/>
      </w:pPr>
      <w:r>
        <w:t>3. Results</w:t>
      </w:r>
    </w:p>
    <w:p w:rsidR="000E1051" w:rsidRDefault="006B2830" w:rsidP="00346836">
      <w:pPr>
        <w:pStyle w:val="Heading2"/>
        <w:spacing w:before="240" w:after="120"/>
        <w:jc w:val="both"/>
      </w:pPr>
      <w:r>
        <w:t>3.1 Read quality control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Basic Statistics and quality metrics for all three raw read datasets are summarized in Table 1.</w:t>
      </w:r>
    </w:p>
    <w:tbl>
      <w:tblPr>
        <w:tblW w:w="10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7"/>
        <w:gridCol w:w="1313"/>
        <w:gridCol w:w="1313"/>
        <w:gridCol w:w="1559"/>
        <w:gridCol w:w="738"/>
        <w:gridCol w:w="2676"/>
      </w:tblGrid>
      <w:tr w:rsidR="000E1051" w:rsidTr="00346836">
        <w:tblPrEx>
          <w:tblCellMar>
            <w:top w:w="0" w:type="dxa"/>
            <w:bottom w:w="0" w:type="dxa"/>
          </w:tblCellMar>
        </w:tblPrEx>
        <w:trPr>
          <w:trHeight w:val="266"/>
          <w:tblHeader/>
        </w:trPr>
        <w:tc>
          <w:tcPr>
            <w:tcW w:w="2627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Dataset</w:t>
            </w:r>
          </w:p>
        </w:tc>
        <w:tc>
          <w:tcPr>
            <w:tcW w:w="1313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Reads</w:t>
            </w:r>
          </w:p>
        </w:tc>
        <w:tc>
          <w:tcPr>
            <w:tcW w:w="1313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Total bases</w:t>
            </w:r>
          </w:p>
        </w:tc>
        <w:tc>
          <w:tcPr>
            <w:tcW w:w="1559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Mean quality</w:t>
            </w:r>
          </w:p>
        </w:tc>
        <w:tc>
          <w:tcPr>
            <w:tcW w:w="738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GC%</w:t>
            </w:r>
          </w:p>
        </w:tc>
        <w:tc>
          <w:tcPr>
            <w:tcW w:w="2676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Notes</w:t>
            </w:r>
          </w:p>
        </w:tc>
      </w:tr>
      <w:tr w:rsidR="000E1051" w:rsidTr="00346836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2627" w:type="dxa"/>
          </w:tcPr>
          <w:p w:rsidR="000E1051" w:rsidRDefault="006B2830" w:rsidP="00346836">
            <w:pPr>
              <w:jc w:val="both"/>
            </w:pPr>
            <w:r>
              <w:t>Illumina R1 (SRR24916835_1)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>12,134,956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 xml:space="preserve">1.8 </w:t>
            </w:r>
            <w:proofErr w:type="spellStart"/>
            <w:r>
              <w:t>Gbp</w:t>
            </w:r>
            <w:proofErr w:type="spellEnd"/>
          </w:p>
        </w:tc>
        <w:tc>
          <w:tcPr>
            <w:tcW w:w="1559" w:type="dxa"/>
          </w:tcPr>
          <w:p w:rsidR="000E1051" w:rsidRDefault="006B2830" w:rsidP="00346836">
            <w:pPr>
              <w:jc w:val="both"/>
            </w:pPr>
            <w:r>
              <w:t>Q30–31</w:t>
            </w:r>
          </w:p>
        </w:tc>
        <w:tc>
          <w:tcPr>
            <w:tcW w:w="738" w:type="dxa"/>
          </w:tcPr>
          <w:p w:rsidR="000E1051" w:rsidRDefault="006B2830" w:rsidP="00346836">
            <w:pPr>
              <w:jc w:val="both"/>
            </w:pPr>
            <w:r>
              <w:t>48</w:t>
            </w:r>
          </w:p>
        </w:tc>
        <w:tc>
          <w:tcPr>
            <w:tcW w:w="2676" w:type="dxa"/>
          </w:tcPr>
          <w:p w:rsidR="000E1051" w:rsidRDefault="006B2830" w:rsidP="00346836">
            <w:pPr>
              <w:jc w:val="both"/>
            </w:pPr>
            <w:r>
              <w:t>No adapter contamination detected</w:t>
            </w:r>
          </w:p>
        </w:tc>
      </w:tr>
      <w:tr w:rsidR="000E1051" w:rsidTr="00346836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2627" w:type="dxa"/>
          </w:tcPr>
          <w:p w:rsidR="000E1051" w:rsidRDefault="006B2830" w:rsidP="00346836">
            <w:pPr>
              <w:jc w:val="both"/>
            </w:pPr>
            <w:r>
              <w:t>Illumina R2 (SRR24916835_2)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>12,134,956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 xml:space="preserve">1.8 </w:t>
            </w:r>
            <w:proofErr w:type="spellStart"/>
            <w:r>
              <w:t>Gbp</w:t>
            </w:r>
            <w:proofErr w:type="spellEnd"/>
          </w:p>
        </w:tc>
        <w:tc>
          <w:tcPr>
            <w:tcW w:w="1559" w:type="dxa"/>
          </w:tcPr>
          <w:p w:rsidR="000E1051" w:rsidRDefault="006B2830" w:rsidP="00346836">
            <w:pPr>
              <w:jc w:val="both"/>
            </w:pPr>
            <w:r>
              <w:t>Q30–31</w:t>
            </w:r>
          </w:p>
        </w:tc>
        <w:tc>
          <w:tcPr>
            <w:tcW w:w="738" w:type="dxa"/>
          </w:tcPr>
          <w:p w:rsidR="000E1051" w:rsidRDefault="006B2830" w:rsidP="00346836">
            <w:pPr>
              <w:jc w:val="both"/>
            </w:pPr>
            <w:r>
              <w:t>48</w:t>
            </w:r>
          </w:p>
        </w:tc>
        <w:tc>
          <w:tcPr>
            <w:tcW w:w="2676" w:type="dxa"/>
          </w:tcPr>
          <w:p w:rsidR="000E1051" w:rsidRDefault="006B2830" w:rsidP="00346836">
            <w:pPr>
              <w:jc w:val="both"/>
            </w:pPr>
            <w:r>
              <w:t>Minor GC-content deviation flagged (not contamination)</w:t>
            </w:r>
          </w:p>
        </w:tc>
      </w:tr>
      <w:tr w:rsidR="000E1051" w:rsidTr="00346836">
        <w:tblPrEx>
          <w:tblCellMar>
            <w:top w:w="0" w:type="dxa"/>
            <w:bottom w:w="0" w:type="dxa"/>
          </w:tblCellMar>
        </w:tblPrEx>
        <w:trPr>
          <w:trHeight w:val="798"/>
        </w:trPr>
        <w:tc>
          <w:tcPr>
            <w:tcW w:w="2627" w:type="dxa"/>
          </w:tcPr>
          <w:p w:rsidR="000E1051" w:rsidRDefault="006B2830" w:rsidP="00346836">
            <w:pPr>
              <w:jc w:val="both"/>
            </w:pPr>
            <w:proofErr w:type="spellStart"/>
            <w:r>
              <w:t>Nanopore</w:t>
            </w:r>
            <w:proofErr w:type="spellEnd"/>
            <w:r>
              <w:t xml:space="preserve"> (SRR24916834)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>64,387</w:t>
            </w:r>
          </w:p>
        </w:tc>
        <w:tc>
          <w:tcPr>
            <w:tcW w:w="1313" w:type="dxa"/>
          </w:tcPr>
          <w:p w:rsidR="000E1051" w:rsidRDefault="006B2830" w:rsidP="00346836">
            <w:pPr>
              <w:jc w:val="both"/>
            </w:pPr>
            <w:r>
              <w:t xml:space="preserve">583.8 </w:t>
            </w:r>
            <w:proofErr w:type="spellStart"/>
            <w:r>
              <w:t>Mbp</w:t>
            </w:r>
            <w:proofErr w:type="spellEnd"/>
          </w:p>
        </w:tc>
        <w:tc>
          <w:tcPr>
            <w:tcW w:w="1559" w:type="dxa"/>
          </w:tcPr>
          <w:p w:rsidR="000E1051" w:rsidRDefault="006B2830" w:rsidP="00346836">
            <w:pPr>
              <w:jc w:val="both"/>
            </w:pPr>
            <w:r>
              <w:t>Lower/variable (platform-typical)</w:t>
            </w:r>
          </w:p>
        </w:tc>
        <w:tc>
          <w:tcPr>
            <w:tcW w:w="738" w:type="dxa"/>
          </w:tcPr>
          <w:p w:rsidR="000E1051" w:rsidRDefault="006B2830" w:rsidP="00346836">
            <w:pPr>
              <w:jc w:val="both"/>
            </w:pPr>
            <w:r>
              <w:t>47</w:t>
            </w:r>
          </w:p>
        </w:tc>
        <w:tc>
          <w:tcPr>
            <w:tcW w:w="2676" w:type="dxa"/>
          </w:tcPr>
          <w:p w:rsidR="000E1051" w:rsidRDefault="006B2830" w:rsidP="00346836">
            <w:pPr>
              <w:jc w:val="both"/>
            </w:pPr>
            <w:r>
              <w:t xml:space="preserve">Length range 43 </w:t>
            </w:r>
            <w:proofErr w:type="spellStart"/>
            <w:r>
              <w:t>bp</w:t>
            </w:r>
            <w:proofErr w:type="spellEnd"/>
            <w:r>
              <w:t xml:space="preserve">–141 kb; WARN/FAIL flags typical for </w:t>
            </w:r>
            <w:proofErr w:type="spellStart"/>
            <w:r>
              <w:t>Nanopore</w:t>
            </w:r>
            <w:proofErr w:type="spellEnd"/>
            <w:r>
              <w:t xml:space="preserve"> chemistry</w:t>
            </w:r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Table 1. Summary quality metrics from </w:t>
      </w:r>
      <w:proofErr w:type="spellStart"/>
      <w:r>
        <w:rPr>
          <w:i/>
          <w:iCs/>
        </w:rPr>
        <w:t>FastQC</w:t>
      </w:r>
      <w:proofErr w:type="spellEnd"/>
      <w:r>
        <w:rPr>
          <w:i/>
          <w:iCs/>
        </w:rPr>
        <w:t xml:space="preserve"> v0.12.1 for raw Illumina and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read datasets.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Measured GC content for all three datasets (47–48%) closely matched the published TSS-3 chromosome GC content (48.16%), indicating no detectable cross-contamination from a different organism.</w:t>
      </w:r>
    </w:p>
    <w:p w:rsidR="000E1051" w:rsidRDefault="006B2830" w:rsidP="00346836">
      <w:pPr>
        <w:spacing w:after="80"/>
        <w:jc w:val="both"/>
      </w:pPr>
      <w:r>
        <w:rPr>
          <w:noProof/>
        </w:rPr>
        <w:lastRenderedPageBreak/>
        <w:drawing>
          <wp:inline distT="0" distB="0" distL="0" distR="0">
            <wp:extent cx="4356100" cy="324802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580" r="-1"/>
                    <a:stretch/>
                  </pic:blipFill>
                  <pic:spPr bwMode="auto">
                    <a:xfrm>
                      <a:off x="0" y="0"/>
                      <a:ext cx="435610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>Figure 1. Per-base sequence quality, Illumina R1 (SRR24916835_</w:t>
      </w:r>
      <w:r>
        <w:rPr>
          <w:i/>
          <w:iCs/>
        </w:rPr>
        <w:t>1).</w:t>
      </w:r>
    </w:p>
    <w:p w:rsidR="000E1051" w:rsidRDefault="006B2830" w:rsidP="00346836">
      <w:pPr>
        <w:spacing w:after="80"/>
        <w:jc w:val="both"/>
      </w:pPr>
      <w:r>
        <w:rPr>
          <w:noProof/>
        </w:rPr>
        <w:drawing>
          <wp:inline distT="0" distB="0" distL="0" distR="0">
            <wp:extent cx="4362450" cy="3267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435" r="1"/>
                    <a:stretch/>
                  </pic:blipFill>
                  <pic:spPr bwMode="auto">
                    <a:xfrm>
                      <a:off x="0" y="0"/>
                      <a:ext cx="43624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>Figure 2. Per-sequence GC content, Illumina R1 (SRR24916835_1).</w:t>
      </w:r>
    </w:p>
    <w:p w:rsidR="000E1051" w:rsidRDefault="006B2830" w:rsidP="00346836">
      <w:pPr>
        <w:spacing w:after="80"/>
        <w:jc w:val="both"/>
      </w:pPr>
      <w:r>
        <w:rPr>
          <w:noProof/>
        </w:rPr>
        <w:lastRenderedPageBreak/>
        <w:drawing>
          <wp:inline distT="0" distB="0" distL="0" distR="0">
            <wp:extent cx="438150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>Figure 3. Per-base sequence quality, Illumina R2 (SRR24916835_2).</w:t>
      </w:r>
    </w:p>
    <w:p w:rsidR="000E1051" w:rsidRDefault="006B2830" w:rsidP="00346836">
      <w:pPr>
        <w:spacing w:after="80"/>
        <w:jc w:val="both"/>
      </w:pPr>
      <w:r>
        <w:rPr>
          <w:noProof/>
        </w:rPr>
        <w:drawing>
          <wp:inline distT="0" distB="0" distL="0" distR="0">
            <wp:extent cx="4381500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>Figure 4. Per-sequence GC content, Illumina R2 (SRR24916835_2).</w:t>
      </w:r>
    </w:p>
    <w:p w:rsidR="000E1051" w:rsidRDefault="006B2830" w:rsidP="00346836">
      <w:pPr>
        <w:spacing w:after="80"/>
        <w:jc w:val="both"/>
      </w:pPr>
      <w:r>
        <w:rPr>
          <w:noProof/>
        </w:rPr>
        <w:lastRenderedPageBreak/>
        <w:drawing>
          <wp:inline distT="0" distB="0" distL="0" distR="0">
            <wp:extent cx="436245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435" r="1"/>
                    <a:stretch/>
                  </pic:blipFill>
                  <pic:spPr bwMode="auto">
                    <a:xfrm>
                      <a:off x="0" y="0"/>
                      <a:ext cx="436245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5. Per-base sequence quality, raw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reads (SRR24916834).</w:t>
      </w:r>
    </w:p>
    <w:p w:rsidR="000E1051" w:rsidRDefault="006B2830" w:rsidP="00346836">
      <w:pPr>
        <w:spacing w:after="80"/>
        <w:jc w:val="both"/>
      </w:pPr>
      <w:r>
        <w:rPr>
          <w:noProof/>
        </w:rPr>
        <w:drawing>
          <wp:inline distT="0" distB="0" distL="0" distR="0">
            <wp:extent cx="4381500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6. Per-sequence GC content, raw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reads (SRR24916834).</w:t>
      </w:r>
    </w:p>
    <w:p w:rsidR="000E1051" w:rsidRDefault="006B2830" w:rsidP="00346836">
      <w:pPr>
        <w:pStyle w:val="Heading2"/>
        <w:spacing w:before="240" w:after="120"/>
        <w:jc w:val="both"/>
      </w:pPr>
      <w:r>
        <w:t>3.2 Illumina read trimming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t>Trimmomatic</w:t>
      </w:r>
      <w:proofErr w:type="spellEnd"/>
      <w:r w:rsidRPr="00346836">
        <w:rPr>
          <w:sz w:val="22"/>
          <w:szCs w:val="22"/>
        </w:rPr>
        <w:t xml:space="preserve"> trimming of Illumina paired-end reads retained the overwhelming majority of input data: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0"/>
        <w:gridCol w:w="4680"/>
      </w:tblGrid>
      <w:tr w:rsidR="000E10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8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Value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4780" w:type="dxa"/>
          </w:tcPr>
          <w:p w:rsidR="000E1051" w:rsidRDefault="006B2830" w:rsidP="00346836">
            <w:pPr>
              <w:jc w:val="both"/>
            </w:pPr>
            <w:r>
              <w:t>Input read pairs</w:t>
            </w:r>
          </w:p>
        </w:tc>
        <w:tc>
          <w:tcPr>
            <w:tcW w:w="4680" w:type="dxa"/>
          </w:tcPr>
          <w:p w:rsidR="000E1051" w:rsidRDefault="006B2830" w:rsidP="00346836">
            <w:pPr>
              <w:jc w:val="both"/>
            </w:pPr>
            <w:r>
              <w:t>12,134,956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4780" w:type="dxa"/>
          </w:tcPr>
          <w:p w:rsidR="000E1051" w:rsidRDefault="006B2830" w:rsidP="00346836">
            <w:pPr>
              <w:jc w:val="both"/>
            </w:pPr>
            <w:r>
              <w:t>Both surviving</w:t>
            </w:r>
          </w:p>
        </w:tc>
        <w:tc>
          <w:tcPr>
            <w:tcW w:w="4680" w:type="dxa"/>
          </w:tcPr>
          <w:p w:rsidR="000E1051" w:rsidRDefault="006B2830" w:rsidP="00346836">
            <w:pPr>
              <w:jc w:val="both"/>
            </w:pPr>
            <w:r>
              <w:t>12,134,888 (100.00%)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4780" w:type="dxa"/>
          </w:tcPr>
          <w:p w:rsidR="000E1051" w:rsidRDefault="006B2830" w:rsidP="00346836">
            <w:pPr>
              <w:jc w:val="both"/>
            </w:pPr>
            <w:r>
              <w:lastRenderedPageBreak/>
              <w:t>Dropped</w:t>
            </w:r>
          </w:p>
        </w:tc>
        <w:tc>
          <w:tcPr>
            <w:tcW w:w="4680" w:type="dxa"/>
          </w:tcPr>
          <w:p w:rsidR="000E1051" w:rsidRDefault="006B2830" w:rsidP="00346836">
            <w:pPr>
              <w:jc w:val="both"/>
            </w:pPr>
            <w:r>
              <w:t>68 (0.00%)</w:t>
            </w:r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Table 2. </w:t>
      </w:r>
      <w:proofErr w:type="spellStart"/>
      <w:r>
        <w:rPr>
          <w:i/>
          <w:iCs/>
        </w:rPr>
        <w:t>Trimmomatic</w:t>
      </w:r>
      <w:proofErr w:type="spellEnd"/>
      <w:r>
        <w:rPr>
          <w:i/>
          <w:iCs/>
        </w:rPr>
        <w:t xml:space="preserve"> v0.39 output summary for Illumina paired-end reads.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The near-complete survival rate is consistent with the high baseline read quality observed by </w:t>
      </w:r>
      <w:proofErr w:type="spellStart"/>
      <w:r w:rsidRPr="00346836">
        <w:rPr>
          <w:sz w:val="22"/>
          <w:szCs w:val="22"/>
        </w:rPr>
        <w:t>FastQC</w:t>
      </w:r>
      <w:proofErr w:type="spellEnd"/>
      <w:r w:rsidRPr="00346836">
        <w:rPr>
          <w:sz w:val="22"/>
          <w:szCs w:val="22"/>
        </w:rPr>
        <w:t xml:space="preserve"> (Section 3.1).</w:t>
      </w:r>
    </w:p>
    <w:p w:rsidR="000E1051" w:rsidRDefault="006B2830" w:rsidP="00346836">
      <w:pPr>
        <w:pStyle w:val="Heading2"/>
        <w:spacing w:before="240" w:after="120"/>
        <w:jc w:val="both"/>
      </w:pPr>
      <w:r>
        <w:t xml:space="preserve">3.3 </w:t>
      </w:r>
      <w:proofErr w:type="spellStart"/>
      <w:r>
        <w:t>Nanopore</w:t>
      </w:r>
      <w:proofErr w:type="spellEnd"/>
      <w:r>
        <w:t xml:space="preserve"> read filtering</w:t>
      </w:r>
    </w:p>
    <w:p w:rsidR="00346836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t>Filtlong</w:t>
      </w:r>
      <w:proofErr w:type="spellEnd"/>
      <w:r w:rsidRPr="00346836">
        <w:rPr>
          <w:sz w:val="22"/>
          <w:szCs w:val="22"/>
        </w:rPr>
        <w:t xml:space="preserve"> filtering of raw </w:t>
      </w:r>
      <w:proofErr w:type="spellStart"/>
      <w:r w:rsidRPr="00346836">
        <w:rPr>
          <w:sz w:val="22"/>
          <w:szCs w:val="22"/>
        </w:rPr>
        <w:t>Nanopore</w:t>
      </w:r>
      <w:proofErr w:type="spellEnd"/>
      <w:r w:rsidRPr="00346836">
        <w:rPr>
          <w:sz w:val="22"/>
          <w:szCs w:val="22"/>
        </w:rPr>
        <w:t xml:space="preserve"> reads (minimum length 500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>, minimum mean quality 7) removed a modest fracti</w:t>
      </w:r>
      <w:r w:rsidRPr="00346836">
        <w:rPr>
          <w:sz w:val="22"/>
          <w:szCs w:val="22"/>
        </w:rPr>
        <w:t>on of reads by count while retaining nearly all sequence content by base pairs: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2280"/>
        <w:gridCol w:w="2280"/>
        <w:gridCol w:w="2220"/>
      </w:tblGrid>
      <w:tr w:rsidR="000E10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Metric</w:t>
            </w:r>
          </w:p>
        </w:tc>
        <w:tc>
          <w:tcPr>
            <w:tcW w:w="228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Before filtering</w:t>
            </w:r>
          </w:p>
        </w:tc>
        <w:tc>
          <w:tcPr>
            <w:tcW w:w="228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After filtering</w:t>
            </w:r>
          </w:p>
        </w:tc>
        <w:tc>
          <w:tcPr>
            <w:tcW w:w="222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Retained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2680" w:type="dxa"/>
          </w:tcPr>
          <w:p w:rsidR="000E1051" w:rsidRDefault="006B2830" w:rsidP="00346836">
            <w:pPr>
              <w:jc w:val="both"/>
            </w:pPr>
            <w:r>
              <w:t>Reads</w:t>
            </w:r>
          </w:p>
        </w:tc>
        <w:tc>
          <w:tcPr>
            <w:tcW w:w="2280" w:type="dxa"/>
          </w:tcPr>
          <w:p w:rsidR="000E1051" w:rsidRDefault="006B2830" w:rsidP="00346836">
            <w:pPr>
              <w:jc w:val="both"/>
            </w:pPr>
            <w:r>
              <w:t>64,387</w:t>
            </w:r>
          </w:p>
        </w:tc>
        <w:tc>
          <w:tcPr>
            <w:tcW w:w="2280" w:type="dxa"/>
          </w:tcPr>
          <w:p w:rsidR="000E1051" w:rsidRDefault="006B2830" w:rsidP="00346836">
            <w:pPr>
              <w:jc w:val="both"/>
            </w:pPr>
            <w:r>
              <w:t>59,061</w:t>
            </w:r>
          </w:p>
        </w:tc>
        <w:tc>
          <w:tcPr>
            <w:tcW w:w="2220" w:type="dxa"/>
          </w:tcPr>
          <w:p w:rsidR="000E1051" w:rsidRDefault="006B2830" w:rsidP="00346836">
            <w:pPr>
              <w:jc w:val="both"/>
            </w:pPr>
            <w:r>
              <w:t>91.7%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2680" w:type="dxa"/>
          </w:tcPr>
          <w:p w:rsidR="000E1051" w:rsidRDefault="006B2830" w:rsidP="00346836">
            <w:pPr>
              <w:jc w:val="both"/>
            </w:pPr>
            <w:r>
              <w:t>Total bases</w:t>
            </w:r>
          </w:p>
        </w:tc>
        <w:tc>
          <w:tcPr>
            <w:tcW w:w="2280" w:type="dxa"/>
          </w:tcPr>
          <w:p w:rsidR="000E1051" w:rsidRDefault="006B2830" w:rsidP="00346836">
            <w:pPr>
              <w:jc w:val="both"/>
            </w:pPr>
            <w:r>
              <w:t xml:space="preserve">583.8 </w:t>
            </w:r>
            <w:proofErr w:type="spellStart"/>
            <w:r>
              <w:t>Mbp</w:t>
            </w:r>
            <w:proofErr w:type="spellEnd"/>
          </w:p>
        </w:tc>
        <w:tc>
          <w:tcPr>
            <w:tcW w:w="2280" w:type="dxa"/>
          </w:tcPr>
          <w:p w:rsidR="000E1051" w:rsidRDefault="006B2830" w:rsidP="00346836">
            <w:pPr>
              <w:jc w:val="both"/>
            </w:pPr>
            <w:r>
              <w:t xml:space="preserve">582.1 </w:t>
            </w:r>
            <w:proofErr w:type="spellStart"/>
            <w:r>
              <w:t>Mbp</w:t>
            </w:r>
            <w:proofErr w:type="spellEnd"/>
          </w:p>
        </w:tc>
        <w:tc>
          <w:tcPr>
            <w:tcW w:w="2220" w:type="dxa"/>
          </w:tcPr>
          <w:p w:rsidR="000E1051" w:rsidRDefault="006B2830" w:rsidP="00346836">
            <w:pPr>
              <w:jc w:val="both"/>
            </w:pPr>
            <w:r>
              <w:t>99.7%</w:t>
            </w:r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Table 3. </w:t>
      </w:r>
      <w:proofErr w:type="spellStart"/>
      <w:r>
        <w:rPr>
          <w:i/>
          <w:iCs/>
        </w:rPr>
        <w:t>Filtlong</w:t>
      </w:r>
      <w:proofErr w:type="spellEnd"/>
      <w:r>
        <w:rPr>
          <w:i/>
          <w:iCs/>
        </w:rPr>
        <w:t xml:space="preserve"> v0.3.1 filtering summary for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reads.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The reads removed by filtering were predominantly short, low-information fragments below the 500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 length threshold; total sequence content (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>) was almost entirely preserved (99.7%), indicati</w:t>
      </w:r>
      <w:r w:rsidRPr="00346836">
        <w:rPr>
          <w:sz w:val="22"/>
          <w:szCs w:val="22"/>
        </w:rPr>
        <w:t>ng minimal loss of useful long-read data.</w:t>
      </w:r>
    </w:p>
    <w:p w:rsidR="000E1051" w:rsidRDefault="006B2830" w:rsidP="00346836">
      <w:pPr>
        <w:spacing w:after="80"/>
        <w:jc w:val="both"/>
      </w:pPr>
      <w:r>
        <w:rPr>
          <w:noProof/>
        </w:rPr>
        <w:drawing>
          <wp:inline distT="0" distB="0" distL="0" distR="0">
            <wp:extent cx="4381500" cy="3222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498"/>
                    <a:stretch/>
                  </pic:blipFill>
                  <pic:spPr bwMode="auto">
                    <a:xfrm>
                      <a:off x="0" y="0"/>
                      <a:ext cx="4381500" cy="32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7. Per-base sequence quality, filtered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reads (post-</w:t>
      </w:r>
      <w:proofErr w:type="spellStart"/>
      <w:r>
        <w:rPr>
          <w:i/>
          <w:iCs/>
        </w:rPr>
        <w:t>Filtlong</w:t>
      </w:r>
      <w:proofErr w:type="spellEnd"/>
      <w:r>
        <w:rPr>
          <w:i/>
          <w:iCs/>
        </w:rPr>
        <w:t>).</w:t>
      </w:r>
    </w:p>
    <w:p w:rsidR="000E1051" w:rsidRDefault="006B2830" w:rsidP="00346836">
      <w:pPr>
        <w:spacing w:after="80"/>
        <w:jc w:val="both"/>
      </w:pPr>
      <w:r>
        <w:rPr>
          <w:noProof/>
        </w:rPr>
        <w:lastRenderedPageBreak/>
        <w:drawing>
          <wp:inline distT="0" distB="0" distL="0" distR="0">
            <wp:extent cx="4362450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435" r="1"/>
                    <a:stretch/>
                  </pic:blipFill>
                  <pic:spPr bwMode="auto">
                    <a:xfrm>
                      <a:off x="0" y="0"/>
                      <a:ext cx="43624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8. Per-sequence GC content, filtered </w:t>
      </w:r>
      <w:proofErr w:type="spellStart"/>
      <w:r>
        <w:rPr>
          <w:i/>
          <w:iCs/>
        </w:rPr>
        <w:t>Nanopore</w:t>
      </w:r>
      <w:proofErr w:type="spellEnd"/>
      <w:r>
        <w:rPr>
          <w:i/>
          <w:iCs/>
        </w:rPr>
        <w:t xml:space="preserve"> reads (post-</w:t>
      </w:r>
      <w:proofErr w:type="spellStart"/>
      <w:r>
        <w:rPr>
          <w:i/>
          <w:iCs/>
        </w:rPr>
        <w:t>Filtlong</w:t>
      </w:r>
      <w:proofErr w:type="spellEnd"/>
      <w:r>
        <w:rPr>
          <w:i/>
          <w:iCs/>
        </w:rPr>
        <w:t>).</w:t>
      </w:r>
    </w:p>
    <w:p w:rsidR="000E1051" w:rsidRDefault="006B2830" w:rsidP="00346836">
      <w:pPr>
        <w:pStyle w:val="Heading2"/>
        <w:spacing w:before="240" w:after="120"/>
        <w:jc w:val="both"/>
      </w:pPr>
      <w:r>
        <w:t>3.4 Genome assembly and quality assessment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>Hybrid assemb</w:t>
      </w:r>
      <w:r w:rsidRPr="00346836">
        <w:rPr>
          <w:sz w:val="22"/>
          <w:szCs w:val="22"/>
        </w:rPr>
        <w:t xml:space="preserve">ly with </w:t>
      </w:r>
      <w:proofErr w:type="spellStart"/>
      <w:r w:rsidRPr="00346836">
        <w:rPr>
          <w:sz w:val="22"/>
          <w:szCs w:val="22"/>
        </w:rPr>
        <w:t>Unicycler</w:t>
      </w:r>
      <w:proofErr w:type="spellEnd"/>
      <w:r w:rsidRPr="00346836">
        <w:rPr>
          <w:sz w:val="22"/>
          <w:szCs w:val="22"/>
        </w:rPr>
        <w:t xml:space="preserve"> produced two sequences: a fully circularized chromosome (2,880,082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) and a small plasmid (4,645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), for a total assembly length of 2,884,727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 (GC 48.15%). This closely matches the originally published assembly (2.8 Mb chromosome + 4.</w:t>
      </w:r>
      <w:r w:rsidRPr="00346836">
        <w:rPr>
          <w:sz w:val="22"/>
          <w:szCs w:val="22"/>
        </w:rPr>
        <w:t>6 kb plasmid, GC 48.16%).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60"/>
        <w:gridCol w:w="3000"/>
      </w:tblGrid>
      <w:tr w:rsidR="000E10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Metric</w:t>
            </w:r>
          </w:p>
        </w:tc>
        <w:tc>
          <w:tcPr>
            <w:tcW w:w="326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Published (</w:t>
            </w:r>
            <w:proofErr w:type="spellStart"/>
            <w:r>
              <w:rPr>
                <w:b/>
                <w:bCs/>
              </w:rPr>
              <w:t>Rincón</w:t>
            </w:r>
            <w:proofErr w:type="spellEnd"/>
            <w:r>
              <w:rPr>
                <w:b/>
                <w:bCs/>
              </w:rPr>
              <w:t>-Rosales et al. 2023)</w:t>
            </w:r>
          </w:p>
        </w:tc>
        <w:tc>
          <w:tcPr>
            <w:tcW w:w="30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This assembly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0E1051" w:rsidRDefault="006B2830" w:rsidP="00346836">
            <w:pPr>
              <w:jc w:val="both"/>
            </w:pPr>
            <w:r>
              <w:t>Chromosome length</w:t>
            </w:r>
          </w:p>
        </w:tc>
        <w:tc>
          <w:tcPr>
            <w:tcW w:w="3260" w:type="dxa"/>
          </w:tcPr>
          <w:p w:rsidR="000E1051" w:rsidRDefault="006B2830" w:rsidP="00346836">
            <w:pPr>
              <w:jc w:val="both"/>
            </w:pPr>
            <w:r>
              <w:t>~2.8 Mb</w:t>
            </w:r>
          </w:p>
        </w:tc>
        <w:tc>
          <w:tcPr>
            <w:tcW w:w="3000" w:type="dxa"/>
          </w:tcPr>
          <w:p w:rsidR="000E1051" w:rsidRDefault="006B2830" w:rsidP="00346836">
            <w:pPr>
              <w:jc w:val="both"/>
            </w:pPr>
            <w:r>
              <w:t xml:space="preserve">2,880,082 </w:t>
            </w:r>
            <w:proofErr w:type="spellStart"/>
            <w:r>
              <w:t>bp</w:t>
            </w:r>
            <w:proofErr w:type="spellEnd"/>
            <w:r>
              <w:t xml:space="preserve"> (circular)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0E1051" w:rsidRDefault="006B2830" w:rsidP="00346836">
            <w:pPr>
              <w:jc w:val="both"/>
            </w:pPr>
            <w:r>
              <w:t>Plasmid length</w:t>
            </w:r>
          </w:p>
        </w:tc>
        <w:tc>
          <w:tcPr>
            <w:tcW w:w="3260" w:type="dxa"/>
          </w:tcPr>
          <w:p w:rsidR="000E1051" w:rsidRDefault="006B2830" w:rsidP="00346836">
            <w:pPr>
              <w:jc w:val="both"/>
            </w:pPr>
            <w:r>
              <w:t>~4.6 kb</w:t>
            </w:r>
          </w:p>
        </w:tc>
        <w:tc>
          <w:tcPr>
            <w:tcW w:w="3000" w:type="dxa"/>
          </w:tcPr>
          <w:p w:rsidR="000E1051" w:rsidRDefault="006B2830" w:rsidP="00346836">
            <w:pPr>
              <w:jc w:val="both"/>
            </w:pPr>
            <w:r>
              <w:t xml:space="preserve">4,645 </w:t>
            </w:r>
            <w:proofErr w:type="spellStart"/>
            <w:r>
              <w:t>bp</w:t>
            </w:r>
            <w:proofErr w:type="spellEnd"/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0E1051" w:rsidRDefault="006B2830" w:rsidP="00346836">
            <w:pPr>
              <w:jc w:val="both"/>
            </w:pPr>
            <w:r>
              <w:t>GC content</w:t>
            </w:r>
          </w:p>
        </w:tc>
        <w:tc>
          <w:tcPr>
            <w:tcW w:w="3260" w:type="dxa"/>
          </w:tcPr>
          <w:p w:rsidR="000E1051" w:rsidRDefault="006B2830" w:rsidP="00346836">
            <w:pPr>
              <w:jc w:val="both"/>
            </w:pPr>
            <w:r>
              <w:t>48.16%</w:t>
            </w:r>
          </w:p>
        </w:tc>
        <w:tc>
          <w:tcPr>
            <w:tcW w:w="3000" w:type="dxa"/>
          </w:tcPr>
          <w:p w:rsidR="000E1051" w:rsidRDefault="006B2830" w:rsidP="00346836">
            <w:pPr>
              <w:jc w:val="both"/>
            </w:pPr>
            <w:r>
              <w:t>48.15%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0E1051" w:rsidRDefault="006B2830" w:rsidP="00346836">
            <w:pPr>
              <w:jc w:val="both"/>
            </w:pPr>
            <w:r>
              <w:t xml:space="preserve">Total </w:t>
            </w:r>
            <w:proofErr w:type="spellStart"/>
            <w:r>
              <w:t>contigs</w:t>
            </w:r>
            <w:proofErr w:type="spellEnd"/>
          </w:p>
        </w:tc>
        <w:tc>
          <w:tcPr>
            <w:tcW w:w="3260" w:type="dxa"/>
          </w:tcPr>
          <w:p w:rsidR="000E1051" w:rsidRDefault="006B2830" w:rsidP="00346836">
            <w:pPr>
              <w:jc w:val="both"/>
            </w:pPr>
            <w:r>
              <w:t>2 (complete)</w:t>
            </w:r>
          </w:p>
        </w:tc>
        <w:tc>
          <w:tcPr>
            <w:tcW w:w="3000" w:type="dxa"/>
          </w:tcPr>
          <w:p w:rsidR="000E1051" w:rsidRDefault="006B2830" w:rsidP="00346836">
            <w:pPr>
              <w:jc w:val="both"/>
            </w:pPr>
            <w:r>
              <w:t>2 (complete)</w:t>
            </w:r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>Table 4. Comparison of the independently assembled TSS-3 genome to the originally published assembly.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QUAST alignment of this assembly against the published reference (GCA_029026745.1) confirmed high structural accuracy: 100% genome fraction recovered, 0 </w:t>
      </w:r>
      <w:proofErr w:type="spellStart"/>
      <w:r w:rsidRPr="00346836">
        <w:rPr>
          <w:sz w:val="22"/>
          <w:szCs w:val="22"/>
        </w:rPr>
        <w:t>m</w:t>
      </w:r>
      <w:r w:rsidRPr="00346836">
        <w:rPr>
          <w:sz w:val="22"/>
          <w:szCs w:val="22"/>
        </w:rPr>
        <w:t>isassemblies</w:t>
      </w:r>
      <w:proofErr w:type="spellEnd"/>
      <w:r w:rsidRPr="00346836">
        <w:rPr>
          <w:sz w:val="22"/>
          <w:szCs w:val="22"/>
        </w:rPr>
        <w:t xml:space="preserve">, a duplication ratio of 1 (no redundant sequence), and low per-base error rates (0.45 mismatches and 0.03 </w:t>
      </w:r>
      <w:proofErr w:type="spellStart"/>
      <w:r w:rsidRPr="00346836">
        <w:rPr>
          <w:sz w:val="22"/>
          <w:szCs w:val="22"/>
        </w:rPr>
        <w:t>indels</w:t>
      </w:r>
      <w:proofErr w:type="spellEnd"/>
      <w:r w:rsidRPr="00346836">
        <w:rPr>
          <w:sz w:val="22"/>
          <w:szCs w:val="22"/>
        </w:rPr>
        <w:t xml:space="preserve"> per 100 </w:t>
      </w:r>
      <w:proofErr w:type="spellStart"/>
      <w:r w:rsidRPr="00346836">
        <w:rPr>
          <w:sz w:val="22"/>
          <w:szCs w:val="22"/>
        </w:rPr>
        <w:t>kbp</w:t>
      </w:r>
      <w:proofErr w:type="spellEnd"/>
      <w:r w:rsidRPr="00346836">
        <w:rPr>
          <w:sz w:val="22"/>
          <w:szCs w:val="22"/>
        </w:rPr>
        <w:t xml:space="preserve">; 0 N's per 100 </w:t>
      </w:r>
      <w:proofErr w:type="spellStart"/>
      <w:r w:rsidRPr="00346836">
        <w:rPr>
          <w:sz w:val="22"/>
          <w:szCs w:val="22"/>
        </w:rPr>
        <w:t>kbp</w:t>
      </w:r>
      <w:proofErr w:type="spellEnd"/>
      <w:r w:rsidRPr="00346836">
        <w:rPr>
          <w:sz w:val="22"/>
          <w:szCs w:val="22"/>
        </w:rPr>
        <w:t>).</w:t>
      </w:r>
    </w:p>
    <w:p w:rsidR="000E1051" w:rsidRDefault="006B2830" w:rsidP="00346836">
      <w:pPr>
        <w:spacing w:after="80"/>
        <w:jc w:val="both"/>
      </w:pPr>
      <w:r>
        <w:rPr>
          <w:noProof/>
        </w:rPr>
        <w:lastRenderedPageBreak/>
        <w:drawing>
          <wp:inline distT="0" distB="0" distL="0" distR="0">
            <wp:extent cx="4000500" cy="3000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9. QUAST cumulative length plot: assembled </w:t>
      </w:r>
      <w:proofErr w:type="spellStart"/>
      <w:r>
        <w:rPr>
          <w:i/>
          <w:iCs/>
        </w:rPr>
        <w:t>contigs</w:t>
      </w:r>
      <w:proofErr w:type="spellEnd"/>
      <w:r>
        <w:rPr>
          <w:i/>
          <w:iCs/>
        </w:rPr>
        <w:t xml:space="preserve"> (red) against the reference genome (b</w:t>
      </w:r>
      <w:r>
        <w:rPr>
          <w:i/>
          <w:iCs/>
        </w:rPr>
        <w:t>lack dashed), TSS-3 assembly.</w:t>
      </w:r>
    </w:p>
    <w:p w:rsidR="000E1051" w:rsidRDefault="006B2830" w:rsidP="00346836">
      <w:pPr>
        <w:spacing w:after="80"/>
        <w:jc w:val="both"/>
      </w:pPr>
      <w:r>
        <w:rPr>
          <w:noProof/>
        </w:rPr>
        <w:drawing>
          <wp:inline distT="0" distB="0" distL="0" distR="0">
            <wp:extent cx="4000500" cy="3000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Figure 10. QUAST GC content distribution: assembled </w:t>
      </w:r>
      <w:proofErr w:type="spellStart"/>
      <w:r>
        <w:rPr>
          <w:i/>
          <w:iCs/>
        </w:rPr>
        <w:t>contigs</w:t>
      </w:r>
      <w:proofErr w:type="spellEnd"/>
      <w:r>
        <w:rPr>
          <w:i/>
          <w:iCs/>
        </w:rPr>
        <w:t xml:space="preserve"> (red) against the reference genome (black dashed), TSS-3 assembly.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t>CheckM</w:t>
      </w:r>
      <w:proofErr w:type="spellEnd"/>
      <w:r w:rsidRPr="00346836">
        <w:rPr>
          <w:sz w:val="22"/>
          <w:szCs w:val="22"/>
        </w:rPr>
        <w:t xml:space="preserve"> lineage-workflow assessment (marker lineage </w:t>
      </w:r>
      <w:proofErr w:type="spellStart"/>
      <w:r w:rsidRPr="00346836">
        <w:rPr>
          <w:sz w:val="22"/>
          <w:szCs w:val="22"/>
        </w:rPr>
        <w:t>c__Bacilli</w:t>
      </w:r>
      <w:proofErr w:type="spellEnd"/>
      <w:r w:rsidRPr="00346836">
        <w:rPr>
          <w:sz w:val="22"/>
          <w:szCs w:val="22"/>
        </w:rPr>
        <w:t>; 750 reference genomes, 273 marker genes, 152 marker sets) found the assembly to be 99.34% complete with 0.66% contamination (271 of 273 markers present as single copy, 1 present in duplicate, n</w:t>
      </w:r>
      <w:r w:rsidRPr="00346836">
        <w:rPr>
          <w:sz w:val="22"/>
          <w:szCs w:val="22"/>
        </w:rPr>
        <w:t>one missing), indicating a highly complete and non-contaminated genome recovery.</w:t>
      </w:r>
    </w:p>
    <w:p w:rsidR="000E1051" w:rsidRDefault="006B2830" w:rsidP="00346836">
      <w:pPr>
        <w:pStyle w:val="Heading2"/>
        <w:spacing w:before="240" w:after="120"/>
        <w:jc w:val="both"/>
      </w:pPr>
      <w:r>
        <w:t>3.5 Genome annotation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lastRenderedPageBreak/>
        <w:t>Prokka</w:t>
      </w:r>
      <w:proofErr w:type="spellEnd"/>
      <w:r w:rsidRPr="00346836">
        <w:rPr>
          <w:sz w:val="22"/>
          <w:szCs w:val="22"/>
        </w:rPr>
        <w:t xml:space="preserve"> annotation identified 2,936 coding sequences (CDS), 27 </w:t>
      </w:r>
      <w:proofErr w:type="spellStart"/>
      <w:r w:rsidRPr="00346836">
        <w:rPr>
          <w:sz w:val="22"/>
          <w:szCs w:val="22"/>
        </w:rPr>
        <w:t>rRNA</w:t>
      </w:r>
      <w:proofErr w:type="spellEnd"/>
      <w:r w:rsidRPr="00346836">
        <w:rPr>
          <w:sz w:val="22"/>
          <w:szCs w:val="22"/>
        </w:rPr>
        <w:t xml:space="preserve"> genes, 67 </w:t>
      </w:r>
      <w:proofErr w:type="spellStart"/>
      <w:r w:rsidRPr="00346836">
        <w:rPr>
          <w:sz w:val="22"/>
          <w:szCs w:val="22"/>
        </w:rPr>
        <w:t>tRNA</w:t>
      </w:r>
      <w:proofErr w:type="spellEnd"/>
      <w:r w:rsidRPr="00346836">
        <w:rPr>
          <w:sz w:val="22"/>
          <w:szCs w:val="22"/>
        </w:rPr>
        <w:t xml:space="preserve"> genes, 1 </w:t>
      </w:r>
      <w:proofErr w:type="spellStart"/>
      <w:r w:rsidRPr="00346836">
        <w:rPr>
          <w:sz w:val="22"/>
          <w:szCs w:val="22"/>
        </w:rPr>
        <w:t>tmRNA</w:t>
      </w:r>
      <w:proofErr w:type="spellEnd"/>
      <w:r w:rsidRPr="00346836">
        <w:rPr>
          <w:sz w:val="22"/>
          <w:szCs w:val="22"/>
        </w:rPr>
        <w:t xml:space="preserve"> gene, and 48 additional </w:t>
      </w:r>
      <w:proofErr w:type="spellStart"/>
      <w:r w:rsidRPr="00346836">
        <w:rPr>
          <w:sz w:val="22"/>
          <w:szCs w:val="22"/>
        </w:rPr>
        <w:t>ncRNA</w:t>
      </w:r>
      <w:proofErr w:type="spellEnd"/>
      <w:r w:rsidRPr="00346836">
        <w:rPr>
          <w:sz w:val="22"/>
          <w:szCs w:val="22"/>
        </w:rPr>
        <w:t xml:space="preserve"> features across the 2,884,</w:t>
      </w:r>
      <w:r w:rsidRPr="00346836">
        <w:rPr>
          <w:sz w:val="22"/>
          <w:szCs w:val="22"/>
        </w:rPr>
        <w:t xml:space="preserve">727 </w:t>
      </w:r>
      <w:proofErr w:type="spellStart"/>
      <w:r w:rsidRPr="00346836">
        <w:rPr>
          <w:sz w:val="22"/>
          <w:szCs w:val="22"/>
        </w:rPr>
        <w:t>bp</w:t>
      </w:r>
      <w:proofErr w:type="spellEnd"/>
      <w:r w:rsidRPr="00346836">
        <w:rPr>
          <w:sz w:val="22"/>
          <w:szCs w:val="22"/>
        </w:rPr>
        <w:t xml:space="preserve"> assembly. The CDS count is closely comparable to the originally published PGAP-based annotation (2,900 CDS; a difference of approximately 1.2%), consistent with expected variation between different gene-calling algorithms rather than a substantive d</w:t>
      </w:r>
      <w:r w:rsidRPr="00346836">
        <w:rPr>
          <w:sz w:val="22"/>
          <w:szCs w:val="22"/>
        </w:rPr>
        <w:t>ifference in gene content.</w:t>
      </w:r>
    </w:p>
    <w:p w:rsidR="000E1051" w:rsidRDefault="006B2830" w:rsidP="00346836">
      <w:pPr>
        <w:pStyle w:val="Heading2"/>
        <w:spacing w:before="240" w:after="120"/>
        <w:jc w:val="both"/>
      </w:pPr>
      <w:r>
        <w:t>3.6 Biosynthetic gene cluster mining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346836">
        <w:rPr>
          <w:sz w:val="22"/>
          <w:szCs w:val="22"/>
        </w:rPr>
        <w:t>antiSMASH</w:t>
      </w:r>
      <w:proofErr w:type="spellEnd"/>
      <w:r w:rsidRPr="00346836">
        <w:rPr>
          <w:sz w:val="22"/>
          <w:szCs w:val="22"/>
        </w:rPr>
        <w:t xml:space="preserve"> identified two terpene-associated biosynthetic gene cluster (BGC) regions on the chromosome; no BGCs were detected on the plasmid.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860"/>
      </w:tblGrid>
      <w:tr w:rsidR="000E10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Region</w:t>
            </w:r>
          </w:p>
        </w:tc>
        <w:tc>
          <w:tcPr>
            <w:tcW w:w="20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Type</w:t>
            </w:r>
          </w:p>
        </w:tc>
        <w:tc>
          <w:tcPr>
            <w:tcW w:w="24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Location (</w:t>
            </w:r>
            <w:proofErr w:type="spellStart"/>
            <w:r>
              <w:rPr>
                <w:b/>
                <w:bCs/>
              </w:rPr>
              <w:t>bp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86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Core biosynthetic genes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0E1051" w:rsidRDefault="006B2830" w:rsidP="00346836">
            <w:pPr>
              <w:jc w:val="both"/>
            </w:pPr>
            <w:r>
              <w:t>1.1</w:t>
            </w:r>
          </w:p>
        </w:tc>
        <w:tc>
          <w:tcPr>
            <w:tcW w:w="2000" w:type="dxa"/>
          </w:tcPr>
          <w:p w:rsidR="000E1051" w:rsidRDefault="006B2830" w:rsidP="00346836">
            <w:pPr>
              <w:jc w:val="both"/>
            </w:pPr>
            <w:r>
              <w:t>Terpene-precursor</w:t>
            </w:r>
          </w:p>
        </w:tc>
        <w:tc>
          <w:tcPr>
            <w:tcW w:w="2400" w:type="dxa"/>
          </w:tcPr>
          <w:p w:rsidR="000E1051" w:rsidRDefault="006B2830" w:rsidP="00346836">
            <w:pPr>
              <w:jc w:val="both"/>
            </w:pPr>
            <w:r>
              <w:t>1,180,299–1,201,177</w:t>
            </w:r>
          </w:p>
        </w:tc>
        <w:tc>
          <w:tcPr>
            <w:tcW w:w="3860" w:type="dxa"/>
          </w:tcPr>
          <w:p w:rsidR="000E1051" w:rsidRDefault="006B2830" w:rsidP="00346836">
            <w:pPr>
              <w:jc w:val="both"/>
            </w:pPr>
            <w:r>
              <w:t xml:space="preserve">Farnesyl diphosphate synthase, </w:t>
            </w:r>
            <w:proofErr w:type="spellStart"/>
            <w:r>
              <w:t>dxs</w:t>
            </w:r>
            <w:proofErr w:type="spellEnd"/>
            <w:r>
              <w:t xml:space="preserve"> (MEP pathway)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0E1051" w:rsidRDefault="006B2830" w:rsidP="00346836">
            <w:pPr>
              <w:jc w:val="both"/>
            </w:pPr>
            <w:r>
              <w:t>1.2</w:t>
            </w:r>
          </w:p>
        </w:tc>
        <w:tc>
          <w:tcPr>
            <w:tcW w:w="2000" w:type="dxa"/>
          </w:tcPr>
          <w:p w:rsidR="000E1051" w:rsidRDefault="006B2830" w:rsidP="00346836">
            <w:pPr>
              <w:jc w:val="both"/>
            </w:pPr>
            <w:r>
              <w:t>Terpene</w:t>
            </w:r>
          </w:p>
        </w:tc>
        <w:tc>
          <w:tcPr>
            <w:tcW w:w="2400" w:type="dxa"/>
          </w:tcPr>
          <w:p w:rsidR="000E1051" w:rsidRDefault="006B2830" w:rsidP="00346836">
            <w:pPr>
              <w:jc w:val="both"/>
            </w:pPr>
            <w:r>
              <w:t>2,116,579–2,137,418</w:t>
            </w:r>
          </w:p>
        </w:tc>
        <w:tc>
          <w:tcPr>
            <w:tcW w:w="3860" w:type="dxa"/>
          </w:tcPr>
          <w:p w:rsidR="000E1051" w:rsidRDefault="006B2830" w:rsidP="00346836">
            <w:pPr>
              <w:jc w:val="both"/>
            </w:pPr>
            <w:proofErr w:type="spellStart"/>
            <w:r>
              <w:t>crtB</w:t>
            </w:r>
            <w:proofErr w:type="spellEnd"/>
            <w:r>
              <w:t xml:space="preserve">, </w:t>
            </w:r>
            <w:proofErr w:type="spellStart"/>
            <w:r>
              <w:t>crtN</w:t>
            </w:r>
            <w:proofErr w:type="spellEnd"/>
            <w:r>
              <w:t xml:space="preserve">, </w:t>
            </w:r>
            <w:proofErr w:type="spellStart"/>
            <w:r>
              <w:t>crtNb</w:t>
            </w:r>
            <w:proofErr w:type="spellEnd"/>
            <w:r>
              <w:t xml:space="preserve">, </w:t>
            </w:r>
            <w:proofErr w:type="spellStart"/>
            <w:r>
              <w:t>crtNc</w:t>
            </w:r>
            <w:proofErr w:type="spellEnd"/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Table 5. Biosynthetic gene cluster regions identified by </w:t>
      </w:r>
      <w:proofErr w:type="spellStart"/>
      <w:r>
        <w:rPr>
          <w:i/>
          <w:iCs/>
        </w:rPr>
        <w:t>antiSMASH</w:t>
      </w:r>
      <w:proofErr w:type="spellEnd"/>
      <w:r>
        <w:rPr>
          <w:i/>
          <w:iCs/>
        </w:rPr>
        <w:t xml:space="preserve"> v8.0.4.</w:t>
      </w:r>
    </w:p>
    <w:p w:rsidR="000E1051" w:rsidRPr="00346836" w:rsidRDefault="006B2830" w:rsidP="00346836">
      <w:pPr>
        <w:spacing w:after="160"/>
        <w:jc w:val="both"/>
        <w:rPr>
          <w:sz w:val="22"/>
          <w:szCs w:val="22"/>
        </w:rPr>
      </w:pPr>
      <w:r w:rsidRPr="00346836">
        <w:rPr>
          <w:sz w:val="22"/>
          <w:szCs w:val="22"/>
        </w:rPr>
        <w:t xml:space="preserve">The core biosynthetic genes in </w:t>
      </w:r>
      <w:r w:rsidRPr="00346836">
        <w:rPr>
          <w:sz w:val="22"/>
          <w:szCs w:val="22"/>
        </w:rPr>
        <w:t>Region 1.2 (</w:t>
      </w:r>
      <w:proofErr w:type="spellStart"/>
      <w:r w:rsidRPr="00346836">
        <w:rPr>
          <w:sz w:val="22"/>
          <w:szCs w:val="22"/>
        </w:rPr>
        <w:t>crtB</w:t>
      </w:r>
      <w:proofErr w:type="spellEnd"/>
      <w:r w:rsidRPr="00346836">
        <w:rPr>
          <w:sz w:val="22"/>
          <w:szCs w:val="22"/>
        </w:rPr>
        <w:t xml:space="preserve">, 15-cis-phytoene synthase; </w:t>
      </w:r>
      <w:proofErr w:type="spellStart"/>
      <w:r w:rsidRPr="00346836">
        <w:rPr>
          <w:sz w:val="22"/>
          <w:szCs w:val="22"/>
        </w:rPr>
        <w:t>crtN</w:t>
      </w:r>
      <w:proofErr w:type="spellEnd"/>
      <w:r w:rsidRPr="00346836">
        <w:rPr>
          <w:sz w:val="22"/>
          <w:szCs w:val="22"/>
        </w:rPr>
        <w:t xml:space="preserve">, 4,4′-diapophytoene desaturase; </w:t>
      </w:r>
      <w:proofErr w:type="spellStart"/>
      <w:r w:rsidRPr="00346836">
        <w:rPr>
          <w:sz w:val="22"/>
          <w:szCs w:val="22"/>
        </w:rPr>
        <w:t>crtNb</w:t>
      </w:r>
      <w:proofErr w:type="spellEnd"/>
      <w:r w:rsidRPr="00346836">
        <w:rPr>
          <w:sz w:val="22"/>
          <w:szCs w:val="22"/>
        </w:rPr>
        <w:t xml:space="preserve">, 4,4′-diapolycopene oxygenase; </w:t>
      </w:r>
      <w:proofErr w:type="spellStart"/>
      <w:r w:rsidRPr="00346836">
        <w:rPr>
          <w:sz w:val="22"/>
          <w:szCs w:val="22"/>
        </w:rPr>
        <w:t>crtNc</w:t>
      </w:r>
      <w:proofErr w:type="spellEnd"/>
      <w:r w:rsidRPr="00346836">
        <w:rPr>
          <w:sz w:val="22"/>
          <w:szCs w:val="22"/>
        </w:rPr>
        <w:t>, 4,4′-diapolycopen-4-al dehydrogenase) correspond to the C30 (</w:t>
      </w:r>
      <w:proofErr w:type="spellStart"/>
      <w:r w:rsidRPr="00346836">
        <w:rPr>
          <w:sz w:val="22"/>
          <w:szCs w:val="22"/>
        </w:rPr>
        <w:t>diapocarotenoid</w:t>
      </w:r>
      <w:proofErr w:type="spellEnd"/>
      <w:r w:rsidRPr="00346836">
        <w:rPr>
          <w:sz w:val="22"/>
          <w:szCs w:val="22"/>
        </w:rPr>
        <w:t>) branch of bacterial carotenoid biosynthesis, structur</w:t>
      </w:r>
      <w:r w:rsidRPr="00346836">
        <w:rPr>
          <w:sz w:val="22"/>
          <w:szCs w:val="22"/>
        </w:rPr>
        <w:t xml:space="preserve">ally analogous to the </w:t>
      </w:r>
      <w:proofErr w:type="spellStart"/>
      <w:r w:rsidRPr="00346836">
        <w:rPr>
          <w:sz w:val="22"/>
          <w:szCs w:val="22"/>
        </w:rPr>
        <w:t>staphyloxanthin</w:t>
      </w:r>
      <w:proofErr w:type="spellEnd"/>
      <w:r w:rsidRPr="00346836">
        <w:rPr>
          <w:sz w:val="22"/>
          <w:szCs w:val="22"/>
        </w:rPr>
        <w:t xml:space="preserve"> pathway of </w:t>
      </w:r>
      <w:r w:rsidRPr="006B2830">
        <w:rPr>
          <w:i/>
          <w:sz w:val="22"/>
          <w:szCs w:val="22"/>
        </w:rPr>
        <w:t>Staphylococcus aureus</w:t>
      </w:r>
      <w:r w:rsidRPr="00346836">
        <w:rPr>
          <w:sz w:val="22"/>
          <w:szCs w:val="22"/>
        </w:rPr>
        <w:t xml:space="preserve">. </w:t>
      </w:r>
      <w:proofErr w:type="spellStart"/>
      <w:r w:rsidRPr="00346836">
        <w:rPr>
          <w:sz w:val="22"/>
          <w:szCs w:val="22"/>
        </w:rPr>
        <w:t>KnownClusterBlast</w:t>
      </w:r>
      <w:proofErr w:type="spellEnd"/>
      <w:r w:rsidRPr="00346836">
        <w:rPr>
          <w:sz w:val="22"/>
          <w:szCs w:val="22"/>
        </w:rPr>
        <w:t xml:space="preserve"> returned no significant match to any characterized cluster in the </w:t>
      </w:r>
      <w:proofErr w:type="spellStart"/>
      <w:r w:rsidRPr="00346836">
        <w:rPr>
          <w:sz w:val="22"/>
          <w:szCs w:val="22"/>
        </w:rPr>
        <w:t>MIBiG</w:t>
      </w:r>
      <w:proofErr w:type="spellEnd"/>
      <w:r w:rsidRPr="00346836">
        <w:rPr>
          <w:sz w:val="22"/>
          <w:szCs w:val="22"/>
        </w:rPr>
        <w:t xml:space="preserve"> database for Region 1.2. Region 1.1 returned nominal BLAST hits to several polyketide synthase</w:t>
      </w:r>
      <w:r w:rsidRPr="00346836">
        <w:rPr>
          <w:sz w:val="22"/>
          <w:szCs w:val="22"/>
        </w:rPr>
        <w:t xml:space="preserve"> (PKS) clusters (</w:t>
      </w:r>
      <w:proofErr w:type="spellStart"/>
      <w:r w:rsidRPr="00346836">
        <w:rPr>
          <w:sz w:val="22"/>
          <w:szCs w:val="22"/>
        </w:rPr>
        <w:t>isoindolinomycin</w:t>
      </w:r>
      <w:proofErr w:type="spellEnd"/>
      <w:r w:rsidRPr="00346836">
        <w:rPr>
          <w:sz w:val="22"/>
          <w:szCs w:val="22"/>
        </w:rPr>
        <w:t xml:space="preserve">, </w:t>
      </w:r>
      <w:proofErr w:type="spellStart"/>
      <w:r w:rsidRPr="00346836">
        <w:rPr>
          <w:sz w:val="22"/>
          <w:szCs w:val="22"/>
        </w:rPr>
        <w:t>xantholipin</w:t>
      </w:r>
      <w:proofErr w:type="spellEnd"/>
      <w:r w:rsidRPr="00346836">
        <w:rPr>
          <w:sz w:val="22"/>
          <w:szCs w:val="22"/>
        </w:rPr>
        <w:t xml:space="preserve">, R1128, </w:t>
      </w:r>
      <w:proofErr w:type="spellStart"/>
      <w:r w:rsidRPr="00346836">
        <w:rPr>
          <w:sz w:val="22"/>
          <w:szCs w:val="22"/>
        </w:rPr>
        <w:t>pradimicin</w:t>
      </w:r>
      <w:proofErr w:type="spellEnd"/>
      <w:r w:rsidRPr="00346836">
        <w:rPr>
          <w:sz w:val="22"/>
          <w:szCs w:val="22"/>
        </w:rPr>
        <w:t xml:space="preserve">-A, </w:t>
      </w:r>
      <w:proofErr w:type="spellStart"/>
      <w:r w:rsidRPr="00346836">
        <w:rPr>
          <w:sz w:val="22"/>
          <w:szCs w:val="22"/>
        </w:rPr>
        <w:t>formicamycin</w:t>
      </w:r>
      <w:proofErr w:type="spellEnd"/>
      <w:r w:rsidRPr="00346836">
        <w:rPr>
          <w:sz w:val="22"/>
          <w:szCs w:val="22"/>
        </w:rPr>
        <w:t>); inspection of the underlying BLAST evidence showed these hits were driven by homology in biotin carboxylase/carboxyl carrier protein genes (</w:t>
      </w:r>
      <w:proofErr w:type="spellStart"/>
      <w:r w:rsidRPr="00346836">
        <w:rPr>
          <w:sz w:val="22"/>
          <w:szCs w:val="22"/>
        </w:rPr>
        <w:t>accB</w:t>
      </w:r>
      <w:proofErr w:type="spellEnd"/>
      <w:r w:rsidRPr="00346836">
        <w:rPr>
          <w:sz w:val="22"/>
          <w:szCs w:val="22"/>
        </w:rPr>
        <w:t>/</w:t>
      </w:r>
      <w:proofErr w:type="spellStart"/>
      <w:r w:rsidRPr="00346836">
        <w:rPr>
          <w:sz w:val="22"/>
          <w:szCs w:val="22"/>
        </w:rPr>
        <w:t>accC</w:t>
      </w:r>
      <w:proofErr w:type="spellEnd"/>
      <w:r w:rsidRPr="00346836">
        <w:rPr>
          <w:sz w:val="22"/>
          <w:szCs w:val="22"/>
        </w:rPr>
        <w:t>), which are common hou</w:t>
      </w:r>
      <w:r w:rsidRPr="00346836">
        <w:rPr>
          <w:sz w:val="22"/>
          <w:szCs w:val="22"/>
        </w:rPr>
        <w:t>sekeeping components shared across many unrelated biosynthetic pathways, and are not interpreted as evidence of PKS-type secondary metabolite production in TSS-3.</w:t>
      </w:r>
    </w:p>
    <w:p w:rsidR="000E1051" w:rsidRDefault="006B2830" w:rsidP="00346836">
      <w:pPr>
        <w:pStyle w:val="Heading2"/>
        <w:spacing w:before="240" w:after="120"/>
        <w:jc w:val="both"/>
      </w:pPr>
      <w:r>
        <w:t>3.7 Comparative genomics (Average Nucleotide Identity)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proofErr w:type="spellStart"/>
      <w:r w:rsidRPr="006B2830">
        <w:rPr>
          <w:sz w:val="22"/>
          <w:szCs w:val="22"/>
        </w:rPr>
        <w:t>OrthoANIu</w:t>
      </w:r>
      <w:proofErr w:type="spellEnd"/>
      <w:r w:rsidRPr="006B2830">
        <w:rPr>
          <w:sz w:val="22"/>
          <w:szCs w:val="22"/>
        </w:rPr>
        <w:t xml:space="preserve"> comparison between the TSS-3</w:t>
      </w:r>
      <w:r w:rsidRPr="006B2830">
        <w:rPr>
          <w:sz w:val="22"/>
          <w:szCs w:val="22"/>
        </w:rPr>
        <w:t xml:space="preserve"> assembly and the E. </w:t>
      </w:r>
      <w:proofErr w:type="spellStart"/>
      <w:r w:rsidRPr="006B2830">
        <w:rPr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 type strain 10C (GCF_025234635.1) returned an ANI value of 96.21%, exceeding the ≥96% threshold conventionally used for species-level identity. Average aligned length was 1,785,473 </w:t>
      </w:r>
      <w:proofErr w:type="spellStart"/>
      <w:r w:rsidRPr="006B2830">
        <w:rPr>
          <w:sz w:val="22"/>
          <w:szCs w:val="22"/>
        </w:rPr>
        <w:t>bp</w:t>
      </w:r>
      <w:proofErr w:type="spellEnd"/>
      <w:r w:rsidRPr="006B2830">
        <w:rPr>
          <w:sz w:val="22"/>
          <w:szCs w:val="22"/>
        </w:rPr>
        <w:t>, with genome coverage of 61.92% (TSS-3) a</w:t>
      </w:r>
      <w:r w:rsidRPr="006B2830">
        <w:rPr>
          <w:sz w:val="22"/>
          <w:szCs w:val="22"/>
        </w:rPr>
        <w:t>nd 65.54% (type strain); the moderate coverage values reflect expected strain-level differences and assembly completeness differences between the two genomes, rather than a lower-confidence species assignment.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660"/>
      </w:tblGrid>
      <w:tr w:rsidR="000E10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Metric</w:t>
            </w:r>
          </w:p>
        </w:tc>
        <w:tc>
          <w:tcPr>
            <w:tcW w:w="3660" w:type="dxa"/>
            <w:shd w:val="clear" w:color="auto" w:fill="D9E2F3"/>
          </w:tcPr>
          <w:p w:rsidR="000E1051" w:rsidRDefault="006B2830" w:rsidP="00346836">
            <w:pPr>
              <w:jc w:val="both"/>
            </w:pPr>
            <w:r>
              <w:rPr>
                <w:b/>
                <w:bCs/>
              </w:rPr>
              <w:t>Value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proofErr w:type="spellStart"/>
            <w:r>
              <w:t>OrthoANIu</w:t>
            </w:r>
            <w:proofErr w:type="spellEnd"/>
            <w:r>
              <w:t xml:space="preserve"> value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>96.21%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r>
              <w:t>Genome A length (TSS-3)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 xml:space="preserve">2,883,540 </w:t>
            </w:r>
            <w:proofErr w:type="spellStart"/>
            <w:r>
              <w:t>bp</w:t>
            </w:r>
            <w:proofErr w:type="spellEnd"/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r>
              <w:t>Genome B length (10C type strain)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 xml:space="preserve">2,724,420 </w:t>
            </w:r>
            <w:proofErr w:type="spellStart"/>
            <w:r>
              <w:t>bp</w:t>
            </w:r>
            <w:proofErr w:type="spellEnd"/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r>
              <w:t>Average aligned length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 xml:space="preserve">1,785,473 </w:t>
            </w:r>
            <w:proofErr w:type="spellStart"/>
            <w:r>
              <w:t>bp</w:t>
            </w:r>
            <w:proofErr w:type="spellEnd"/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r>
              <w:t>Genome A coverage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>61.92%</w:t>
            </w:r>
          </w:p>
        </w:tc>
      </w:tr>
      <w:tr w:rsidR="000E105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0E1051" w:rsidRDefault="006B2830" w:rsidP="00346836">
            <w:pPr>
              <w:jc w:val="both"/>
            </w:pPr>
            <w:r>
              <w:t>Genome B coverage</w:t>
            </w:r>
          </w:p>
        </w:tc>
        <w:tc>
          <w:tcPr>
            <w:tcW w:w="3660" w:type="dxa"/>
          </w:tcPr>
          <w:p w:rsidR="000E1051" w:rsidRDefault="006B2830" w:rsidP="00346836">
            <w:pPr>
              <w:jc w:val="both"/>
            </w:pPr>
            <w:r>
              <w:t>65.54%</w:t>
            </w:r>
          </w:p>
        </w:tc>
      </w:tr>
    </w:tbl>
    <w:p w:rsidR="000E1051" w:rsidRDefault="006B2830" w:rsidP="00346836">
      <w:pPr>
        <w:spacing w:after="240"/>
        <w:jc w:val="both"/>
      </w:pPr>
      <w:r>
        <w:rPr>
          <w:i/>
          <w:iCs/>
        </w:rPr>
        <w:t xml:space="preserve">Table 6. </w:t>
      </w:r>
      <w:proofErr w:type="spellStart"/>
      <w:r>
        <w:rPr>
          <w:i/>
          <w:iCs/>
        </w:rPr>
        <w:t>OrthoANIu</w:t>
      </w:r>
      <w:proofErr w:type="spellEnd"/>
      <w:r>
        <w:rPr>
          <w:i/>
          <w:iCs/>
        </w:rPr>
        <w:t xml:space="preserve"> comparison of TSS-3 against the E. </w:t>
      </w:r>
      <w:proofErr w:type="spellStart"/>
      <w:r>
        <w:rPr>
          <w:i/>
          <w:iCs/>
        </w:rPr>
        <w:t>profundum</w:t>
      </w:r>
      <w:proofErr w:type="spellEnd"/>
      <w:r>
        <w:rPr>
          <w:i/>
          <w:iCs/>
        </w:rPr>
        <w:t xml:space="preserve"> type strain.</w:t>
      </w:r>
    </w:p>
    <w:p w:rsidR="000E1051" w:rsidRDefault="006B2830" w:rsidP="00346836">
      <w:pPr>
        <w:pStyle w:val="Heading1"/>
        <w:spacing w:before="320" w:after="160"/>
        <w:jc w:val="both"/>
      </w:pPr>
      <w:r>
        <w:t>4. Discussion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 xml:space="preserve">This independent re-analysis reproduces the originally published TSS-3 genome assembly with a high degree of structural and compositional agreement: assembly length, GC content, </w:t>
      </w:r>
      <w:proofErr w:type="spellStart"/>
      <w:r w:rsidRPr="006B2830">
        <w:rPr>
          <w:sz w:val="22"/>
          <w:szCs w:val="22"/>
        </w:rPr>
        <w:t>contig</w:t>
      </w:r>
      <w:proofErr w:type="spellEnd"/>
      <w:r w:rsidRPr="006B2830">
        <w:rPr>
          <w:sz w:val="22"/>
          <w:szCs w:val="22"/>
        </w:rPr>
        <w:t xml:space="preserve"> structure, and QUAST-based alignment metrics (100% genome</w:t>
      </w:r>
      <w:r w:rsidRPr="006B2830">
        <w:rPr>
          <w:sz w:val="22"/>
          <w:szCs w:val="22"/>
        </w:rPr>
        <w:t xml:space="preserve"> fraction, zero </w:t>
      </w:r>
      <w:proofErr w:type="spellStart"/>
      <w:r w:rsidRPr="006B2830">
        <w:rPr>
          <w:sz w:val="22"/>
          <w:szCs w:val="22"/>
        </w:rPr>
        <w:t>misassemblies</w:t>
      </w:r>
      <w:proofErr w:type="spellEnd"/>
      <w:r w:rsidRPr="006B2830">
        <w:rPr>
          <w:sz w:val="22"/>
          <w:szCs w:val="22"/>
        </w:rPr>
        <w:t xml:space="preserve">) closely match the original publication, and </w:t>
      </w:r>
      <w:proofErr w:type="spellStart"/>
      <w:r w:rsidRPr="006B2830">
        <w:rPr>
          <w:sz w:val="22"/>
          <w:szCs w:val="22"/>
        </w:rPr>
        <w:t>CheckM</w:t>
      </w:r>
      <w:proofErr w:type="spellEnd"/>
      <w:r w:rsidRPr="006B2830">
        <w:rPr>
          <w:sz w:val="22"/>
          <w:szCs w:val="22"/>
        </w:rPr>
        <w:t xml:space="preserve"> assessment independently confirms a highly complete, low-contamination genome recovery. This demonstrates that a complete, publication-quality bacterial genome assembly can </w:t>
      </w:r>
      <w:r w:rsidRPr="006B2830">
        <w:rPr>
          <w:sz w:val="22"/>
          <w:szCs w:val="22"/>
        </w:rPr>
        <w:lastRenderedPageBreak/>
        <w:t>b</w:t>
      </w:r>
      <w:r w:rsidRPr="006B2830">
        <w:rPr>
          <w:sz w:val="22"/>
          <w:szCs w:val="22"/>
        </w:rPr>
        <w:t xml:space="preserve">e reproduced entirely using free, cloud-based computational infrastructure (Galaxy, </w:t>
      </w:r>
      <w:proofErr w:type="spellStart"/>
      <w:r w:rsidRPr="006B2830">
        <w:rPr>
          <w:sz w:val="22"/>
          <w:szCs w:val="22"/>
        </w:rPr>
        <w:t>KBase</w:t>
      </w:r>
      <w:proofErr w:type="spellEnd"/>
      <w:r w:rsidRPr="006B2830">
        <w:rPr>
          <w:sz w:val="22"/>
          <w:szCs w:val="22"/>
        </w:rPr>
        <w:t>), without access to institutional high-performance computing.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>The identification of a native C30 carotenoid biosynthesis cluster (</w:t>
      </w:r>
      <w:proofErr w:type="spellStart"/>
      <w:r w:rsidRPr="006B2830">
        <w:rPr>
          <w:sz w:val="22"/>
          <w:szCs w:val="22"/>
        </w:rPr>
        <w:t>crtB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crtN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crtNb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crtNc</w:t>
      </w:r>
      <w:proofErr w:type="spellEnd"/>
      <w:r w:rsidRPr="006B2830">
        <w:rPr>
          <w:sz w:val="22"/>
          <w:szCs w:val="22"/>
        </w:rPr>
        <w:t>) in TSS-3 conf</w:t>
      </w:r>
      <w:r w:rsidRPr="006B2830">
        <w:rPr>
          <w:sz w:val="22"/>
          <w:szCs w:val="22"/>
        </w:rPr>
        <w:t xml:space="preserve">irms that carotenoid production is an intrinsic genomic feature of </w:t>
      </w:r>
      <w:r w:rsidRPr="006B2830">
        <w:rPr>
          <w:i/>
          <w:sz w:val="22"/>
          <w:szCs w:val="22"/>
        </w:rPr>
        <w:t xml:space="preserve">E. </w:t>
      </w:r>
      <w:proofErr w:type="spellStart"/>
      <w:r w:rsidRPr="006B2830">
        <w:rPr>
          <w:i/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>. This provides indirect genomic context for the carotenoid pigments (</w:t>
      </w:r>
      <w:proofErr w:type="spellStart"/>
      <w:r w:rsidRPr="006B2830">
        <w:rPr>
          <w:sz w:val="22"/>
          <w:szCs w:val="22"/>
        </w:rPr>
        <w:t>astaxanthin</w:t>
      </w:r>
      <w:proofErr w:type="spellEnd"/>
      <w:r w:rsidRPr="006B2830">
        <w:rPr>
          <w:sz w:val="22"/>
          <w:szCs w:val="22"/>
        </w:rPr>
        <w:t xml:space="preserve">, </w:t>
      </w:r>
      <w:proofErr w:type="spellStart"/>
      <w:r w:rsidRPr="006B2830">
        <w:rPr>
          <w:sz w:val="22"/>
          <w:szCs w:val="22"/>
        </w:rPr>
        <w:t>lycoxanthin</w:t>
      </w:r>
      <w:proofErr w:type="spellEnd"/>
      <w:r w:rsidRPr="006B2830">
        <w:rPr>
          <w:sz w:val="22"/>
          <w:szCs w:val="22"/>
        </w:rPr>
        <w:t>) identified by GC-MS in strain PZ163977. However, a direct mechanistic link should</w:t>
      </w:r>
      <w:r w:rsidRPr="006B2830">
        <w:rPr>
          <w:sz w:val="22"/>
          <w:szCs w:val="22"/>
        </w:rPr>
        <w:t xml:space="preserve"> be stated cautiously: the carotenoid pathway identified in TSS-3 is the C30 (</w:t>
      </w:r>
      <w:proofErr w:type="spellStart"/>
      <w:r w:rsidRPr="006B2830">
        <w:rPr>
          <w:sz w:val="22"/>
          <w:szCs w:val="22"/>
        </w:rPr>
        <w:t>diapocarotenoid</w:t>
      </w:r>
      <w:proofErr w:type="spellEnd"/>
      <w:r w:rsidRPr="006B2830">
        <w:rPr>
          <w:sz w:val="22"/>
          <w:szCs w:val="22"/>
        </w:rPr>
        <w:t xml:space="preserve">) branch, whereas </w:t>
      </w:r>
      <w:proofErr w:type="spellStart"/>
      <w:r w:rsidRPr="006B2830">
        <w:rPr>
          <w:sz w:val="22"/>
          <w:szCs w:val="22"/>
        </w:rPr>
        <w:t>astaxanthin</w:t>
      </w:r>
      <w:proofErr w:type="spellEnd"/>
      <w:r w:rsidRPr="006B2830">
        <w:rPr>
          <w:sz w:val="22"/>
          <w:szCs w:val="22"/>
        </w:rPr>
        <w:t xml:space="preserve"> and </w:t>
      </w:r>
      <w:proofErr w:type="spellStart"/>
      <w:r w:rsidRPr="006B2830">
        <w:rPr>
          <w:sz w:val="22"/>
          <w:szCs w:val="22"/>
        </w:rPr>
        <w:t>lycoxanthin</w:t>
      </w:r>
      <w:proofErr w:type="spellEnd"/>
      <w:r w:rsidRPr="006B2830">
        <w:rPr>
          <w:sz w:val="22"/>
          <w:szCs w:val="22"/>
        </w:rPr>
        <w:t xml:space="preserve"> are C40 carotenoids typically produced via a distinct </w:t>
      </w:r>
      <w:proofErr w:type="spellStart"/>
      <w:r w:rsidRPr="006B2830">
        <w:rPr>
          <w:sz w:val="22"/>
          <w:szCs w:val="22"/>
        </w:rPr>
        <w:t>crtI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crtY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crtZ</w:t>
      </w:r>
      <w:proofErr w:type="spellEnd"/>
      <w:r w:rsidRPr="006B2830">
        <w:rPr>
          <w:sz w:val="22"/>
          <w:szCs w:val="22"/>
        </w:rPr>
        <w:t xml:space="preserve"> pathway, which was not detected in this assembly</w:t>
      </w:r>
      <w:r w:rsidRPr="006B2830">
        <w:rPr>
          <w:sz w:val="22"/>
          <w:szCs w:val="22"/>
        </w:rPr>
        <w:t xml:space="preserve">. The genomic and biochemical findings should therefore be read as complementary evidence that </w:t>
      </w:r>
      <w:r w:rsidRPr="006B2830">
        <w:rPr>
          <w:i/>
          <w:sz w:val="22"/>
          <w:szCs w:val="22"/>
        </w:rPr>
        <w:t xml:space="preserve">E. </w:t>
      </w:r>
      <w:proofErr w:type="spellStart"/>
      <w:r w:rsidRPr="006B2830">
        <w:rPr>
          <w:i/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 as a species has carotenoid-producing capacity, rather than as direct confirmation that TSS-3 and PZ163977 share an identical biosynthetic route to </w:t>
      </w:r>
      <w:r w:rsidRPr="006B2830">
        <w:rPr>
          <w:sz w:val="22"/>
          <w:szCs w:val="22"/>
        </w:rPr>
        <w:t xml:space="preserve">the same compounds. Whole-genome sequencing of PZ163977 itself would be needed to confirm whether its C40 carotenoid production involves a distinct </w:t>
      </w:r>
      <w:proofErr w:type="spellStart"/>
      <w:r w:rsidRPr="006B2830">
        <w:rPr>
          <w:sz w:val="22"/>
          <w:szCs w:val="22"/>
        </w:rPr>
        <w:t>crtI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crtY</w:t>
      </w:r>
      <w:proofErr w:type="spellEnd"/>
      <w:r w:rsidRPr="006B2830">
        <w:rPr>
          <w:sz w:val="22"/>
          <w:szCs w:val="22"/>
        </w:rPr>
        <w:t>/</w:t>
      </w:r>
      <w:proofErr w:type="spellStart"/>
      <w:r w:rsidRPr="006B2830">
        <w:rPr>
          <w:sz w:val="22"/>
          <w:szCs w:val="22"/>
        </w:rPr>
        <w:t>crtZ</w:t>
      </w:r>
      <w:proofErr w:type="spellEnd"/>
      <w:r w:rsidRPr="006B2830">
        <w:rPr>
          <w:sz w:val="22"/>
          <w:szCs w:val="22"/>
        </w:rPr>
        <w:t>-type cluster not present in TSS-3.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>The ANI result (96.21%) independently confirms, at the who</w:t>
      </w:r>
      <w:r w:rsidRPr="006B2830">
        <w:rPr>
          <w:sz w:val="22"/>
          <w:szCs w:val="22"/>
        </w:rPr>
        <w:t xml:space="preserve">le-genome level, the species assignment of TSS-3 as </w:t>
      </w:r>
      <w:r w:rsidRPr="006B2830">
        <w:rPr>
          <w:i/>
          <w:sz w:val="22"/>
          <w:szCs w:val="22"/>
        </w:rPr>
        <w:t xml:space="preserve">E. </w:t>
      </w:r>
      <w:proofErr w:type="spellStart"/>
      <w:r w:rsidRPr="006B2830">
        <w:rPr>
          <w:i/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, consistent with its original 16S </w:t>
      </w:r>
      <w:proofErr w:type="spellStart"/>
      <w:r w:rsidRPr="006B2830">
        <w:rPr>
          <w:sz w:val="22"/>
          <w:szCs w:val="22"/>
        </w:rPr>
        <w:t>rRNA</w:t>
      </w:r>
      <w:proofErr w:type="spellEnd"/>
      <w:r w:rsidRPr="006B2830">
        <w:rPr>
          <w:sz w:val="22"/>
          <w:szCs w:val="22"/>
        </w:rPr>
        <w:t xml:space="preserve">- and genome-based classification. The moderate genome coverage values in the ANI comparison (62–66%) reflect the draft, highly fragmented nature of the </w:t>
      </w:r>
      <w:r w:rsidRPr="006B2830">
        <w:rPr>
          <w:sz w:val="22"/>
          <w:szCs w:val="22"/>
        </w:rPr>
        <w:t xml:space="preserve">type strain reference assembly (deposited as many short </w:t>
      </w:r>
      <w:proofErr w:type="spellStart"/>
      <w:r w:rsidRPr="006B2830">
        <w:rPr>
          <w:sz w:val="22"/>
          <w:szCs w:val="22"/>
        </w:rPr>
        <w:t>contigs</w:t>
      </w:r>
      <w:proofErr w:type="spellEnd"/>
      <w:r w:rsidRPr="006B2830">
        <w:rPr>
          <w:sz w:val="22"/>
          <w:szCs w:val="22"/>
        </w:rPr>
        <w:t xml:space="preserve">) rather than any structural concern with the TSS-3 assembly itself, which was independently confirmed to be complete and correctly structured by QUAST and </w:t>
      </w:r>
      <w:proofErr w:type="spellStart"/>
      <w:r w:rsidRPr="006B2830">
        <w:rPr>
          <w:sz w:val="22"/>
          <w:szCs w:val="22"/>
        </w:rPr>
        <w:t>CheckM</w:t>
      </w:r>
      <w:proofErr w:type="spellEnd"/>
      <w:r w:rsidRPr="006B2830">
        <w:rPr>
          <w:sz w:val="22"/>
          <w:szCs w:val="22"/>
        </w:rPr>
        <w:t>.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 xml:space="preserve">Several minor practical deviations from the originally planned protocol were required over the course of this project — substituting direct ENA read retrieval for a non-functional Galaxy SRA tool, explicitly specifying Phred33 quality encoding after </w:t>
      </w:r>
      <w:proofErr w:type="spellStart"/>
      <w:r w:rsidRPr="006B2830">
        <w:rPr>
          <w:sz w:val="22"/>
          <w:szCs w:val="22"/>
        </w:rPr>
        <w:t>Trimmo</w:t>
      </w:r>
      <w:r w:rsidRPr="006B2830">
        <w:rPr>
          <w:sz w:val="22"/>
          <w:szCs w:val="22"/>
        </w:rPr>
        <w:t>matic's</w:t>
      </w:r>
      <w:proofErr w:type="spellEnd"/>
      <w:r w:rsidRPr="006B2830">
        <w:rPr>
          <w:sz w:val="22"/>
          <w:szCs w:val="22"/>
        </w:rPr>
        <w:t xml:space="preserve"> auto-detection failed, and substituting </w:t>
      </w:r>
      <w:proofErr w:type="spellStart"/>
      <w:r w:rsidRPr="006B2830">
        <w:rPr>
          <w:sz w:val="22"/>
          <w:szCs w:val="22"/>
        </w:rPr>
        <w:t>Filtlong</w:t>
      </w:r>
      <w:proofErr w:type="spellEnd"/>
      <w:r w:rsidRPr="006B2830">
        <w:rPr>
          <w:sz w:val="22"/>
          <w:szCs w:val="22"/>
        </w:rPr>
        <w:t xml:space="preserve"> for an unavailable </w:t>
      </w:r>
      <w:proofErr w:type="spellStart"/>
      <w:r w:rsidRPr="006B2830">
        <w:rPr>
          <w:sz w:val="22"/>
          <w:szCs w:val="22"/>
        </w:rPr>
        <w:t>NanoFilt</w:t>
      </w:r>
      <w:proofErr w:type="spellEnd"/>
      <w:r w:rsidRPr="006B2830">
        <w:rPr>
          <w:sz w:val="22"/>
          <w:szCs w:val="22"/>
        </w:rPr>
        <w:t xml:space="preserve"> installation. Each substitution was verified to produce results consistent with the originally intended method, and is reported transparently in Section 2 rather than pres</w:t>
      </w:r>
      <w:r w:rsidRPr="006B2830">
        <w:rPr>
          <w:sz w:val="22"/>
          <w:szCs w:val="22"/>
        </w:rPr>
        <w:t>ented as though the original tools had been used without issue.</w:t>
      </w:r>
    </w:p>
    <w:p w:rsidR="000E1051" w:rsidRDefault="006B2830" w:rsidP="00346836">
      <w:pPr>
        <w:pStyle w:val="Heading1"/>
        <w:spacing w:before="320" w:after="160"/>
        <w:jc w:val="both"/>
      </w:pPr>
      <w:r>
        <w:t>5. Conclusion</w:t>
      </w:r>
    </w:p>
    <w:p w:rsidR="000E1051" w:rsidRPr="006B2830" w:rsidRDefault="006B2830" w:rsidP="00346836">
      <w:p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 xml:space="preserve">This project independently reproduced a complete, high-quality bacterial genome assembly and annotation for </w:t>
      </w:r>
      <w:r w:rsidRPr="006B2830">
        <w:rPr>
          <w:i/>
          <w:sz w:val="22"/>
          <w:szCs w:val="22"/>
        </w:rPr>
        <w:t xml:space="preserve">E. </w:t>
      </w:r>
      <w:proofErr w:type="spellStart"/>
      <w:r w:rsidRPr="006B2830">
        <w:rPr>
          <w:i/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 TSS-3 from public raw sequencing data, using exclusively </w:t>
      </w:r>
      <w:r w:rsidRPr="006B2830">
        <w:rPr>
          <w:sz w:val="22"/>
          <w:szCs w:val="22"/>
        </w:rPr>
        <w:t>free, cloud-based bioinformatics platforms. The resulting assembly closely matches the originally published genome in structure, composition, and completeness. Biosynthetic gene cluster mining identified a native C30 carotenoid biosynthesis pathway, provid</w:t>
      </w:r>
      <w:r w:rsidRPr="006B2830">
        <w:rPr>
          <w:sz w:val="22"/>
          <w:szCs w:val="22"/>
        </w:rPr>
        <w:t>ing genomic context — though not a direct compound-level match — for carotenoid-associated anti-inflammatory activity previously characterized experimentally in the related isolate PZ163977. Average Nucleotide Identity analysis further confirmed the specie</w:t>
      </w:r>
      <w:r w:rsidRPr="006B2830">
        <w:rPr>
          <w:sz w:val="22"/>
          <w:szCs w:val="22"/>
        </w:rPr>
        <w:t xml:space="preserve">s-level identity of TSS-3 relative to the </w:t>
      </w:r>
      <w:r w:rsidRPr="006B2830">
        <w:rPr>
          <w:i/>
          <w:sz w:val="22"/>
          <w:szCs w:val="22"/>
        </w:rPr>
        <w:t xml:space="preserve">E. </w:t>
      </w:r>
      <w:proofErr w:type="spellStart"/>
      <w:r w:rsidRPr="006B2830">
        <w:rPr>
          <w:i/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 type strain. Beyond the specific findings for TSS-3, this project demonstrates a practical, fully reproducible workflow for bacterial comparative genomics that requires no institutional compute infrast</w:t>
      </w:r>
      <w:r w:rsidRPr="006B2830">
        <w:rPr>
          <w:sz w:val="22"/>
          <w:szCs w:val="22"/>
        </w:rPr>
        <w:t>ructure, and establishes a methodological foundation for future whole-genome sequencing and analysis of strain PZ163977 itself.</w:t>
      </w:r>
    </w:p>
    <w:p w:rsidR="000E1051" w:rsidRDefault="006B2830" w:rsidP="00346836">
      <w:pPr>
        <w:pStyle w:val="Heading1"/>
        <w:spacing w:before="320" w:after="160"/>
        <w:jc w:val="both"/>
      </w:pPr>
      <w:r>
        <w:t>References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proofErr w:type="spellStart"/>
      <w:r w:rsidRPr="006B2830">
        <w:rPr>
          <w:sz w:val="22"/>
          <w:szCs w:val="22"/>
        </w:rPr>
        <w:t>Rincón</w:t>
      </w:r>
      <w:proofErr w:type="spellEnd"/>
      <w:r w:rsidRPr="006B2830">
        <w:rPr>
          <w:sz w:val="22"/>
          <w:szCs w:val="22"/>
        </w:rPr>
        <w:t xml:space="preserve">-Rosales, R. et al. (2023). Complete genome sequence of </w:t>
      </w:r>
      <w:proofErr w:type="spellStart"/>
      <w:r w:rsidRPr="006B2830">
        <w:rPr>
          <w:sz w:val="22"/>
          <w:szCs w:val="22"/>
        </w:rPr>
        <w:t>Exiguobacterium</w:t>
      </w:r>
      <w:proofErr w:type="spellEnd"/>
      <w:r w:rsidRPr="006B2830">
        <w:rPr>
          <w:sz w:val="22"/>
          <w:szCs w:val="22"/>
        </w:rPr>
        <w:t xml:space="preserve"> </w:t>
      </w:r>
      <w:proofErr w:type="spellStart"/>
      <w:r w:rsidRPr="006B2830">
        <w:rPr>
          <w:sz w:val="22"/>
          <w:szCs w:val="22"/>
        </w:rPr>
        <w:t>profundum</w:t>
      </w:r>
      <w:proofErr w:type="spellEnd"/>
      <w:r w:rsidRPr="006B2830">
        <w:rPr>
          <w:sz w:val="22"/>
          <w:szCs w:val="22"/>
        </w:rPr>
        <w:t xml:space="preserve"> strain TSS-3, isolated from a</w:t>
      </w:r>
      <w:r w:rsidRPr="006B2830">
        <w:rPr>
          <w:sz w:val="22"/>
          <w:szCs w:val="22"/>
        </w:rPr>
        <w:t xml:space="preserve"> saline-alkaline spring. Microbiology Resource Announcements, 12(7), e00171-23.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lastRenderedPageBreak/>
        <w:t xml:space="preserve">Wick, R. R., Judd, L. M., Gorrie, C. L., &amp; Holt, K. E. (2017). </w:t>
      </w:r>
      <w:proofErr w:type="spellStart"/>
      <w:r w:rsidRPr="006B2830">
        <w:rPr>
          <w:sz w:val="22"/>
          <w:szCs w:val="22"/>
        </w:rPr>
        <w:t>Unicycler</w:t>
      </w:r>
      <w:proofErr w:type="spellEnd"/>
      <w:r w:rsidRPr="006B2830">
        <w:rPr>
          <w:sz w:val="22"/>
          <w:szCs w:val="22"/>
        </w:rPr>
        <w:t>: Resolving bacterial genome assemblies from short and long sequencing reads. PLOS Computational Biology</w:t>
      </w:r>
      <w:r w:rsidRPr="006B2830">
        <w:rPr>
          <w:sz w:val="22"/>
          <w:szCs w:val="22"/>
        </w:rPr>
        <w:t>, 13(6), e1005595.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proofErr w:type="spellStart"/>
      <w:r w:rsidRPr="006B2830">
        <w:rPr>
          <w:sz w:val="22"/>
          <w:szCs w:val="22"/>
        </w:rPr>
        <w:t>Seemann</w:t>
      </w:r>
      <w:proofErr w:type="spellEnd"/>
      <w:r w:rsidRPr="006B2830">
        <w:rPr>
          <w:sz w:val="22"/>
          <w:szCs w:val="22"/>
        </w:rPr>
        <w:t xml:space="preserve">, T. (2014). </w:t>
      </w:r>
      <w:proofErr w:type="spellStart"/>
      <w:r w:rsidRPr="006B2830">
        <w:rPr>
          <w:sz w:val="22"/>
          <w:szCs w:val="22"/>
        </w:rPr>
        <w:t>Prokka</w:t>
      </w:r>
      <w:proofErr w:type="spellEnd"/>
      <w:r w:rsidRPr="006B2830">
        <w:rPr>
          <w:sz w:val="22"/>
          <w:szCs w:val="22"/>
        </w:rPr>
        <w:t>: rapid prokaryotic genome annotation. Bioinformatics, 30(14), 2068–2069.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 xml:space="preserve">Blin, K. et al. (2023). </w:t>
      </w:r>
      <w:proofErr w:type="spellStart"/>
      <w:r w:rsidRPr="006B2830">
        <w:rPr>
          <w:sz w:val="22"/>
          <w:szCs w:val="22"/>
        </w:rPr>
        <w:t>antiSMASH</w:t>
      </w:r>
      <w:proofErr w:type="spellEnd"/>
      <w:r w:rsidRPr="006B2830">
        <w:rPr>
          <w:sz w:val="22"/>
          <w:szCs w:val="22"/>
        </w:rPr>
        <w:t xml:space="preserve"> 7.0: new and improved predictions for detection, regulation, chemical structures and </w:t>
      </w:r>
      <w:proofErr w:type="spellStart"/>
      <w:r w:rsidRPr="006B2830">
        <w:rPr>
          <w:sz w:val="22"/>
          <w:szCs w:val="22"/>
        </w:rPr>
        <w:t>visualisation</w:t>
      </w:r>
      <w:proofErr w:type="spellEnd"/>
      <w:r w:rsidRPr="006B2830">
        <w:rPr>
          <w:sz w:val="22"/>
          <w:szCs w:val="22"/>
        </w:rPr>
        <w:t>. Nuc</w:t>
      </w:r>
      <w:r w:rsidRPr="006B2830">
        <w:rPr>
          <w:sz w:val="22"/>
          <w:szCs w:val="22"/>
        </w:rPr>
        <w:t>leic Acids Research, 51(W1), W46–W50.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 xml:space="preserve">Parks, D. H., </w:t>
      </w:r>
      <w:proofErr w:type="spellStart"/>
      <w:r w:rsidRPr="006B2830">
        <w:rPr>
          <w:sz w:val="22"/>
          <w:szCs w:val="22"/>
        </w:rPr>
        <w:t>Imelfort</w:t>
      </w:r>
      <w:proofErr w:type="spellEnd"/>
      <w:r w:rsidRPr="006B2830">
        <w:rPr>
          <w:sz w:val="22"/>
          <w:szCs w:val="22"/>
        </w:rPr>
        <w:t xml:space="preserve">, M., </w:t>
      </w:r>
      <w:proofErr w:type="spellStart"/>
      <w:r w:rsidRPr="006B2830">
        <w:rPr>
          <w:sz w:val="22"/>
          <w:szCs w:val="22"/>
        </w:rPr>
        <w:t>Skennerton</w:t>
      </w:r>
      <w:proofErr w:type="spellEnd"/>
      <w:r w:rsidRPr="006B2830">
        <w:rPr>
          <w:sz w:val="22"/>
          <w:szCs w:val="22"/>
        </w:rPr>
        <w:t xml:space="preserve">, C. T., </w:t>
      </w:r>
      <w:proofErr w:type="spellStart"/>
      <w:r w:rsidRPr="006B2830">
        <w:rPr>
          <w:sz w:val="22"/>
          <w:szCs w:val="22"/>
        </w:rPr>
        <w:t>Hugenholtz</w:t>
      </w:r>
      <w:proofErr w:type="spellEnd"/>
      <w:r w:rsidRPr="006B2830">
        <w:rPr>
          <w:sz w:val="22"/>
          <w:szCs w:val="22"/>
        </w:rPr>
        <w:t xml:space="preserve">, P., &amp; Tyson, G. W. (2015). </w:t>
      </w:r>
      <w:proofErr w:type="spellStart"/>
      <w:r w:rsidRPr="006B2830">
        <w:rPr>
          <w:sz w:val="22"/>
          <w:szCs w:val="22"/>
        </w:rPr>
        <w:t>CheckM</w:t>
      </w:r>
      <w:proofErr w:type="spellEnd"/>
      <w:r w:rsidRPr="006B2830">
        <w:rPr>
          <w:sz w:val="22"/>
          <w:szCs w:val="22"/>
        </w:rPr>
        <w:t>: assessing the quality of microbial genomes recovered from isolates, single cells, and metagenomes. Genome Research, 25(7), 1</w:t>
      </w:r>
      <w:r w:rsidRPr="006B2830">
        <w:rPr>
          <w:sz w:val="22"/>
          <w:szCs w:val="22"/>
        </w:rPr>
        <w:t>043–1055.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proofErr w:type="spellStart"/>
      <w:r w:rsidRPr="006B2830">
        <w:rPr>
          <w:sz w:val="22"/>
          <w:szCs w:val="22"/>
        </w:rPr>
        <w:t>Gurevich</w:t>
      </w:r>
      <w:proofErr w:type="spellEnd"/>
      <w:r w:rsidRPr="006B2830">
        <w:rPr>
          <w:sz w:val="22"/>
          <w:szCs w:val="22"/>
        </w:rPr>
        <w:t xml:space="preserve">, A., </w:t>
      </w:r>
      <w:proofErr w:type="spellStart"/>
      <w:r w:rsidRPr="006B2830">
        <w:rPr>
          <w:sz w:val="22"/>
          <w:szCs w:val="22"/>
        </w:rPr>
        <w:t>Saveliev</w:t>
      </w:r>
      <w:proofErr w:type="spellEnd"/>
      <w:r w:rsidRPr="006B2830">
        <w:rPr>
          <w:sz w:val="22"/>
          <w:szCs w:val="22"/>
        </w:rPr>
        <w:t xml:space="preserve">, V., </w:t>
      </w:r>
      <w:proofErr w:type="spellStart"/>
      <w:r w:rsidRPr="006B2830">
        <w:rPr>
          <w:sz w:val="22"/>
          <w:szCs w:val="22"/>
        </w:rPr>
        <w:t>Vyahhi</w:t>
      </w:r>
      <w:proofErr w:type="spellEnd"/>
      <w:r w:rsidRPr="006B2830">
        <w:rPr>
          <w:sz w:val="22"/>
          <w:szCs w:val="22"/>
        </w:rPr>
        <w:t xml:space="preserve">, N., &amp; </w:t>
      </w:r>
      <w:proofErr w:type="spellStart"/>
      <w:r w:rsidRPr="006B2830">
        <w:rPr>
          <w:sz w:val="22"/>
          <w:szCs w:val="22"/>
        </w:rPr>
        <w:t>Tesler</w:t>
      </w:r>
      <w:proofErr w:type="spellEnd"/>
      <w:r w:rsidRPr="006B2830">
        <w:rPr>
          <w:sz w:val="22"/>
          <w:szCs w:val="22"/>
        </w:rPr>
        <w:t>, G. (2013). QUAST: quality assessment tool for genome assemblies. Bioinformatics, 29(8), 1072–1075.</w:t>
      </w:r>
    </w:p>
    <w:p w:rsidR="000E1051" w:rsidRPr="006B2830" w:rsidRDefault="006B2830" w:rsidP="006B2830">
      <w:pPr>
        <w:pStyle w:val="ListParagraph"/>
        <w:numPr>
          <w:ilvl w:val="0"/>
          <w:numId w:val="2"/>
        </w:numPr>
        <w:spacing w:after="160"/>
        <w:jc w:val="both"/>
        <w:rPr>
          <w:sz w:val="22"/>
          <w:szCs w:val="22"/>
        </w:rPr>
      </w:pPr>
      <w:r w:rsidRPr="006B2830">
        <w:rPr>
          <w:sz w:val="22"/>
          <w:szCs w:val="22"/>
        </w:rPr>
        <w:t>Yoon, S. H., Ha, S. M., Lim, J., Kwon, S., &amp; Chun, J. (2017). A large-scale evaluation of algorit</w:t>
      </w:r>
      <w:r w:rsidRPr="006B2830">
        <w:rPr>
          <w:sz w:val="22"/>
          <w:szCs w:val="22"/>
        </w:rPr>
        <w:t xml:space="preserve">hms to calculate average nucleotide identity. </w:t>
      </w:r>
      <w:proofErr w:type="spellStart"/>
      <w:r w:rsidRPr="006B2830">
        <w:rPr>
          <w:sz w:val="22"/>
          <w:szCs w:val="22"/>
        </w:rPr>
        <w:t>Antonie</w:t>
      </w:r>
      <w:proofErr w:type="spellEnd"/>
      <w:r w:rsidRPr="006B2830">
        <w:rPr>
          <w:sz w:val="22"/>
          <w:szCs w:val="22"/>
        </w:rPr>
        <w:t xml:space="preserve"> van Leeuwenhoek, 110(10), 1281–1286.</w:t>
      </w:r>
    </w:p>
    <w:p w:rsidR="000E1051" w:rsidRDefault="006B2830" w:rsidP="00346836">
      <w:pPr>
        <w:spacing w:after="160"/>
        <w:jc w:val="both"/>
      </w:pPr>
      <w:r>
        <w:rPr>
          <w:i/>
          <w:iCs/>
          <w:color w:val="666666"/>
        </w:rPr>
        <w:t>[</w:t>
      </w:r>
      <w:r>
        <w:rPr>
          <w:i/>
          <w:iCs/>
          <w:color w:val="666666"/>
        </w:rPr>
        <w:t xml:space="preserve">Additional references to be added: PZ163977 dissertation work upon its own publication; BV-BRC comparative </w:t>
      </w:r>
      <w:bookmarkStart w:id="0" w:name="_GoBack"/>
      <w:bookmarkEnd w:id="0"/>
      <w:r>
        <w:rPr>
          <w:i/>
          <w:iCs/>
          <w:color w:val="666666"/>
        </w:rPr>
        <w:t>genomics study.]</w:t>
      </w:r>
    </w:p>
    <w:sectPr w:rsidR="000E10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5636"/>
    <w:multiLevelType w:val="hybridMultilevel"/>
    <w:tmpl w:val="3F121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63199"/>
    <w:multiLevelType w:val="hybridMultilevel"/>
    <w:tmpl w:val="D8A0ECCC"/>
    <w:lvl w:ilvl="0" w:tplc="0F905D70">
      <w:start w:val="1"/>
      <w:numFmt w:val="bullet"/>
      <w:lvlText w:val="●"/>
      <w:lvlJc w:val="left"/>
      <w:pPr>
        <w:ind w:left="720" w:hanging="360"/>
      </w:pPr>
    </w:lvl>
    <w:lvl w:ilvl="1" w:tplc="06426324">
      <w:start w:val="1"/>
      <w:numFmt w:val="bullet"/>
      <w:lvlText w:val="○"/>
      <w:lvlJc w:val="left"/>
      <w:pPr>
        <w:ind w:left="1440" w:hanging="360"/>
      </w:pPr>
    </w:lvl>
    <w:lvl w:ilvl="2" w:tplc="BDF04BB6">
      <w:start w:val="1"/>
      <w:numFmt w:val="bullet"/>
      <w:lvlText w:val="■"/>
      <w:lvlJc w:val="left"/>
      <w:pPr>
        <w:ind w:left="2160" w:hanging="360"/>
      </w:pPr>
    </w:lvl>
    <w:lvl w:ilvl="3" w:tplc="12665B04">
      <w:start w:val="1"/>
      <w:numFmt w:val="bullet"/>
      <w:lvlText w:val="●"/>
      <w:lvlJc w:val="left"/>
      <w:pPr>
        <w:ind w:left="2880" w:hanging="360"/>
      </w:pPr>
    </w:lvl>
    <w:lvl w:ilvl="4" w:tplc="0FA0C24C">
      <w:start w:val="1"/>
      <w:numFmt w:val="bullet"/>
      <w:lvlText w:val="○"/>
      <w:lvlJc w:val="left"/>
      <w:pPr>
        <w:ind w:left="3600" w:hanging="360"/>
      </w:pPr>
    </w:lvl>
    <w:lvl w:ilvl="5" w:tplc="5B9C0C58">
      <w:start w:val="1"/>
      <w:numFmt w:val="bullet"/>
      <w:lvlText w:val="■"/>
      <w:lvlJc w:val="left"/>
      <w:pPr>
        <w:ind w:left="4320" w:hanging="360"/>
      </w:pPr>
    </w:lvl>
    <w:lvl w:ilvl="6" w:tplc="F9583370">
      <w:start w:val="1"/>
      <w:numFmt w:val="bullet"/>
      <w:lvlText w:val="●"/>
      <w:lvlJc w:val="left"/>
      <w:pPr>
        <w:ind w:left="5040" w:hanging="360"/>
      </w:pPr>
    </w:lvl>
    <w:lvl w:ilvl="7" w:tplc="BC1CF05E">
      <w:start w:val="1"/>
      <w:numFmt w:val="bullet"/>
      <w:lvlText w:val="●"/>
      <w:lvlJc w:val="left"/>
      <w:pPr>
        <w:ind w:left="5760" w:hanging="360"/>
      </w:pPr>
    </w:lvl>
    <w:lvl w:ilvl="8" w:tplc="E8D6FE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51"/>
    <w:rsid w:val="000E1051"/>
    <w:rsid w:val="00346836"/>
    <w:rsid w:val="006B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5FFA"/>
  <w15:docId w15:val="{F524B18B-D995-466F-832E-B8D847C6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3233</Words>
  <Characters>18432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2026-07-19T17:00:00Z</dcterms:created>
  <dcterms:modified xsi:type="dcterms:W3CDTF">2026-07-20T13:59:00Z</dcterms:modified>
</cp:coreProperties>
</file>