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Review Report — Adaptive Privacy Budget Allocation in DP-FL</w:t>
      </w:r>
    </w:p>
    <w:p>
      <w:pPr>
        <w:pStyle w:val="Author"/>
      </w:pPr>
      <w:r>
        <w:t xml:space="preserve">BRAC University · T25301039</w:t>
      </w:r>
    </w:p>
    <w:p>
      <w:pPr>
        <w:pStyle w:val="Date"/>
      </w:pPr>
      <w:r>
        <w:t xml:space="preserve">21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technical-review-report"/>
    <w:p>
      <w:pPr>
        <w:pStyle w:val="Heading1"/>
      </w:pPr>
      <w:r>
        <w:t xml:space="preserve">Technical Review Report</w:t>
      </w:r>
    </w:p>
    <w:bookmarkStart w:id="9" w:name="Xc233e4e5afa30a528b1615c1989688eeb5bfbb5"/>
    <w:p>
      <w:pPr>
        <w:pStyle w:val="Heading2"/>
      </w:pPr>
      <w:r>
        <w:t xml:space="preserve">Adaptive Privacy Budget Allocation in Differentially Private Federated Learning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Anti-UAV FL + DP + DRL thesis (BRAC University, T25301039)</w:t>
      </w:r>
      <w:r>
        <w:t xml:space="preserve"> </w:t>
      </w:r>
      <w:r>
        <w:rPr>
          <w:b/>
          <w:bCs/>
        </w:rPr>
        <w:t xml:space="preserve">Review period:</w:t>
      </w:r>
      <w:r>
        <w:t xml:space="preserve"> </w:t>
      </w:r>
      <w:r>
        <w:t xml:space="preserve">2026-09-20 — 2026-09-21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Thesis manuscript, experimental record, and the source method’s</w:t>
      </w:r>
      <w:r>
        <w:t xml:space="preserve"> </w:t>
      </w:r>
      <w:r>
        <w:t xml:space="preserve">released implementation (Chen et al., ICC 2024)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Central thesis claim</w:t>
      </w:r>
      <w:r>
        <w:t xml:space="preserve"> </w:t>
      </w:r>
      <w:r>
        <w:rPr>
          <w:b/>
          <w:bCs/>
        </w:rPr>
        <w:t xml:space="preserve">requires re-scoping</w:t>
      </w:r>
      <w:r>
        <w:t xml:space="preserve">; source paper’s headline</w:t>
      </w:r>
      <w:r>
        <w:t xml:space="preserve"> </w:t>
      </w:r>
      <w:r>
        <w:t xml:space="preserve">result</w:t>
      </w:r>
      <w:r>
        <w:t xml:space="preserve"> </w:t>
      </w:r>
      <w:r>
        <w:rPr>
          <w:b/>
          <w:bCs/>
        </w:rPr>
        <w:t xml:space="preserve">reproduced</w:t>
      </w:r>
      <w:r>
        <w:t xml:space="preserve">; a new and stronger result identified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review was triggered by two independent external critiques of the thesis</w:t>
      </w:r>
      <w:r>
        <w:t xml:space="preserve"> </w:t>
      </w:r>
      <w:r>
        <w:t xml:space="preserve">manuscript. It expanded into a full audit of the experimental record and, at the</w:t>
      </w:r>
      <w:r>
        <w:t xml:space="preserve"> </w:t>
      </w:r>
      <w:r>
        <w:t xml:space="preserve">reviewers’ prompting, into direct replication of the source method.</w:t>
      </w:r>
    </w:p>
    <w:p>
      <w:pPr>
        <w:pStyle w:val="BodyText"/>
      </w:pPr>
      <w:r>
        <w:rPr>
          <w:b/>
          <w:bCs/>
        </w:rPr>
        <w:t xml:space="preserve">Four outcomes, in order of consequence: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thesis’s central claim is refuted in the high-noise regime.</w:t>
      </w:r>
      <w:r>
        <w:t xml:space="preserve"> </w:t>
      </w:r>
      <w:r>
        <w:t xml:space="preserve">Uniform</w:t>
      </w:r>
      <w:r>
        <w:t xml:space="preserve"> </w:t>
      </w:r>
      <w:r>
        <w:t xml:space="preserve">privacy-budget allocation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universally optimal. At the source paper’s</w:t>
      </w:r>
      <w:r>
        <w:t xml:space="preserve"> </w:t>
      </w:r>
      <w:r>
        <w:t xml:space="preserve">operating point the learned allocator beats uniform by</w:t>
      </w:r>
      <w:r>
        <w:t xml:space="preserve"> </w:t>
      </w:r>
      <w:r>
        <w:rPr>
          <w:b/>
          <w:bCs/>
        </w:rPr>
        <w:t xml:space="preserve">+2.27pp</w:t>
      </w:r>
      <w:r>
        <w:rPr>
          <w:b/>
          <w:bCs/>
        </w:rPr>
        <w:t xml:space="preserve"> </w:t>
      </w:r>
      <w:r>
        <w:rPr>
          <w:b/>
          <w:bCs/>
        </w:rPr>
        <w:t xml:space="preserve">(95% CI [+0.94, +3.59], 9/10 wins, p = 0.004)</w:t>
      </w:r>
      <w:r>
        <w:t xml:space="preserve">, and the correlation between</w:t>
      </w:r>
      <w:r>
        <w:t xml:space="preserve"> </w:t>
      </w:r>
      <w:r>
        <w:t xml:space="preserve">accumulated noise variance and accuracy is</w:t>
      </w:r>
      <w:r>
        <w:t xml:space="preserve"> </w:t>
      </w:r>
      <w:r>
        <w:rPr>
          <w:b/>
          <w:bCs/>
        </w:rPr>
        <w:t xml:space="preserve">+1.000</w:t>
      </w:r>
      <w:r>
        <w:t xml:space="preserve"> </w:t>
      </w:r>
      <w:r>
        <w:t xml:space="preserve">— exactly inverted from</w:t>
      </w:r>
      <w:r>
        <w:t xml:space="preserve"> </w:t>
      </w:r>
      <w:r>
        <w:t xml:space="preserve">the −0.767 the thesis reports. Theorem 3.1 is not wrong; its scope was</w:t>
      </w:r>
      <w:r>
        <w:t xml:space="preserve"> </w:t>
      </w:r>
      <w:r>
        <w:t xml:space="preserve">overstated.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source paper’s headline result reproduces.</w:t>
      </w:r>
      <w:r>
        <w:t xml:space="preserve"> </w:t>
      </w:r>
      <w:r>
        <w:t xml:space="preserve">Their claimed MNIST gain</w:t>
      </w:r>
      <w:r>
        <w:t xml:space="preserve"> </w:t>
      </w:r>
      <w:r>
        <w:t xml:space="preserve">of +3.02pp was measured here at +2.27pp with a confidence interval. Earlier</w:t>
      </w:r>
      <w:r>
        <w:t xml:space="preserve"> </w:t>
      </w:r>
      <w:r>
        <w:t xml:space="preserve">characterisations of that result as</w:t>
      </w:r>
      <w:r>
        <w:t xml:space="preserve"> </w:t>
      </w:r>
      <w:r>
        <w:t xml:space="preserve">“noise”</w:t>
      </w:r>
      <w:r>
        <w:t xml:space="preserve"> </w:t>
      </w:r>
      <w:r>
        <w:t xml:space="preserve">were wrong and have been retracted.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Their released code does not reproduce their own paper.</w:t>
      </w:r>
      <w:r>
        <w:t xml:space="preserve"> </w:t>
      </w:r>
      <w:r>
        <w:t xml:space="preserve">A unit</w:t>
      </w:r>
      <w:r>
        <w:t xml:space="preserve"> </w:t>
      </w:r>
      <w:r>
        <w:t xml:space="preserve">inconsistency in the action-mapping constraint means the stated noise range</w:t>
      </w:r>
      <w:r>
        <w:t xml:space="preserve"> </w:t>
      </w:r>
      <w:r>
        <w:t xml:space="preserve">σ ∈ [1,20] is never enforced; applied σ is ≈14× smaller. Run as shipped, all</w:t>
      </w:r>
      <w:r>
        <w:t xml:space="preserve"> </w:t>
      </w:r>
      <w:r>
        <w:t xml:space="preserve">four allocation arms lie within 0.15pp and nothing is measurable.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defensible negative result survives, and it is about MARL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allocation.</w:t>
      </w:r>
      <w:r>
        <w:t xml:space="preserve"> </w:t>
      </w:r>
      <w:r>
        <w:t xml:space="preserve">The learned policy is statistically indistinguishable from a</w:t>
      </w:r>
      <w:r>
        <w:t xml:space="preserve"> </w:t>
      </w:r>
      <w:r>
        <w:t xml:space="preserve">one-line fixed exponential schedule (</w:t>
      </w:r>
      <w:r>
        <w:rPr>
          <w:b/>
          <w:bCs/>
        </w:rPr>
        <w:t xml:space="preserve">+0.29pp, p = 0.557</w:t>
      </w:r>
      <w:r>
        <w:t xml:space="preserve">). The advantage</w:t>
      </w:r>
      <w:r>
        <w:t xml:space="preserve"> </w:t>
      </w:r>
      <w:r>
        <w:t xml:space="preserve">over uniform comes from the schedule being</w:t>
      </w:r>
      <w:r>
        <w:t xml:space="preserve"> </w:t>
      </w:r>
      <w:r>
        <w:rPr>
          <w:i/>
          <w:iCs/>
        </w:rPr>
        <w:t xml:space="preserve">decreasing</w:t>
      </w:r>
      <w:r>
        <w:t xml:space="preserve">, not from its being</w:t>
      </w:r>
      <w:r>
        <w:t xml:space="preserve"> </w:t>
      </w:r>
      <w:r>
        <w:rPr>
          <w:i/>
          <w:iCs/>
        </w:rPr>
        <w:t xml:space="preserve">learned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Five errors were found in the thesis manuscript</w:t>
      </w:r>
      <w:r>
        <w:t xml:space="preserve"> </w:t>
      </w:r>
      <w:r>
        <w:t xml:space="preserve">(§4.2), of which two were</w:t>
      </w:r>
      <w:r>
        <w:t xml:space="preserve"> </w:t>
      </w:r>
      <w:r>
        <w:t xml:space="preserve">introduced during this review cycle and self-corrected. All are documented.</w:t>
      </w:r>
    </w:p>
    <w:p>
      <w:r>
        <w:pict>
          <v:rect style="width:0;height:1.5pt" o:hralign="center" o:hrstd="t" o:hr="t"/>
        </w:pict>
      </w:r>
    </w:p>
    <w:bookmarkEnd w:id="10"/>
    <w:bookmarkStart w:id="14" w:name="scope-and-method"/>
    <w:p>
      <w:pPr>
        <w:pStyle w:val="Heading2"/>
      </w:pPr>
      <w:r>
        <w:t xml:space="preserve">2. Scope and method</w:t>
      </w:r>
    </w:p>
    <w:bookmarkStart w:id="11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Thesis manuscript (LaTeX source, all chapters)</w:t>
      </w:r>
    </w:p>
    <w:p>
      <w:pPr>
        <w:pStyle w:val="Compact"/>
        <w:numPr>
          <w:ilvl w:val="0"/>
          <w:numId w:val="1002"/>
        </w:numPr>
      </w:pPr>
      <w:r>
        <w:t xml:space="preserve">Experimental record: 20 result files under</w:t>
      </w:r>
      <w:r>
        <w:t xml:space="preserve"> </w:t>
      </w:r>
      <w:r>
        <w:rPr>
          <w:rStyle w:val="VerbatimChar"/>
        </w:rPr>
        <w:t xml:space="preserve">exp_data/</w:t>
      </w:r>
    </w:p>
    <w:p>
      <w:pPr>
        <w:pStyle w:val="Compact"/>
        <w:numPr>
          <w:ilvl w:val="0"/>
          <w:numId w:val="1002"/>
        </w:numPr>
      </w:pPr>
      <w:r>
        <w:t xml:space="preserve">Source method implementation:</w:t>
      </w:r>
      <w:r>
        <w:t xml:space="preserve"> </w:t>
      </w:r>
      <w:r>
        <w:rPr>
          <w:rStyle w:val="VerbatimChar"/>
        </w:rPr>
        <w:t xml:space="preserve">Author/Code/{train,test}_{MNIST,CIFAR10}.py</w:t>
      </w:r>
    </w:p>
    <w:p>
      <w:pPr>
        <w:pStyle w:val="Compact"/>
        <w:numPr>
          <w:ilvl w:val="0"/>
          <w:numId w:val="1002"/>
        </w:numPr>
      </w:pPr>
      <w:r>
        <w:t xml:space="preserve">Project’s own DRL implementations and the two-stage frozen-trunk pipeline</w:t>
      </w:r>
    </w:p>
    <w:bookmarkEnd w:id="11"/>
    <w:bookmarkStart w:id="12" w:name="method"/>
    <w:p>
      <w:pPr>
        <w:pStyle w:val="Heading3"/>
      </w:pPr>
      <w:r>
        <w:t xml:space="preserve">Method</w:t>
      </w:r>
    </w:p>
    <w:p>
      <w:pPr>
        <w:pStyle w:val="FirstParagraph"/>
      </w:pPr>
      <w:r>
        <w:t xml:space="preserve">Every quantitative claim in the manuscript was traced to its underlying data</w:t>
      </w:r>
      <w:r>
        <w:t xml:space="preserve"> </w:t>
      </w:r>
      <w:r>
        <w:t xml:space="preserve">file and recomputed. Claims that could not be traced were flagged rather than</w:t>
      </w:r>
      <w:r>
        <w:t xml:space="preserve"> </w:t>
      </w:r>
      <w:r>
        <w:t xml:space="preserve">accepted. Where a disputed mechanism could be tested directly, it was tested</w:t>
      </w:r>
      <w:r>
        <w:t xml:space="preserve"> </w:t>
      </w:r>
      <w:r>
        <w:t xml:space="preserve">rather than argued.</w:t>
      </w:r>
    </w:p>
    <w:bookmarkEnd w:id="12"/>
    <w:bookmarkStart w:id="13" w:name="verification-standard-applied"/>
    <w:p>
      <w:pPr>
        <w:pStyle w:val="Heading3"/>
      </w:pPr>
      <w:r>
        <w:t xml:space="preserve">Verification standard applied</w:t>
      </w:r>
    </w:p>
    <w:p>
      <w:pPr>
        <w:pStyle w:val="FirstParagraph"/>
      </w:pPr>
      <w:r>
        <w:t xml:space="preserve">A claim was accepted only if it could be reproduced from stored data by an</w:t>
      </w:r>
      <w:r>
        <w:t xml:space="preserve"> </w:t>
      </w:r>
      <w:r>
        <w:t xml:space="preserve">independent computation. Three claims failed this standard and were withdrawn</w:t>
      </w:r>
      <w:r>
        <w:t xml:space="preserve"> </w:t>
      </w:r>
      <w:r>
        <w:t xml:space="preserve">(§4.2, items 1, 3, 5).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workflow"/>
    <w:p>
      <w:pPr>
        <w:pStyle w:val="Heading2"/>
      </w:pPr>
      <w:r>
        <w:t xml:space="preserve">3.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Rewrite manuscript from</w:t>
            </w:r>
            <w:r>
              <w:t xml:space="preserve"> </w:t>
            </w:r>
            <w:r>
              <w:rPr>
                <w:rStyle w:val="VerbatimChar"/>
              </w:rPr>
              <w:t xml:space="preserve">thesis_rewrite.tex</w:t>
            </w:r>
            <w:r>
              <w:t xml:space="preserve"> </w:t>
            </w:r>
            <w:r>
              <w:t xml:space="preserve">into the BRACU template</w:t>
            </w:r>
          </w:p>
        </w:tc>
        <w:tc>
          <w:tcPr/>
          <w:p>
            <w:pPr>
              <w:pStyle w:val="Compact"/>
            </w:pPr>
            <w:r>
              <w:t xml:space="preserve">6 chapters, 37pp, 0 LaTeX errors, 13 figures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Triage two external reviews</w:t>
            </w:r>
          </w:p>
        </w:tc>
        <w:tc>
          <w:tcPr/>
          <w:p>
            <w:pPr>
              <w:pStyle w:val="Compact"/>
            </w:pPr>
            <w:r>
              <w:t xml:space="preserve">7 of 8 substantive criticisms upheld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every numeric claim against source data</w:t>
            </w:r>
          </w:p>
        </w:tc>
        <w:tc>
          <w:tcPr/>
          <w:p>
            <w:pPr>
              <w:pStyle w:val="Compact"/>
            </w:pPr>
            <w:r>
              <w:t xml:space="preserve">3 claims withdrawn, 2 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Specify follow-up experiments E1–E4 with pre-registered decision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NEXT_EXPERIMENTS.md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Audit the source method’s released code</w:t>
            </w:r>
          </w:p>
        </w:tc>
        <w:tc>
          <w:tcPr/>
          <w:p>
            <w:pPr>
              <w:pStyle w:val="Compact"/>
            </w:pPr>
            <w:r>
              <w:t xml:space="preserve">2 implementation defects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Replicate the source method (n=1, then n=10 paired)</w:t>
            </w:r>
          </w:p>
        </w:tc>
        <w:tc>
          <w:tcPr/>
          <w:p>
            <w:pPr>
              <w:pStyle w:val="Compact"/>
            </w:pPr>
            <w:r>
              <w:t xml:space="preserve">Central claim refuted; source claim reproduced</w:t>
            </w:r>
          </w:p>
        </w:tc>
      </w:tr>
    </w:tbl>
    <w:bookmarkStart w:id="15" w:name="notable-process-decisions"/>
    <w:p>
      <w:pPr>
        <w:pStyle w:val="Heading3"/>
      </w:pPr>
      <w:r>
        <w:t xml:space="preserve">Notable process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Pre-registration.</w:t>
      </w:r>
      <w:r>
        <w:t xml:space="preserve"> </w:t>
      </w:r>
      <w:r>
        <w:t xml:space="preserve">Decision rules for every experiment were fixed in</w:t>
      </w:r>
      <w:r>
        <w:t xml:space="preserve"> </w:t>
      </w:r>
      <w:r>
        <w:t xml:space="preserve">writing before results were seen, to prevent post-hoc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Refusal to fabricate.</w:t>
      </w:r>
      <w:r>
        <w:t xml:space="preserve"> </w:t>
      </w:r>
      <w:r>
        <w:t xml:space="preserve">A request to</w:t>
      </w:r>
      <w:r>
        <w:t xml:space="preserve"> </w:t>
      </w:r>
      <w:r>
        <w:t xml:space="preserve">“make the DRL win”</w:t>
      </w:r>
      <w:r>
        <w:t xml:space="preserve"> </w:t>
      </w:r>
      <w:r>
        <w:t xml:space="preserve">was met by</w:t>
      </w:r>
      <w:r>
        <w:t xml:space="preserve"> </w:t>
      </w:r>
      <w:r>
        <w:t xml:space="preserve">identifying three legitimate routes rather than by reinstating a known-invalid</w:t>
      </w:r>
      <w:r>
        <w:t xml:space="preserve"> </w:t>
      </w:r>
      <w:r>
        <w:t xml:space="preserve">evaluation. The win was subsequently obtained legitimately (§5.3).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Self-correction.</w:t>
      </w:r>
      <w:r>
        <w:t xml:space="preserve"> </w:t>
      </w:r>
      <w:r>
        <w:t xml:space="preserve">Two findings produced during this review were later</w:t>
      </w:r>
      <w:r>
        <w:t xml:space="preserve"> </w:t>
      </w:r>
      <w:r>
        <w:t xml:space="preserve">falsified by further evidence and were retracted in place rather than quietly</w:t>
      </w:r>
      <w:r>
        <w:t xml:space="preserve"> </w:t>
      </w:r>
      <w:r>
        <w:t xml:space="preserve">removed (§4.2, items 3 and 5).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findings"/>
    <w:p>
      <w:pPr>
        <w:pStyle w:val="Heading2"/>
      </w:pPr>
      <w:r>
        <w:t xml:space="preserve">4. Findings</w:t>
      </w:r>
    </w:p>
    <w:bookmarkStart w:id="17" w:name="severity-classification"/>
    <w:p>
      <w:pPr>
        <w:pStyle w:val="Heading3"/>
      </w:pPr>
      <w:r>
        <w:t xml:space="preserve">4.1 Severity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Invalidates a published or thesis claim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Materially misleads, or blocks a result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Correctness or presentation defect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17"/>
    <w:bookmarkStart w:id="18" w:name="critical-findings"/>
    <w:p>
      <w:pPr>
        <w:pStyle w:val="Heading3"/>
      </w:pPr>
      <w:r>
        <w:t xml:space="preserve">4.2 Critical findings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C-1 — The uniform-optimality claim does not hold at high noise</w:t>
      </w:r>
      <w:r>
        <w:t xml:space="preserve"> </w:t>
      </w:r>
      <w:r>
        <w:rPr>
          <w:i/>
          <w:iCs/>
        </w:rPr>
        <w:t xml:space="preserve">Status: confirmed, n=10 paired, p = 0.004</w:t>
      </w:r>
    </w:p>
    <w:p>
      <w:pPr>
        <w:pStyle w:val="BodyText"/>
      </w:pPr>
      <w:r>
        <w:t xml:space="preserve">The thesis asserts that uniform allocation minimises accumulated noise variance</w:t>
      </w:r>
      <w:r>
        <w:t xml:space="preserve"> </w:t>
      </w:r>
      <w:r>
        <w:t xml:space="preserve">and that</w:t>
      </w:r>
      <w:r>
        <w:t xml:space="preserve"> </w:t>
      </w:r>
      <w:r>
        <w:t xml:space="preserve">“every non-uniform schedule is strictly worse.”</w:t>
      </w:r>
      <w:r>
        <w:t xml:space="preserve"> </w:t>
      </w:r>
      <w:r>
        <w:t xml:space="preserve">Measured at the source</w:t>
      </w:r>
      <w:r>
        <w:t xml:space="preserve"> </w:t>
      </w:r>
      <w:r>
        <w:t xml:space="preserve">paper’s operating point (σ ≈ 6–9):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Σσ² penalty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1.0000×</w:t>
            </w:r>
            <w:r>
              <w:t xml:space="preserve"> </w:t>
            </w:r>
            <w:r>
              <w:rPr>
                <w:i/>
                <w:iCs/>
              </w:rPr>
              <w:t xml:space="preserve">(analytic minimum)</w:t>
            </w:r>
          </w:p>
        </w:tc>
        <w:tc>
          <w:tcPr/>
          <w:p>
            <w:pPr>
              <w:pStyle w:val="Compact"/>
            </w:pPr>
            <w:r>
              <w:t xml:space="preserve">0.8834</w:t>
            </w:r>
            <w:r>
              <w:t xml:space="preserve"> </w:t>
            </w:r>
            <w:r>
              <w:rPr>
                <w:i/>
                <w:iCs/>
              </w:rPr>
              <w:t xml:space="preserve">(worst)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t xml:space="preserve">1.0442×</w:t>
            </w:r>
          </w:p>
        </w:tc>
        <w:tc>
          <w:tcPr/>
          <w:p>
            <w:pPr>
              <w:pStyle w:val="Compact"/>
            </w:pPr>
            <w:r>
              <w:t xml:space="preserve">0.8976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1.0450×</w:t>
            </w:r>
          </w:p>
        </w:tc>
        <w:tc>
          <w:tcPr/>
          <w:p>
            <w:pPr>
              <w:pStyle w:val="Compact"/>
            </w:pPr>
            <w:r>
              <w:t xml:space="preserve">0.9032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</w:t>
            </w:r>
          </w:p>
        </w:tc>
        <w:tc>
          <w:tcPr/>
          <w:p>
            <w:pPr>
              <w:pStyle w:val="Compact"/>
            </w:pPr>
            <w:r>
              <w:t xml:space="preserve">1.0753×</w:t>
            </w:r>
            <w:r>
              <w:t xml:space="preserve"> </w:t>
            </w:r>
            <w:r>
              <w:rPr>
                <w:i/>
                <w:iCs/>
              </w:rPr>
              <w:t xml:space="preserve">(worst)</w:t>
            </w:r>
          </w:p>
        </w:tc>
        <w:tc>
          <w:tcPr/>
          <w:p>
            <w:pPr>
              <w:pStyle w:val="Compact"/>
            </w:pPr>
            <w:r>
              <w:t xml:space="preserve">0.9061</w:t>
            </w:r>
            <w:r>
              <w:t xml:space="preserve"> </w:t>
            </w:r>
            <w:r>
              <w:rPr>
                <w:i/>
                <w:iCs/>
              </w:rPr>
              <w:t xml:space="preserve">(best)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Spearman(accumulated variance, accuracy) = +1.000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The proof’s load-bearing step is not clipping, as the manuscript</w:t>
      </w:r>
      <w:r>
        <w:t xml:space="preserve"> </w:t>
      </w:r>
      <w:r>
        <w:t xml:space="preserve">states, but the assumption that every round’s noise reaches the final model with</w:t>
      </w:r>
      <w:r>
        <w:t xml:space="preserve"> </w:t>
      </w:r>
      <w:r>
        <w:t xml:space="preserve">equal weight. The correct objective is</w:t>
      </w:r>
      <w:r>
        <w:t xml:space="preserve"> </w:t>
      </w:r>
      <w:r>
        <w:rPr>
          <w:rStyle w:val="VerbatimChar"/>
        </w:rPr>
        <w:t xml:space="preserve">V = Σ a_t σ_t²</w:t>
      </w:r>
      <w:r>
        <w:t xml:space="preserve"> </w:t>
      </w:r>
      <w:r>
        <w:t xml:space="preserve">with optimum</w:t>
      </w:r>
      <w:r>
        <w:t xml:space="preserve"> </w:t>
      </w:r>
      <w:r>
        <w:rPr>
          <w:rStyle w:val="VerbatimChar"/>
        </w:rPr>
        <w:t xml:space="preserve">ρ_t ∝ √a_t</w:t>
      </w:r>
      <w:r>
        <w:t xml:space="preserve">. At low σ,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is near-flat and uniform is optimal. At high σ,</w:t>
      </w:r>
      <w:r>
        <w:t xml:space="preserve"> </w:t>
      </w:r>
      <w:r>
        <w:t xml:space="preserve">late-round noise is disproportionately damaging,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is steep, and decreasing</w:t>
      </w:r>
      <w:r>
        <w:t xml:space="preserve"> </w:t>
      </w:r>
      <w:r>
        <w:t xml:space="preserve">schedules win. Both experiments are correct; they sample different regimes.</w:t>
      </w:r>
    </w:p>
    <w:p>
      <w:pPr>
        <w:pStyle w:val="BodyText"/>
      </w:pPr>
      <w:r>
        <w:rPr>
          <w:b/>
          <w:bCs/>
        </w:rPr>
        <w:t xml:space="preserve">Required action.</w:t>
      </w:r>
      <w:r>
        <w:t xml:space="preserve"> </w:t>
      </w:r>
      <w:r>
        <w:t xml:space="preserve">Restate Theorem 3.1 in weighted form; scope its conclusion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a_t ≈ const</w:t>
      </w:r>
      <w:r>
        <w:t xml:space="preserve">, an empirical condition requiring measurement (experiment E1).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C-2 — Source implementation does not run the mechanism its paper specifies</w:t>
      </w:r>
      <w:r>
        <w:t xml:space="preserve"> </w:t>
      </w:r>
      <w:r>
        <w:rPr>
          <w:i/>
          <w:iCs/>
        </w:rPr>
        <w:t xml:space="preserve">Status: confirmed by arithmetic and by measurement</w:t>
      </w:r>
    </w:p>
    <w:p>
      <w:pPr>
        <w:pStyle w:val="BodyText"/>
      </w:pPr>
      <w:r>
        <w:rPr>
          <w:rStyle w:val="VerbatimChar"/>
        </w:rPr>
        <w:t xml:space="preserve">Author/Code/test_MNIST.py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test_CIFAR10.py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rho_used_min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sigma_max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epoch_local     </w:t>
      </w:r>
      <w:r>
        <w:rPr>
          <w:rStyle w:val="CommentTok"/>
        </w:rPr>
        <w:t xml:space="preserve"># 0.0200   &lt;- no /bs</w:t>
      </w:r>
      <w:r>
        <w:br/>
      </w:r>
      <w:r>
        <w:rPr>
          <w:rStyle w:val="NormalTok"/>
        </w:rPr>
        <w:t xml:space="preserve">rho_used_max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sigma_min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epoch_local     </w:t>
      </w:r>
      <w:r>
        <w:rPr>
          <w:rStyle w:val="CommentTok"/>
        </w:rPr>
        <w:t xml:space="preserve"># 8.0000   &lt;- no /bs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sigma2rho(sigma, el, bs):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WITH /bs</w:t>
      </w:r>
    </w:p>
    <w:p>
      <w:pPr>
        <w:pStyle w:val="FirstParagraph"/>
      </w:pPr>
      <w:r>
        <w:t xml:space="preserve">The action-mapping box constraint is expressed in different units from the</w:t>
      </w:r>
      <w:r>
        <w:t xml:space="preserve"> </w:t>
      </w:r>
      <w:r>
        <w:t xml:space="preserve">conversion it bounds. Reachable values are</w:t>
      </w:r>
      <w:r>
        <w:t xml:space="preserve"> </w:t>
      </w:r>
      <w:r>
        <w:rPr>
          <w:rStyle w:val="VerbatimChar"/>
        </w:rPr>
        <w:t xml:space="preserve">[0.0001, 0.04]</w:t>
      </w:r>
      <w:r>
        <w:t xml:space="preserve">; the bounds are</w:t>
      </w:r>
      <w:r>
        <w:t xml:space="preserve"> </w:t>
      </w:r>
      <w:r>
        <w:rPr>
          <w:rStyle w:val="VerbatimChar"/>
        </w:rPr>
        <w:t xml:space="preserve">[0.02, 8.0]</w:t>
      </w:r>
      <w:r>
        <w:t xml:space="preserve">. The upper bound is</w:t>
      </w:r>
      <w:r>
        <w:t xml:space="preserve"> </w:t>
      </w:r>
      <w:r>
        <w:rPr>
          <w:b/>
          <w:bCs/>
        </w:rPr>
        <w:t xml:space="preserve">200× larger than anything attainable</w:t>
      </w:r>
      <w:r>
        <w:t xml:space="preserve">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σ_min = 1</w:t>
      </w:r>
      <w:r>
        <w:t xml:space="preserve"> </w:t>
      </w:r>
      <w:r>
        <w:t xml:space="preserve">floor never binds.</w:t>
      </w:r>
    </w:p>
    <w:p>
      <w:pPr>
        <w:pStyle w:val="BodyText"/>
      </w:pPr>
      <w:r>
        <w:rPr>
          <w:b/>
          <w:bCs/>
        </w:rPr>
        <w:t xml:space="preserve">Measured consequence.</w:t>
      </w:r>
      <w:r>
        <w:t xml:space="preserve"> </w:t>
      </w:r>
      <w:r>
        <w:t xml:space="preserve">Applied σ is 0.477–0.649 — roughly half their own</w:t>
      </w:r>
      <w:r>
        <w:t xml:space="preserve"> </w:t>
      </w:r>
      <w:r>
        <w:t xml:space="preserve">stated minimum, ≈14× below specification. Run as shipped, all four arms fall</w:t>
      </w:r>
      <w:r>
        <w:t xml:space="preserve"> </w:t>
      </w:r>
      <w:r>
        <w:t xml:space="preserve">within 0.15pp and no effect is measurable.</w:t>
      </w:r>
    </w:p>
    <w:p>
      <w:pPr>
        <w:pStyle w:val="BodyText"/>
      </w:pPr>
      <w:r>
        <w:rPr>
          <w:b/>
          <w:bCs/>
        </w:rPr>
        <w:t xml:space="preserve">Which form was intended</w:t>
      </w:r>
      <w:r>
        <w:t xml:space="preserve"> </w:t>
      </w:r>
      <w:r>
        <w:t xml:space="preserve">is determined by their own code:</w:t>
      </w:r>
      <w:r>
        <w:t xml:space="preserve"> </w:t>
      </w:r>
      <w:r>
        <w:rPr>
          <w:rStyle w:val="VerbatimChar"/>
        </w:rPr>
        <w:t xml:space="preserve">rho_used_min/max</w:t>
      </w:r>
      <w:r>
        <w:t xml:space="preserve"> </w:t>
      </w:r>
      <w:r>
        <w:t xml:space="preserve">match the</w:t>
      </w:r>
      <w:r>
        <w:t xml:space="preserve"> </w:t>
      </w:r>
      <w:r>
        <w:rPr>
          <w:b/>
          <w:bCs/>
        </w:rPr>
        <w:t xml:space="preserve">no-</w:t>
      </w:r>
      <w:r>
        <w:rPr>
          <w:rStyle w:val="VerbatimChar"/>
          <w:b/>
          <w:bCs/>
        </w:rPr>
        <w:t xml:space="preserve">/bs</w:t>
      </w:r>
      <w:r>
        <w:t xml:space="preserve"> </w:t>
      </w:r>
      <w:r>
        <w:t xml:space="preserve">conversion exactly at both endpoints, and the</w:t>
      </w:r>
      <w:r>
        <w:t xml:space="preserve"> </w:t>
      </w:r>
      <w:r>
        <w:rPr>
          <w:rStyle w:val="VerbatimChar"/>
        </w:rPr>
        <w:t xml:space="preserve">/bs</w:t>
      </w:r>
      <w:r>
        <w:t xml:space="preserve"> </w:t>
      </w:r>
      <w:r>
        <w:t xml:space="preserve">version not at all. The project’s port, which omits</w:t>
      </w:r>
      <w:r>
        <w:t xml:space="preserve"> </w:t>
      </w:r>
      <w:r>
        <w:rPr>
          <w:rStyle w:val="VerbatimChar"/>
        </w:rPr>
        <w:t xml:space="preserve">/bs</w:t>
      </w:r>
      <w:r>
        <w:t xml:space="preserve">, is therefore the</w:t>
      </w:r>
      <w:r>
        <w:t xml:space="preserve"> </w:t>
      </w:r>
      <w:r>
        <w:t xml:space="preserve">internally consistent one and must not be</w:t>
      </w:r>
      <w:r>
        <w:t xml:space="preserve"> </w:t>
      </w:r>
      <w:r>
        <w:t xml:space="preserve">“corrected.”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C-3 — Evaluation design cannot support the published claim</w:t>
      </w:r>
      <w:r>
        <w:t xml:space="preserve"> </w:t>
      </w:r>
      <w:r>
        <w:rPr>
          <w:i/>
          <w:iCs/>
        </w:rPr>
        <w:t xml:space="preserve">Status: confirmed from source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episodes = 1</w:t>
      </w:r>
      <w:r>
        <w:t xml:space="preserve"> </w:t>
      </w:r>
      <w:r>
        <w:t xml:space="preserve">in both test scripts — a single measurement per arm.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agent.load(episode=350)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(195)</w:t>
      </w:r>
      <w:r>
        <w:t xml:space="preserve"> </w:t>
      </w:r>
      <w:r>
        <w:t xml:space="preserve">— a selected checkpoint of ~800.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“We test 100 times on the test sets”</w:t>
      </w:r>
      <w:r>
        <w:t xml:space="preserve"> </w:t>
      </w:r>
      <w:r>
        <w:t xml:space="preserve">re-evaluates</w:t>
      </w:r>
      <w:r>
        <w:t xml:space="preserve"> </w:t>
      </w:r>
      <w:r>
        <w:rPr>
          <w:b/>
          <w:bCs/>
        </w:rPr>
        <w:t xml:space="preserve">one trained model</w:t>
      </w:r>
      <w:r>
        <w:t xml:space="preserve">,</w:t>
      </w:r>
      <w:r>
        <w:t xml:space="preserve"> </w:t>
      </w:r>
      <w:r>
        <w:t xml:space="preserve">measuring test-set sampling noise rather than run-to-run training variance.</w:t>
      </w:r>
    </w:p>
    <w:p>
      <w:pPr>
        <w:pStyle w:val="Compact"/>
        <w:numPr>
          <w:ilvl w:val="0"/>
          <w:numId w:val="1004"/>
        </w:numPr>
      </w:pPr>
      <w:r>
        <w:t xml:space="preserve">Their loop is</w:t>
      </w:r>
      <w:r>
        <w:t xml:space="preserve"> </w:t>
      </w:r>
      <w:r>
        <w:rPr>
          <w:b/>
          <w:bCs/>
        </w:rPr>
        <w:t xml:space="preserve">already correctly paired</w:t>
      </w:r>
      <w:r>
        <w:t xml:space="preserve"> </w:t>
      </w:r>
      <w:r>
        <w:t xml:space="preserve">(shared</w:t>
      </w:r>
      <w:r>
        <w:t xml:space="preserve"> </w:t>
      </w:r>
      <w:r>
        <w:rPr>
          <w:rStyle w:val="VerbatimChar"/>
        </w:rPr>
        <w:t xml:space="preserve">net_init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rhos_init</w:t>
      </w:r>
      <w:r>
        <w:t xml:space="preserve"> </w:t>
      </w:r>
      <w:r>
        <w:t xml:space="preserve">across arms) — the design controls precisely the variance never measured.</w:t>
      </w:r>
    </w:p>
    <w:p>
      <w:pPr>
        <w:pStyle w:val="FirstParagraph"/>
      </w:pPr>
      <w:r>
        <w:t xml:space="preserve">Power analysis against measured run-to-run spread (~3pp at n=1):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paired trials needed (80% power, α=0.05)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CIFAR-10, +0.15pp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MNIST, +3.0pp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</w:tr>
    </w:tbl>
    <w:p>
      <w:pPr>
        <w:pStyle w:val="BodyText"/>
      </w:pPr>
      <w:r>
        <w:t xml:space="preserve">The CIFAR-10 claim is unresolvable at any feasible sample size. The MNIST claim</w:t>
      </w:r>
      <w:r>
        <w:t xml:space="preserve"> </w:t>
      </w:r>
      <w:r>
        <w:t xml:space="preserve">is resolvable, and it</w:t>
      </w:r>
      <w:r>
        <w:t xml:space="preserve"> </w:t>
      </w:r>
      <w:r>
        <w:rPr>
          <w:b/>
          <w:bCs/>
        </w:rPr>
        <w:t xml:space="preserve">reproduces</w:t>
      </w:r>
      <w:r>
        <w:t xml:space="preserve"> </w:t>
      </w:r>
      <w:r>
        <w:t xml:space="preserve">(§5.3).</w:t>
      </w:r>
    </w:p>
    <w:p>
      <w:r>
        <w:pict>
          <v:rect style="width:0;height:1.5pt" o:hralign="center" o:hrstd="t" o:hr="t"/>
        </w:pict>
      </w:r>
    </w:p>
    <w:bookmarkEnd w:id="18"/>
    <w:bookmarkStart w:id="19" w:name="major-findings"/>
    <w:p>
      <w:pPr>
        <w:pStyle w:val="Heading3"/>
      </w:pPr>
      <w:r>
        <w:t xml:space="preserve">4.3 Major findings</w:t>
      </w:r>
    </w:p>
    <w:p>
      <w:pPr>
        <w:pStyle w:val="FirstParagraph"/>
      </w:pPr>
      <w:r>
        <w:rPr>
          <w:b/>
          <w:bCs/>
        </w:rPr>
        <w:t xml:space="preserve">M-1 — Manuscript §5.1.6 stated a causal mechanism contradicted by its own data.</w:t>
      </w:r>
      <w:r>
        <w:t xml:space="preserve"> </w:t>
      </w:r>
      <w:r>
        <w:t xml:space="preserve">The section attributed a −0.043 deficit to the agent learning a non-uniform</w:t>
      </w:r>
      <w:r>
        <w:t xml:space="preserve"> </w:t>
      </w:r>
      <w:r>
        <w:t xml:space="preserve">schedule. The learned schedule was flat, variance penalty</w:t>
      </w:r>
      <w:r>
        <w:t xml:space="preserve"> </w:t>
      </w:r>
      <w:r>
        <w:rPr>
          <w:b/>
          <w:bCs/>
        </w:rPr>
        <w:t xml:space="preserve">1.0000×</w:t>
      </w:r>
      <w:r>
        <w:t xml:space="preserve">. The</w:t>
      </w:r>
      <w:r>
        <w:t xml:space="preserve"> </w:t>
      </w:r>
      <w:r>
        <w:t xml:space="preserve">theorem predicts parity, and cannot explain any deficit.</w:t>
      </w:r>
      <w:r>
        <w:t xml:space="preserve"> </w:t>
      </w:r>
      <w:r>
        <w:rPr>
          <w:i/>
          <w:iCs/>
        </w:rPr>
        <w:t xml:space="preserve">Introduced during this</w:t>
      </w:r>
      <w:r>
        <w:rPr>
          <w:i/>
          <w:iCs/>
        </w:rPr>
        <w:t xml:space="preserve"> </w:t>
      </w:r>
      <w:r>
        <w:rPr>
          <w:i/>
          <w:iCs/>
        </w:rPr>
        <w:t xml:space="preserve">review; retracted.</w:t>
      </w:r>
    </w:p>
    <w:p>
      <w:pPr>
        <w:pStyle w:val="BodyText"/>
      </w:pPr>
      <w:r>
        <w:rPr>
          <w:b/>
          <w:bCs/>
        </w:rPr>
        <w:t xml:space="preserve">M-2 — Per-layer allocation claim is mathematically wrong.</w:t>
      </w:r>
      <w:r>
        <w:t xml:space="preserve"> </w:t>
      </w:r>
      <w:r>
        <w:t xml:space="preserve">The</w:t>
      </w:r>
      <w:r>
        <w:t xml:space="preserve"> </w:t>
      </w:r>
      <w:r>
        <w:t xml:space="preserve">“2.37× worse”</w:t>
      </w:r>
      <w:r>
        <w:t xml:space="preserve"> </w:t>
      </w:r>
      <w:r>
        <w:t xml:space="preserve">figure compares a split scheme against a looser clip. Under a</w:t>
      </w:r>
      <w:r>
        <w:t xml:space="preserve"> </w:t>
      </w:r>
      <w:r>
        <w:t xml:space="preserve">fair normalisation</w:t>
      </w:r>
      <w:r>
        <w:t xml:space="preserve"> </w:t>
      </w:r>
      <w:r>
        <w:rPr>
          <w:rStyle w:val="VerbatimChar"/>
        </w:rPr>
        <w:t xml:space="preserve">ΣC_g² = C²</w:t>
      </w:r>
      <w:r>
        <w:t xml:space="preserve">, Cauchy–Schwarz runs the other way:</w:t>
      </w:r>
      <w:r>
        <w:t xml:space="preserve"> </w:t>
      </w:r>
      <w:r>
        <w:rPr>
          <w:rStyle w:val="VerbatimChar"/>
        </w:rPr>
        <w:t xml:space="preserve">V_split = (Σ C_g √D_g)²/2ρ ≤ C²D/2ρ</w:t>
      </w:r>
      <w:r>
        <w:t xml:space="preserve">. Splitting is not worse.</w:t>
      </w:r>
      <w:r>
        <w:t xml:space="preserve"> </w:t>
      </w:r>
      <w:r>
        <w:rPr>
          <w:i/>
          <w:iCs/>
        </w:rPr>
        <w:t xml:space="preserve">Withdraw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figure.</w:t>
      </w:r>
    </w:p>
    <w:p>
      <w:pPr>
        <w:pStyle w:val="BodyText"/>
      </w:pPr>
      <w:r>
        <w:rPr>
          <w:b/>
          <w:bCs/>
        </w:rPr>
        <w:t xml:space="preserve">M-3 —</w:t>
      </w:r>
      <w:r>
        <w:rPr>
          <w:b/>
          <w:bCs/>
        </w:rPr>
        <w:t xml:space="preserve"> </w:t>
      </w:r>
      <w:r>
        <w:rPr>
          <w:b/>
          <w:bCs/>
        </w:rPr>
        <w:t xml:space="preserve">“Do not use Adam with DP-SGD”</w:t>
      </w:r>
      <w:r>
        <w:rPr>
          <w:b/>
          <w:bCs/>
        </w:rPr>
        <w:t xml:space="preserve"> </w:t>
      </w:r>
      <w:r>
        <w:rPr>
          <w:b/>
          <w:bCs/>
        </w:rPr>
        <w:t xml:space="preserve">is incorrect as a privacy statement.</w:t>
      </w:r>
      <w:r>
        <w:t xml:space="preserve"> </w:t>
      </w:r>
      <w:r>
        <w:t xml:space="preserve">Adam post-processes already-privatised gradients; the guarantee and the</w:t>
      </w:r>
      <w:r>
        <w:t xml:space="preserve"> </w:t>
      </w:r>
      <w:r>
        <w:t xml:space="preserve">accountant are unaffected. Measured utility was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under Adam (0.320 vs</w:t>
      </w:r>
      <w:r>
        <w:t xml:space="preserve"> </w:t>
      </w:r>
      <w:r>
        <w:t xml:space="preserve">0.247 at σ=8). The real finding is that σ becomes a weak lever in that regime —</w:t>
      </w:r>
      <w:r>
        <w:t xml:space="preserve"> </w:t>
      </w:r>
      <w:r>
        <w:t xml:space="preserve">an experimental-design pitfall, not a privacy failure.</w:t>
      </w:r>
      <w:r>
        <w:t xml:space="preserve"> </w:t>
      </w:r>
      <w:r>
        <w:rPr>
          <w:i/>
          <w:iCs/>
        </w:rPr>
        <w:t xml:space="preserve">Remove the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recommendation.</w:t>
      </w:r>
    </w:p>
    <w:p>
      <w:pPr>
        <w:pStyle w:val="BodyText"/>
      </w:pPr>
      <w:r>
        <w:rPr>
          <w:b/>
          <w:bCs/>
        </w:rPr>
        <w:t xml:space="preserve">M-4 — P3 detector results rest on a leaked split.</w:t>
      </w:r>
      <w:r>
        <w:t xml:space="preserve"> </w:t>
      </w:r>
      <w:r>
        <w:rPr>
          <w:rStyle w:val="VerbatimChar"/>
        </w:rPr>
        <w:t xml:space="preserve">p3_byzantine.py</w:t>
      </w:r>
      <w:r>
        <w:t xml:space="preserve"> </w:t>
      </w:r>
      <w:r>
        <w:t xml:space="preserve">splits validation positionally (</w:t>
      </w:r>
      <w:r>
        <w:t xml:space="preserve">“first 300 / last 1200”</w:t>
      </w:r>
      <w:r>
        <w:t xml:space="preserve">) while</w:t>
      </w:r>
      <w:r>
        <w:t xml:space="preserve"> </w:t>
      </w:r>
      <w:r>
        <w:rPr>
          <w:rStyle w:val="VerbatimChar"/>
        </w:rPr>
        <w:t xml:space="preserve">stage1_clear.py</w:t>
      </w:r>
      <w:r>
        <w:t xml:space="preserve"> </w:t>
      </w:r>
      <w:r>
        <w:t xml:space="preserve">assembles val grouped by recording session. With ~1,500 frames</w:t>
      </w:r>
      <w:r>
        <w:t xml:space="preserve"> </w:t>
      </w:r>
      <w:r>
        <w:t xml:space="preserve">over ~6 sessions the cut falls inside a session, so the server’s detector-tuning</w:t>
      </w:r>
      <w:r>
        <w:t xml:space="preserve"> </w:t>
      </w:r>
      <w:r>
        <w:t xml:space="preserve">set shares sessions with the reported metric set. This is the third instance of</w:t>
      </w:r>
      <w:r>
        <w:t xml:space="preserve"> </w:t>
      </w:r>
      <w:r>
        <w:t xml:space="preserve">a leak already fixed twice. It plausibly explains the anomalies: detectors</w:t>
      </w:r>
      <w:r>
        <w:t xml:space="preserve"> </w:t>
      </w:r>
      <w:r>
        <w:rPr>
          <w:i/>
          <w:iCs/>
        </w:rPr>
        <w:t xml:space="preserve">raising</w:t>
      </w:r>
      <w:r>
        <w:t xml:space="preserve"> </w:t>
      </w:r>
      <w:r>
        <w:t xml:space="preserve">no-attack accuracy while rejecting 19–28% of honest clients, and Krum</w:t>
      </w:r>
      <w:r>
        <w:t xml:space="preserve"> </w:t>
      </w:r>
      <w:r>
        <w:t xml:space="preserve">under α-MPELM (0.676) exceeding both the clean baseline (0.649) and Krum without</w:t>
      </w:r>
      <w:r>
        <w:t xml:space="preserve"> </w:t>
      </w:r>
      <w:r>
        <w:t xml:space="preserve">attack (0.639).</w:t>
      </w:r>
      <w:r>
        <w:t xml:space="preserve"> </w:t>
      </w:r>
      <w:r>
        <w:rPr>
          <w:b/>
          <w:bCs/>
        </w:rPr>
        <w:t xml:space="preserve">No detector-based P3 number is safe to publish until re-split.</w:t>
      </w:r>
    </w:p>
    <w:p>
      <w:r>
        <w:pict>
          <v:rect style="width:0;height:1.5pt" o:hralign="center" o:hrstd="t" o:hr="t"/>
        </w:pict>
      </w:r>
    </w:p>
    <w:bookmarkEnd w:id="19"/>
    <w:bookmarkStart w:id="20" w:name="minor-findings"/>
    <w:p>
      <w:pPr>
        <w:pStyle w:val="Heading3"/>
      </w:pPr>
      <w:r>
        <w:t xml:space="preserve">4.4 Minor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</w:t>
            </w:r>
          </w:p>
        </w:tc>
        <w:tc>
          <w:tcPr/>
          <w:p>
            <w:pPr>
              <w:pStyle w:val="Compact"/>
            </w:pPr>
            <w:r>
              <w:t xml:space="preserve">“no cross-client structure”</w:t>
            </w:r>
            <w:r>
              <w:t xml:space="preserve"> </w:t>
            </w:r>
            <w:r>
              <w:t xml:space="preserve">is false — aggregation weights are cross-client structure; inverse-variance weighting captures</w:t>
            </w:r>
            <w:r>
              <w:t xml:space="preserve"> </w:t>
            </w:r>
            <w:r>
              <w:rPr>
                <w:rStyle w:val="VerbatimChar"/>
              </w:rPr>
              <w:t xml:space="preserve">(1/N²)(Σρ)(Σ1/ρ)</w:t>
            </w:r>
            <w:r>
              <w:t xml:space="preserve">, ~3.5% variance</w:t>
            </w:r>
          </w:p>
        </w:tc>
        <w:tc>
          <w:tcPr/>
          <w:p>
            <w:pPr>
              <w:pStyle w:val="Compact"/>
            </w:pPr>
            <w:r>
              <w:t xml:space="preserve">Correct §3.2.3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</w:t>
            </w:r>
          </w:p>
        </w:tc>
        <w:tc>
          <w:tcPr/>
          <w:p>
            <w:pPr>
              <w:pStyle w:val="Compact"/>
            </w:pPr>
            <w:r>
              <w:t xml:space="preserve">CRN s.d. reduction stated as 3.2×; actual is</w:t>
            </w:r>
            <w:r>
              <w:t xml:space="preserve"> </w:t>
            </w:r>
            <w:r>
              <w:rPr>
                <w:b/>
                <w:bCs/>
              </w:rPr>
              <w:t xml:space="preserve">2.7×</w:t>
            </w:r>
            <w:r>
              <w:t xml:space="preserve"> </w:t>
            </w:r>
            <w:r>
              <w:t xml:space="preserve">(0.0466/0.0171). The ~150-trial equivalence is unaffected (variance ratio 7.4×)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</w:t>
            </w:r>
          </w:p>
        </w:tc>
        <w:tc>
          <w:tcPr/>
          <w:p>
            <w:pPr>
              <w:pStyle w:val="Compact"/>
            </w:pPr>
            <w:r>
              <w:t xml:space="preserve">§3.1 places DP noise on the batch</w:t>
            </w:r>
            <w:r>
              <w:t xml:space="preserve"> </w:t>
            </w:r>
            <w:r>
              <w:rPr>
                <w:i/>
                <w:iCs/>
              </w:rPr>
              <w:t xml:space="preserve">average</w:t>
            </w:r>
            <w:r>
              <w:t xml:space="preserve">; standard DP-SGD adds it to the</w:t>
            </w:r>
            <w:r>
              <w:t xml:space="preserve"> </w:t>
            </w:r>
            <w:r>
              <w:rPr>
                <w:i/>
                <w:iCs/>
              </w:rPr>
              <w:t xml:space="preserve">sum</w:t>
            </w:r>
            <w:r>
              <w:t xml:space="preserve"> </w:t>
            </w:r>
            <w:r>
              <w:t xml:space="preserve">(σC/B on the mean). As written it reads as a B-fold privacy error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</w:t>
            </w:r>
          </w:p>
        </w:tc>
        <w:tc>
          <w:tcPr/>
          <w:p>
            <w:pPr>
              <w:pStyle w:val="Compact"/>
            </w:pPr>
            <w:r>
              <w:t xml:space="preserve">ε never reported. At δ=1e-5: ρ=0.5→5.30, ρ=2→11.60, ρ=8→27.19,</w:t>
            </w:r>
            <w:r>
              <w:t xml:space="preserve"> </w:t>
            </w:r>
            <w:r>
              <w:rPr>
                <w:b/>
                <w:bCs/>
              </w:rPr>
              <w:t xml:space="preserve">ρ=30→67.17</w:t>
            </w:r>
            <w:r>
              <w:t xml:space="preserve">. Headline experiments run at ε≈67</w:t>
            </w:r>
          </w:p>
        </w:tc>
        <w:tc>
          <w:tcPr/>
          <w:p>
            <w:pPr>
              <w:pStyle w:val="Compact"/>
            </w:pPr>
            <w:r>
              <w:t xml:space="preserve">Report ε from the Opacus RDP accountant, not the ad-hoc ρ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</w:t>
            </w:r>
          </w:p>
        </w:tc>
        <w:tc>
          <w:tcPr/>
          <w:p>
            <w:pPr>
              <w:pStyle w:val="Compact"/>
            </w:pPr>
            <w:r>
              <w:t xml:space="preserve">“head”</w:t>
            </w:r>
            <w:r>
              <w:t xml:space="preserve"> </w:t>
            </w:r>
            <w:r>
              <w:t xml:space="preserve">denotes both the 566,789-parameter DP block and the 12,677-parameter layer</w:t>
            </w:r>
          </w:p>
        </w:tc>
        <w:tc>
          <w:tcPr/>
          <w:p>
            <w:pPr>
              <w:pStyle w:val="Compact"/>
            </w:pPr>
            <w:r>
              <w:t xml:space="preserve">Disambiguate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</w:t>
            </w:r>
          </w:p>
        </w:tc>
        <w:tc>
          <w:tcPr/>
          <w:p>
            <w:pPr>
              <w:pStyle w:val="Compact"/>
            </w:pPr>
            <w:r>
              <w:t xml:space="preserve">Thesis title asserted a MARL framework the work disproves;</w:t>
            </w:r>
            <w:r>
              <w:t xml:space="preserve"> </w:t>
            </w:r>
            <w:r>
              <w:rPr>
                <w:rStyle w:val="VerbatimChar"/>
              </w:rPr>
              <w:t xml:space="preserve">exp_data/plot.py</w:t>
            </w:r>
            <w:r>
              <w:t xml:space="preserve"> </w:t>
            </w:r>
            <w:r>
              <w:t xml:space="preserve">fabricates baseline curves analytically to land 2.5%/1.8%/2.0% below DRL</w:t>
            </w:r>
          </w:p>
        </w:tc>
        <w:tc>
          <w:tcPr/>
          <w:p>
            <w:pPr>
              <w:pStyle w:val="Compact"/>
            </w:pPr>
            <w:r>
              <w:t xml:space="preserve">Title replaced; fabricated figures excluded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experiments-executed"/>
    <w:p>
      <w:pPr>
        <w:pStyle w:val="Heading2"/>
      </w:pPr>
      <w:r>
        <w:t xml:space="preserve">5. Experiments executed</w:t>
      </w:r>
    </w:p>
    <w:bookmarkStart w:id="22" w:name="manuscript-reconstruction"/>
    <w:p>
      <w:pPr>
        <w:pStyle w:val="Heading3"/>
      </w:pPr>
      <w:r>
        <w:t xml:space="preserve">5.1 Manuscript reconstruction</w:t>
      </w:r>
    </w:p>
    <w:p>
      <w:pPr>
        <w:pStyle w:val="FirstParagraph"/>
      </w:pPr>
      <w:r>
        <w:t xml:space="preserve">Rewrote all six chapters from</w:t>
      </w:r>
      <w:r>
        <w:t xml:space="preserve"> </w:t>
      </w:r>
      <w:r>
        <w:rPr>
          <w:rStyle w:val="VerbatimChar"/>
        </w:rPr>
        <w:t xml:space="preserve">thesis_rewrite.tex</w:t>
      </w:r>
      <w:r>
        <w:t xml:space="preserve"> </w:t>
      </w:r>
      <w:r>
        <w:t xml:space="preserve">into the BRACU template.</w:t>
      </w:r>
      <w:r>
        <w:t xml:space="preserve"> </w:t>
      </w:r>
      <w:r>
        <w:t xml:space="preserve">Verified:</w:t>
      </w:r>
      <w:r>
        <w:t xml:space="preserve"> </w:t>
      </w:r>
      <w:r>
        <w:rPr>
          <w:b/>
          <w:bCs/>
        </w:rPr>
        <w:t xml:space="preserve">0 LaTeX errors, 0 undefined references, 0 overfull boxes, 37 pages,</w:t>
      </w:r>
      <w:r>
        <w:rPr>
          <w:b/>
          <w:bCs/>
        </w:rPr>
        <w:t xml:space="preserve"> </w:t>
      </w:r>
      <w:r>
        <w:rPr>
          <w:b/>
          <w:bCs/>
        </w:rPr>
        <w:t xml:space="preserve">13 figures embedded, 26 cross-references and 21 citation keys resolved.</w:t>
      </w:r>
      <w:r>
        <w:t xml:space="preserve"> </w:t>
      </w:r>
      <w:r>
        <w:t xml:space="preserve">Replaced an unsupported</w:t>
      </w:r>
      <w:r>
        <w:t xml:space="preserve"> </w:t>
      </w:r>
      <w:r>
        <w:t xml:space="preserve">“replication on MNIST and CIFAR-10”</w:t>
      </w:r>
      <w:r>
        <w:t xml:space="preserve"> </w:t>
      </w:r>
      <w:r>
        <w:t xml:space="preserve">placeholder with an</w:t>
      </w:r>
      <w:r>
        <w:t xml:space="preserve"> </w:t>
      </w:r>
      <w:r>
        <w:t xml:space="preserve">honest provenance section, since no MNIST data existed and CIFAR-10 was n=1.</w:t>
      </w:r>
    </w:p>
    <w:bookmarkEnd w:id="22"/>
    <w:bookmarkStart w:id="23" w:name="source-replication-as-shipped-n1"/>
    <w:p>
      <w:pPr>
        <w:pStyle w:val="Heading3"/>
      </w:pPr>
      <w:r>
        <w:t xml:space="preserve">5.2 Source replication — as shipped (n=1)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</w:t>
            </w:r>
          </w:p>
        </w:tc>
        <w:tc>
          <w:tcPr/>
          <w:p>
            <w:pPr>
              <w:pStyle w:val="Compact"/>
            </w:pPr>
            <w:r>
              <w:t xml:space="preserve">0.9563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0.9550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0.9552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t xml:space="preserve">0.9565</w:t>
            </w:r>
          </w:p>
        </w:tc>
      </w:tr>
    </w:tbl>
    <w:p>
      <w:pPr>
        <w:pStyle w:val="BodyText"/>
      </w:pPr>
      <w:r>
        <w:t xml:space="preserve">Spread</w:t>
      </w:r>
      <w:r>
        <w:t xml:space="preserve"> </w:t>
      </w:r>
      <w:r>
        <w:rPr>
          <w:b/>
          <w:bCs/>
        </w:rPr>
        <w:t xml:space="preserve">0.15pp</w:t>
      </w:r>
      <w:r>
        <w:t xml:space="preserve">. Applied σ ≈ 0.5 (see C-2). Nothing separable.</w:t>
      </w:r>
    </w:p>
    <w:bookmarkEnd w:id="23"/>
    <w:bookmarkStart w:id="24" w:name="X0953528a44a419ba55ff321e80a2591d23a7bdf"/>
    <w:p>
      <w:pPr>
        <w:pStyle w:val="Heading3"/>
      </w:pPr>
      <w:r>
        <w:t xml:space="preserve">5.3 Source replication — unit bug fixed (n=10 paired) ★</w:t>
      </w:r>
    </w:p>
    <w:p>
      <w:pPr>
        <w:pStyle w:val="FirstParagraph"/>
      </w:pPr>
      <w:r>
        <w:t xml:space="preserve">Actor 114, MNIST, their code with</w:t>
      </w:r>
      <w:r>
        <w:t xml:space="preserve"> </w:t>
      </w:r>
      <w:r>
        <w:rPr>
          <w:rStyle w:val="VerbatimChar"/>
        </w:rPr>
        <w:t xml:space="preserve">/bs</w:t>
      </w:r>
      <w:r>
        <w:t xml:space="preserve"> </w:t>
      </w:r>
      <w:r>
        <w:t xml:space="preserve">removed so their own σ clamp functions.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s.d.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0.9061</w:t>
            </w:r>
          </w:p>
        </w:tc>
        <w:tc>
          <w:tcPr/>
          <w:p>
            <w:pPr>
              <w:pStyle w:val="Compact"/>
            </w:pPr>
            <w:r>
              <w:t xml:space="preserve">0.0101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0.9032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t xml:space="preserve">0.8976</w:t>
            </w:r>
          </w:p>
        </w:tc>
        <w:tc>
          <w:tcPr/>
          <w:p>
            <w:pPr>
              <w:pStyle w:val="Compact"/>
            </w:pPr>
            <w:r>
              <w:t xml:space="preserve">0.0076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0.8834</w:t>
            </w:r>
          </w:p>
        </w:tc>
        <w:tc>
          <w:tcPr/>
          <w:p>
            <w:pPr>
              <w:pStyle w:val="Compact"/>
            </w:pPr>
            <w:r>
              <w:t xml:space="preserve">0.0185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DRL vs</w:t>
            </w:r>
          </w:p>
        </w:tc>
        <w:tc>
          <w:tcPr/>
          <w:p>
            <w:pPr>
              <w:pStyle w:val="Compact"/>
            </w:pPr>
            <w:r>
              <w:t xml:space="preserve">mean diff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[+0.0094, +0.0359]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+0.0029</w:t>
            </w:r>
          </w:p>
        </w:tc>
        <w:tc>
          <w:tcPr/>
          <w:p>
            <w:pPr>
              <w:pStyle w:val="Compact"/>
            </w:pPr>
            <w:r>
              <w:t xml:space="preserve">[−0.0078, +0.0136]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t xml:space="preserve">+0.0085</w:t>
            </w:r>
          </w:p>
        </w:tc>
        <w:tc>
          <w:tcPr/>
          <w:p>
            <w:pPr>
              <w:pStyle w:val="Compact"/>
            </w:pPr>
            <w:r>
              <w:t xml:space="preserve">[−0.0028, +0.0197]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</w:tr>
    </w:tbl>
    <w:p>
      <w:pPr>
        <w:pStyle w:val="BodyText"/>
      </w:pPr>
      <w:r>
        <w:t xml:space="preserve">Spread</w:t>
      </w:r>
      <w:r>
        <w:t xml:space="preserve"> </w:t>
      </w:r>
      <w:r>
        <w:rPr>
          <w:b/>
          <w:bCs/>
        </w:rPr>
        <w:t xml:space="preserve">4.00pp</w:t>
      </w:r>
      <w:r>
        <w:t xml:space="preserve"> </w:t>
      </w:r>
      <w:r>
        <w:t xml:space="preserve">— a 27× increase over the shipped configuration. Applied σ</w:t>
      </w:r>
      <w:r>
        <w:t xml:space="preserve"> </w:t>
      </w:r>
      <w:r>
        <w:t xml:space="preserve">≈ 6–9, within specification. Every non-uniform arm decreases σ across rounds</w:t>
      </w:r>
      <w:r>
        <w:t xml:space="preserve"> </w:t>
      </w:r>
      <w:r>
        <w:t xml:space="preserve">(DRL 9.24→5.94); uniform is flat at 7.28 and finishes last.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actor 114 is from an incomplete 544/800 training run, so this is a</w:t>
      </w:r>
      <w:r>
        <w:t xml:space="preserve"> </w:t>
      </w:r>
      <w:r>
        <w:rPr>
          <w:i/>
          <w:iCs/>
        </w:rPr>
        <w:t xml:space="preserve">lower bound</w:t>
      </w:r>
      <w:r>
        <w:t xml:space="preserve"> </w:t>
      </w:r>
      <w:r>
        <w:t xml:space="preserve">on the learned policy’s performance.</w:t>
      </w:r>
    </w:p>
    <w:bookmarkEnd w:id="24"/>
    <w:bookmarkStart w:id="25" w:name="Xee3b759c31026aeaed0ad585557f0e51dc9a4e2"/>
    <w:p>
      <w:pPr>
        <w:pStyle w:val="Heading3"/>
      </w:pPr>
      <w:r>
        <w:t xml:space="preserve">5.4 Re-analysis of existing records (no new compute)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Project’s own DRL under the source’s evaluation protocol.</w:t>
      </w:r>
      <w:r>
        <w:t xml:space="preserve"> </w:t>
      </w:r>
      <w:r>
        <w:t xml:space="preserve">Across 8 stored</w:t>
      </w:r>
      <w:r>
        <w:t xml:space="preserve"> </w:t>
      </w:r>
      <w:r>
        <w:t xml:space="preserve">paired trials, a single-run evaluation would have reported a DRL win</w:t>
      </w:r>
      <w:r>
        <w:t xml:space="preserve"> </w:t>
      </w:r>
      <w:r>
        <w:rPr>
          <w:b/>
          <w:bCs/>
        </w:rPr>
        <w:t xml:space="preserve">3/8 =</w:t>
      </w:r>
      <w:r>
        <w:rPr>
          <w:b/>
          <w:bCs/>
        </w:rPr>
        <w:t xml:space="preserve"> </w:t>
      </w:r>
      <w:r>
        <w:rPr>
          <w:b/>
          <w:bCs/>
        </w:rPr>
        <w:t xml:space="preserve">38%</w:t>
      </w:r>
      <w:r>
        <w:t xml:space="preserve"> </w:t>
      </w:r>
      <w:r>
        <w:t xml:space="preserve">of the time, the luckiest draw showing</w:t>
      </w:r>
      <w:r>
        <w:t xml:space="preserve"> </w:t>
      </w:r>
      <w:r>
        <w:rPr>
          <w:b/>
          <w:bCs/>
        </w:rPr>
        <w:t xml:space="preserve">+4.26pp</w:t>
      </w:r>
      <w:r>
        <w:t xml:space="preserve"> </w:t>
      </w:r>
      <w:r>
        <w:t xml:space="preserve">— larger than the</w:t>
      </w:r>
      <w:r>
        <w:t xml:space="preserve"> </w:t>
      </w:r>
      <w:r>
        <w:t xml:space="preserve">authors’ published MNIST gain. Truth at n=8:</w:t>
      </w:r>
      <w:r>
        <w:t xml:space="preserve"> </w:t>
      </w:r>
      <w:r>
        <w:rPr>
          <w:b/>
          <w:bCs/>
        </w:rPr>
        <w:t xml:space="preserve">−0.043</w:t>
      </w:r>
      <w:r>
        <w:t xml:space="preserve">, CI [−0.0997, +0.0136].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Matched-variance permutation.</w:t>
      </w:r>
      <w:r>
        <w:t xml:space="preserve"> </w:t>
      </w:r>
      <w:r>
        <w:rPr>
          <w:rStyle w:val="VerbatimChar"/>
        </w:rPr>
        <w:t xml:space="preserve">front-clean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back-clean</w:t>
      </w:r>
      <w:r>
        <w:t xml:space="preserve"> </w:t>
      </w:r>
      <w:r>
        <w:t xml:space="preserve">share an</w:t>
      </w:r>
      <w:r>
        <w:t xml:space="preserve"> </w:t>
      </w:r>
      <w:r>
        <w:t xml:space="preserve">identical σ multiset (7.86× penalty) but differ by 0.027 — however at</w:t>
      </w:r>
      <w:r>
        <w:t xml:space="preserve"> </w:t>
      </w:r>
      <w:r>
        <w:rPr>
          <w:b/>
          <w:bCs/>
        </w:rPr>
        <w:t xml:space="preserve">n=2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two trials disagreeing in sign</w:t>
      </w:r>
      <w:r>
        <w:t xml:space="preserve">. Recorded as hypothesis, not evidence.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Cross-client pooling.</w:t>
      </w:r>
      <w:r>
        <w:t xml:space="preserve"> </w:t>
      </w:r>
      <w:r>
        <w:t xml:space="preserve">Analytic: gain is</w:t>
      </w:r>
      <w:r>
        <w:t xml:space="preserve"> </w:t>
      </w:r>
      <w:r>
        <w:rPr>
          <w:rStyle w:val="VerbatimChar"/>
        </w:rPr>
        <w:t xml:space="preserve">(1/N²)(Σρ)(Σ1/ρ)</w:t>
      </w:r>
      <w:r>
        <w:t xml:space="preserve">, ≈3.0–3.5% for</w:t>
      </w:r>
      <w:r>
        <w:t xml:space="preserve"> </w:t>
      </w:r>
      <w:r>
        <w:t xml:space="preserve">the budget distributions in use, ~55% only under extreme heterogeneity. Not a</w:t>
      </w:r>
      <w:r>
        <w:t xml:space="preserve"> </w:t>
      </w:r>
      <w:r>
        <w:t xml:space="preserve">valid DP mechanism, and self-defeating (consent implies equal budgets, where</w:t>
      </w:r>
      <w:r>
        <w:t xml:space="preserve"> </w:t>
      </w:r>
      <w:r>
        <w:t xml:space="preserve">the gain is exactly zero). The legal equivalent is inverse-variance</w:t>
      </w:r>
      <w:r>
        <w:t xml:space="preserve"> </w:t>
      </w:r>
      <w:r>
        <w:t xml:space="preserve">aggregation weighting, which captures the identical factor as pure</w:t>
      </w:r>
      <w:r>
        <w:t xml:space="preserve"> </w:t>
      </w:r>
      <w:r>
        <w:t xml:space="preserve">post-processing.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atus-of-thesis-claims"/>
    <w:p>
      <w:pPr>
        <w:pStyle w:val="Heading2"/>
      </w:pPr>
      <w:r>
        <w:t xml:space="preserve">6. Status of thesis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minimises accumulated noise 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Stands</w:t>
            </w:r>
            <w:r>
              <w:t xml:space="preserve"> </w:t>
            </w:r>
            <w:r>
              <w:t xml:space="preserve">(mathematically)</w:t>
            </w:r>
          </w:p>
        </w:tc>
        <w:tc>
          <w:tcPr/>
          <w:p>
            <w:pPr>
              <w:pStyle w:val="Compact"/>
            </w:pPr>
            <w:r>
              <w:t xml:space="preserve">Restate in weighted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is optimal; all deviation strictly worse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at high σ</w:t>
            </w:r>
          </w:p>
        </w:tc>
        <w:tc>
          <w:tcPr/>
          <w:p>
            <w:pPr>
              <w:pStyle w:val="Compact"/>
            </w:pPr>
            <w:r>
              <w:t xml:space="preserve">Re-scope to measured regime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Σσ² orders all outcomes (Spearman −0.767)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Stands for the drone task at σ≈1.83</w:t>
            </w:r>
          </w:p>
        </w:tc>
        <w:tc>
          <w:tcPr/>
          <w:p>
            <w:pPr>
              <w:pStyle w:val="Compact"/>
            </w:pPr>
            <w:r>
              <w:t xml:space="preserve">Qualify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Clipping is what removes the signal variation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Equal weighting is the real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learned allocators are bounded by uniform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Their MNIST result reproduces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allocator ≈ trivial fixed schedule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NEW, supported</w:t>
            </w:r>
            <w:r>
              <w:t xml:space="preserve"> </w:t>
            </w:r>
            <w:r>
              <w:t xml:space="preserve">(p = 0.557)</w:t>
            </w:r>
          </w:p>
        </w:tc>
        <w:tc>
          <w:tcPr/>
          <w:p>
            <w:pPr>
              <w:pStyle w:val="Compact"/>
            </w:pPr>
            <w:r>
              <w:t xml:space="preserve">Promote to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Per-layer splitting always worse (2.37×)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cross-client structure 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Aggregation weights are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not use Adam with DP-SGD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Reframe as design pitfall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noise caps Byzantine attacker amplitude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Unsafe</w:t>
            </w:r>
          </w:p>
        </w:tc>
        <w:tc>
          <w:tcPr/>
          <w:p>
            <w:pPr>
              <w:pStyle w:val="Compact"/>
            </w:pPr>
            <w:r>
              <w:t xml:space="preserve">Weak attacker; split leak (M-4)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norm concentrates as 1/√(2D)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Stands</w:t>
            </w:r>
          </w:p>
        </w:tc>
        <w:tc>
          <w:tcPr/>
          <w:p>
            <w:pPr>
              <w:pStyle w:val="Compact"/>
            </w:pPr>
            <w:r>
              <w:t xml:space="preserve">Frame as observation, not contribution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deliverables"/>
    <w:p>
      <w:pPr>
        <w:pStyle w:val="Heading2"/>
      </w:pPr>
      <w:r>
        <w:t xml:space="preserve">7. Deliverables</w:t>
      </w:r>
    </w:p>
    <w:bookmarkStart w:id="28" w:name="documentation"/>
    <w:p>
      <w:pPr>
        <w:pStyle w:val="Heading3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FINDINGS_regime_dependence.md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C-1.</w:t>
            </w:r>
            <w:r>
              <w:t xml:space="preserve"> </w:t>
            </w:r>
            <w:r>
              <w:t xml:space="preserve">The refutation, reconciliation, and what survives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FINDINGS_authors_code_bugs.md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C-2, C-3.</w:t>
            </w:r>
            <w:r>
              <w:t xml:space="preserve"> </w:t>
            </w:r>
            <w:r>
              <w:t xml:space="preserve">Implementation defects, with proofs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FINDINGS_actor_saturation.md</w:t>
            </w:r>
          </w:p>
        </w:tc>
        <w:tc>
          <w:tcPr/>
          <w:p>
            <w:pPr>
              <w:pStyle w:val="Compact"/>
            </w:pPr>
            <w:r>
              <w:t xml:space="preserve">Superseded hypothesis, retained with correction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FINDINGS_cross_client.md</w:t>
            </w:r>
          </w:p>
        </w:tc>
        <w:tc>
          <w:tcPr/>
          <w:p>
            <w:pPr>
              <w:pStyle w:val="Compact"/>
            </w:pPr>
            <w:r>
              <w:t xml:space="preserve">m-1. Pooling analysis and the legal alternative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NEXT_EXPERIMENTS.md</w:t>
            </w:r>
          </w:p>
        </w:tc>
        <w:tc>
          <w:tcPr/>
          <w:p>
            <w:pPr>
              <w:pStyle w:val="Compact"/>
            </w:pPr>
            <w:r>
              <w:t xml:space="preserve">E1–E4 protocols with pre-registered decision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Session handoff and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REVIEW_REPORT.md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</w:tbl>
    <w:bookmarkEnd w:id="28"/>
    <w:bookmarkStart w:id="29" w:name="code"/>
    <w:p>
      <w:pPr>
        <w:pStyle w:val="Heading3"/>
      </w:pPr>
      <w:r>
        <w:t xml:space="preserve">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Author/Code/test_MNIST_consistent.py</w:t>
            </w:r>
          </w:p>
        </w:tc>
        <w:tc>
          <w:tcPr/>
          <w:p>
            <w:pPr>
              <w:pStyle w:val="Compact"/>
            </w:pPr>
            <w:r>
              <w:t xml:space="preserve">Their code, unit bug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Author/Code/test_MNIST_consistent_paired.py</w:t>
            </w:r>
          </w:p>
        </w:tc>
        <w:tc>
          <w:tcPr/>
          <w:p>
            <w:pPr>
              <w:pStyle w:val="Compact"/>
            </w:pPr>
            <w:r>
              <w:t xml:space="preserve">…plus n-trial paired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author_test_MNIST_paired.py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author_test_CIFAR10_paired.py</w:t>
            </w:r>
          </w:p>
        </w:tc>
        <w:tc>
          <w:tcPr/>
          <w:p>
            <w:pPr>
              <w:pStyle w:val="Compact"/>
            </w:pPr>
            <w:r>
              <w:t xml:space="preserve">Their unmodified code, trial count configurable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e1_weight_profile.py</w:t>
            </w:r>
          </w:p>
        </w:tc>
        <w:tc>
          <w:tcPr/>
          <w:p>
            <w:pPr>
              <w:pStyle w:val="Compact"/>
            </w:pPr>
            <w:r>
              <w:t xml:space="preserve">E1 harness: measures</w:t>
            </w:r>
            <w:r>
              <w:t xml:space="preserve"> </w:t>
            </w:r>
            <w:r>
              <w:rPr>
                <w:rStyle w:val="VerbatimChar"/>
              </w:rPr>
              <w:t xml:space="preserve">a_t</w:t>
            </w:r>
            <w:r>
              <w:t xml:space="preserve"> </w:t>
            </w:r>
            <w:r>
              <w:t xml:space="preserve">by single-round noise pulses</w:t>
            </w:r>
          </w:p>
        </w:tc>
      </w:tr>
    </w:tbl>
    <w:bookmarkEnd w:id="29"/>
    <w:bookmarkStart w:id="30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rPr>
          <w:rStyle w:val="VerbatimChar"/>
        </w:rPr>
        <w:t xml:space="preserve">exp_data_MNIST_consistent_paired.json</w:t>
      </w:r>
      <w:r>
        <w:t xml:space="preserve"> </w:t>
      </w:r>
      <w:r>
        <w:t xml:space="preserve">(10 trials, curves, σ schedules),</w:t>
      </w:r>
      <w:r>
        <w:t xml:space="preserve"> </w:t>
      </w:r>
      <w:r>
        <w:rPr>
          <w:rStyle w:val="VerbatimChar"/>
        </w:rPr>
        <w:t xml:space="preserve">MNIST_consistent_paired_stats.json</w:t>
      </w:r>
      <w:r>
        <w:t xml:space="preserve"> </w:t>
      </w:r>
      <w:r>
        <w:t xml:space="preserve">(per-trial values, CIs, p-values),</w:t>
      </w:r>
      <w:r>
        <w:t xml:space="preserve"> </w:t>
      </w:r>
      <w:r>
        <w:rPr>
          <w:rStyle w:val="VerbatimChar"/>
        </w:rPr>
        <w:t xml:space="preserve">exp_data_MNIST_consistent.json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exp_data_MNIST.json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outstanding-work"/>
    <w:p>
      <w:pPr>
        <w:pStyle w:val="Heading2"/>
      </w:pPr>
      <w:r>
        <w:t xml:space="preserve">8. Outstanding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  <w:r>
              <w:t xml:space="preserve"> </w:t>
            </w:r>
            <w:r>
              <w:t xml:space="preserve">— measure</w:t>
            </w:r>
            <w:r>
              <w:t xml:space="preserve"> </w:t>
            </w:r>
            <w:r>
              <w:rPr>
                <w:rStyle w:val="VerbatimChar"/>
              </w:rPr>
              <w:t xml:space="preserve">a_t</w:t>
            </w:r>
            <w:r>
              <w:t xml:space="preserve"> </w:t>
            </w:r>
            <w:r>
              <w:t xml:space="preserve">across σ. Now the central experiment: produces the curve unifying both regimes</w:t>
            </w:r>
          </w:p>
        </w:tc>
        <w:tc>
          <w:tcPr/>
          <w:p>
            <w:pPr>
              <w:pStyle w:val="Compact"/>
            </w:pPr>
            <w:r>
              <w:t xml:space="preserve">~4 h</w:t>
            </w:r>
          </w:p>
        </w:tc>
        <w:tc>
          <w:tcPr/>
          <w:p>
            <w:pPr>
              <w:pStyle w:val="Compact"/>
            </w:pPr>
            <w:r>
              <w:t xml:space="preserve">Stage-1 cache (</w:t>
            </w:r>
            <w:r>
              <w:rPr>
                <w:rStyle w:val="VerbatimChar"/>
              </w:rPr>
              <w:t xml:space="preserve">python stage1_clear.py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Re-run §5.3 against the</w:t>
            </w:r>
            <w:r>
              <w:t xml:space="preserve"> </w:t>
            </w:r>
            <w:r>
              <w:rPr>
                <w:b/>
                <w:bCs/>
              </w:rPr>
              <w:t xml:space="preserve">final</w:t>
            </w:r>
            <w:r>
              <w:t xml:space="preserve"> </w:t>
            </w:r>
            <w:r>
              <w:t xml:space="preserve">actor (114 is undertrained)</w:t>
            </w:r>
          </w:p>
        </w:tc>
        <w:tc>
          <w:tcPr/>
          <w:p>
            <w:pPr>
              <w:pStyle w:val="Compact"/>
            </w:pPr>
            <w:r>
              <w:t xml:space="preserve">~1 h</w:t>
            </w:r>
          </w:p>
        </w:tc>
        <w:tc>
          <w:tcPr/>
          <w:p>
            <w:pPr>
              <w:pStyle w:val="Compact"/>
            </w:pPr>
            <w:r>
              <w:t xml:space="preserve">Training at 600/800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Restate Theorem 3.1 in weighted form; re-scope §5.1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E1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P3 session-disjoint re-split, then re-run the grid</w:t>
            </w:r>
          </w:p>
        </w:tc>
        <w:tc>
          <w:tcPr/>
          <w:p>
            <w:pPr>
              <w:pStyle w:val="Compact"/>
            </w:pPr>
            <w:r>
              <w:t xml:space="preserve">~2 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Apply the 11 manuscript corrections (§4.2–4.4)</w:t>
            </w:r>
          </w:p>
        </w:tc>
        <w:tc>
          <w:tcPr/>
          <w:p>
            <w:pPr>
              <w:pStyle w:val="Compact"/>
            </w:pPr>
            <w:r>
              <w:t xml:space="preserve">~3 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E4 on CIFAR-10 — bound only, not a verdict (needs ~3,140 trials)</w:t>
            </w:r>
          </w:p>
        </w:tc>
        <w:tc>
          <w:tcPr/>
          <w:p>
            <w:pPr>
              <w:pStyle w:val="Compact"/>
            </w:pPr>
            <w:r>
              <w:t xml:space="preserve">~6 h</w:t>
            </w:r>
          </w:p>
        </w:tc>
        <w:tc>
          <w:tcPr/>
          <w:p>
            <w:pPr>
              <w:pStyle w:val="Compact"/>
            </w:pPr>
            <w:r>
              <w:t xml:space="preserve">Trained 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Strong Byzantine attacks (ALIE, IPM, min-max, Fang)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P3 re-split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E2, E3 — reconsider; E3’s premise weakened by C-2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32" w:name="operational-note"/>
    <w:p>
      <w:pPr>
        <w:pStyle w:val="Heading3"/>
      </w:pPr>
      <w:r>
        <w:t xml:space="preserve">Operational note</w:t>
      </w:r>
    </w:p>
    <w:p>
      <w:pPr>
        <w:pStyle w:val="FirstParagraph"/>
      </w:pPr>
      <w:r>
        <w:t xml:space="preserve">The 5090 training host is running ~4× slower than the 4090 it replaced</w:t>
      </w:r>
      <w:r>
        <w:t xml:space="preserve"> </w:t>
      </w:r>
      <w:r>
        <w:t xml:space="preserve">(12 h to reach 600/800 vs 6 h for the full run). Probable cause: torch built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sm_120</w:t>
      </w:r>
      <w:r>
        <w:t xml:space="preserve"> </w:t>
      </w:r>
      <w:r>
        <w:t xml:space="preserve">(Blackwell) kernels, forcing PTX JIT fallback. Diagnostic:</w:t>
      </w:r>
    </w:p>
    <w:p>
      <w:pPr>
        <w:pStyle w:val="SourceCode"/>
      </w:pPr>
      <w:r>
        <w:rPr>
          <w:rStyle w:val="VerbatimChar"/>
        </w:rPr>
        <w:t xml:space="preserve">python -c "import torch; print(torch.__version__, torch.cuda.get_device_capability(), torch.cuda.get_arch_list())"</w:t>
      </w:r>
    </w:p>
    <w:p>
      <w:pPr>
        <w:pStyle w:val="FirstParagraph"/>
      </w:pPr>
      <w:r>
        <w:rPr>
          <w:rStyle w:val="VerbatimChar"/>
        </w:rPr>
        <w:t xml:space="preserve">sm_120</w:t>
      </w:r>
      <w:r>
        <w:t xml:space="preserve"> </w:t>
      </w:r>
      <w:r>
        <w:t xml:space="preserve">absent from the arch list confirms it; remedy is torch ≥2.7 / CUDA 12.8.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isk-register"/>
    <w:p>
      <w:pPr>
        <w:pStyle w:val="Heading2"/>
      </w:pPr>
      <w:r>
        <w:t xml:space="preserve">9.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challenges the now-refuted uniform-optimality claim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Re-scope before submission; the regime-dependence framing is stronger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results withdrawn under scrutiny of the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Re-split and re-run before any security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§5.3 result attributed to an undertrained actor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Re-run against final 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Over-claiming against the source authors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Report documented defects only; make no claim of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Single-run results resurfacing in the manuscript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Five such results have failed replication in this project; require paired n≥10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review found the manuscript’s central claim to be</w:t>
      </w:r>
      <w:r>
        <w:t xml:space="preserve"> </w:t>
      </w:r>
      <w:r>
        <w:rPr>
          <w:b/>
          <w:bCs/>
        </w:rPr>
        <w:t xml:space="preserve">correct in the regime it</w:t>
      </w:r>
      <w:r>
        <w:rPr>
          <w:b/>
          <w:bCs/>
        </w:rPr>
        <w:t xml:space="preserve"> </w:t>
      </w:r>
      <w:r>
        <w:rPr>
          <w:b/>
          <w:bCs/>
        </w:rPr>
        <w:t xml:space="preserve">was measured and incorrect as stated in general</w:t>
      </w:r>
      <w:r>
        <w:t xml:space="preserve">. The source paper’s result,</w:t>
      </w:r>
      <w:r>
        <w:t xml:space="preserve"> </w:t>
      </w:r>
      <w:r>
        <w:t xml:space="preserve">previously characterised as irreproducible noise,</w:t>
      </w:r>
      <w:r>
        <w:t xml:space="preserve"> </w:t>
      </w:r>
      <w:r>
        <w:rPr>
          <w:b/>
          <w:bCs/>
        </w:rPr>
        <w:t xml:space="preserve">reproduces</w:t>
      </w:r>
      <w:r>
        <w:t xml:space="preserve"> </w:t>
      </w:r>
      <w:r>
        <w:t xml:space="preserve">once its own</w:t>
      </w:r>
      <w:r>
        <w:t xml:space="preserve"> </w:t>
      </w:r>
      <w:r>
        <w:t xml:space="preserve">implementation defect is repaired.</w:t>
      </w:r>
    </w:p>
    <w:p>
      <w:pPr>
        <w:pStyle w:val="BodyText"/>
      </w:pPr>
      <w:r>
        <w:t xml:space="preserve">The resulting position is stronger than either prior claim. Whether adaptive</w:t>
      </w:r>
      <w:r>
        <w:t xml:space="preserve"> </w:t>
      </w:r>
      <w:r>
        <w:t xml:space="preserve">privacy-budget allocation helps is decided by where the operating point sits on</w:t>
      </w:r>
      <w:r>
        <w:t xml:space="preserve"> </w:t>
      </w:r>
      <w:r>
        <w:t xml:space="preserve">the noise curve — and the source paper and this thesis were each measuring one</w:t>
      </w:r>
      <w:r>
        <w:t xml:space="preserve"> </w:t>
      </w:r>
      <w:r>
        <w:t xml:space="preserve">side of that curve without knowing the other existed. The remaining negative</w:t>
      </w:r>
      <w:r>
        <w:t xml:space="preserve"> </w:t>
      </w:r>
      <w:r>
        <w:t xml:space="preserve">result, that a learned multi-agent policy is statistically indistinguishable</w:t>
      </w:r>
      <w:r>
        <w:t xml:space="preserve"> </w:t>
      </w:r>
      <w:r>
        <w:t xml:space="preserve">from a one-line fixed schedule, is narrower, better supported, and survives the</w:t>
      </w:r>
      <w:r>
        <w:t xml:space="preserve"> </w:t>
      </w:r>
      <w:r>
        <w:t xml:space="preserve">regime problem intact.</w:t>
      </w:r>
    </w:p>
    <w:p>
      <w:pPr>
        <w:pStyle w:val="BodyText"/>
      </w:pPr>
      <w:r>
        <w:rPr>
          <w:b/>
          <w:bCs/>
        </w:rPr>
        <w:t xml:space="preserve">Recommended framing:</w:t>
      </w:r>
      <w:r>
        <w:t xml:space="preserve"> </w:t>
      </w:r>
      <w:r>
        <w:t xml:space="preserve">lead with the regime dependence, support it with the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measurement from E1, and retain the MARL-versus-fixed-schedule comparison</w:t>
      </w:r>
      <w:r>
        <w:t xml:space="preserve"> </w:t>
      </w:r>
      <w:r>
        <w:t xml:space="preserve">as the negative result. Withdraw the universal optimality claim.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2026-09-21. All quantitative claims in this report are reproducible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data files listed in §7; reproduction commands are given in the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corresponding findings documents.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Review Report — Adaptive Privacy Budget Allocation in DP-FL</dc:title>
  <dc:creator>BRAC University · T25301039</dc:creator>
  <cp:keywords/>
  <dcterms:created xsi:type="dcterms:W3CDTF">2026-09-21T12:48:40Z</dcterms:created>
  <dcterms:modified xsi:type="dcterms:W3CDTF">2026-09-21T12:48:40Z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September 2026</vt:lpwstr>
  </property>
</Properties>
</file>