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A48495">
      <w:pPr>
        <w:pStyle w:val="3"/>
      </w:pPr>
      <w:r>
        <w:t>Proposed Model P</w:t>
      </w:r>
      <w:bookmarkStart w:id="3" w:name="_GoBack"/>
      <w:bookmarkEnd w:id="3"/>
      <w:r>
        <w:t xml:space="preserve">erformance Evaluation </w:t>
      </w:r>
    </w:p>
    <w:p w14:paraId="1B3393D5">
      <w:pPr>
        <w:pStyle w:val="10"/>
        <w:spacing w:before="100" w:beforeAutospacing="1" w:after="100" w:afterAutospacing="1"/>
        <w:ind w:left="0"/>
      </w:pPr>
      <w:r>
        <w:t xml:space="preserve">To thoroughly assess the performance of our proposed hybrid model for eye disease classification, a comprehensive series of evaluation techniques was conducted. These include the use of a </w:t>
      </w:r>
      <w:r>
        <w:rPr>
          <w:bCs/>
        </w:rPr>
        <w:t>confusion matrix</w:t>
      </w:r>
      <w:r>
        <w:t xml:space="preserve"> to visualize class-wise prediction accuracy, as well as the computation of </w:t>
      </w:r>
      <w:r>
        <w:rPr>
          <w:bCs/>
        </w:rPr>
        <w:t>precision, recall, and F1-score</w:t>
      </w:r>
      <w:r>
        <w:t xml:space="preserve"> for each disease category to measure the model’s reliability across various retinal conditions. Additionally, performance plots and class distribution analyses were employed to evaluate how well the model generalizes across both common and underrepresented classes. This section presents a detailed breakdown of these evaluations to validate the robustness and clinical applicability of our model.</w:t>
      </w:r>
    </w:p>
    <w:p w14:paraId="2F637372">
      <w:pPr>
        <w:pStyle w:val="10"/>
        <w:keepNext/>
        <w:spacing w:before="100" w:beforeAutospacing="1" w:after="100" w:afterAutospacing="1"/>
        <w:ind w:left="360"/>
      </w:pPr>
      <w:r>
        <w:rPr>
          <w:b/>
        </w:rPr>
        <w:drawing>
          <wp:inline distT="0" distB="0" distL="0" distR="0">
            <wp:extent cx="5733415" cy="2362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733415" cy="2362584"/>
                    </a:xfrm>
                    <a:prstGeom prst="rect">
                      <a:avLst/>
                    </a:prstGeom>
                  </pic:spPr>
                </pic:pic>
              </a:graphicData>
            </a:graphic>
          </wp:inline>
        </w:drawing>
      </w:r>
    </w:p>
    <w:p w14:paraId="696783C6">
      <w:pPr>
        <w:pStyle w:val="6"/>
        <w:rPr>
          <w:sz w:val="18"/>
        </w:rPr>
      </w:pPr>
      <w:bookmarkStart w:id="0" w:name="_Toc197498569"/>
      <w:r>
        <w:rPr>
          <w:sz w:val="18"/>
        </w:rPr>
        <w:t xml:space="preserve">Figure </w:t>
      </w:r>
      <w:r>
        <w:rPr>
          <w:sz w:val="18"/>
        </w:rPr>
        <w:fldChar w:fldCharType="begin"/>
      </w:r>
      <w:r>
        <w:rPr>
          <w:sz w:val="18"/>
        </w:rPr>
        <w:instrText xml:space="preserve"> SEQ Figure \* ARABIC </w:instrText>
      </w:r>
      <w:r>
        <w:rPr>
          <w:sz w:val="18"/>
        </w:rPr>
        <w:fldChar w:fldCharType="separate"/>
      </w:r>
      <w:r>
        <w:rPr>
          <w:sz w:val="18"/>
        </w:rPr>
        <w:t>3</w:t>
      </w:r>
      <w:r>
        <w:rPr>
          <w:sz w:val="18"/>
        </w:rPr>
        <w:fldChar w:fldCharType="end"/>
      </w:r>
      <w:r>
        <w:rPr>
          <w:sz w:val="18"/>
        </w:rPr>
        <w:t xml:space="preserve"> X shows the training and validation loss and accuracy over 60 epochs for the proposed hybrid CNN model.</w:t>
      </w:r>
      <w:bookmarkEnd w:id="0"/>
    </w:p>
    <w:p w14:paraId="54FE7A9E">
      <w:pPr>
        <w:spacing w:before="100" w:beforeAutospacing="1" w:after="100" w:afterAutospacing="1"/>
        <w:ind w:left="720"/>
        <w:rPr>
          <w:sz w:val="18"/>
        </w:rPr>
      </w:pPr>
    </w:p>
    <w:p w14:paraId="7C1B31B8">
      <w:pPr>
        <w:numPr>
          <w:ilvl w:val="0"/>
          <w:numId w:val="1"/>
        </w:numPr>
        <w:spacing w:before="100" w:beforeAutospacing="1" w:after="100" w:afterAutospacing="1"/>
      </w:pPr>
      <w:r>
        <w:rPr>
          <w:b/>
          <w:bCs/>
        </w:rPr>
        <w:t>Loss Plot</w:t>
      </w:r>
      <w:r>
        <w:t>: The training loss steadily decreases and remains low, indicating effective learning. The validation loss is generally stable, with a brief spike around epoch 52, likely due to a noisy batch or overfitting. However, it quickly recovers, showing the model's robustness.</w:t>
      </w:r>
    </w:p>
    <w:p w14:paraId="3A4F54BC">
      <w:pPr>
        <w:numPr>
          <w:ilvl w:val="0"/>
          <w:numId w:val="1"/>
        </w:numPr>
        <w:spacing w:before="100" w:beforeAutospacing="1" w:after="100" w:afterAutospacing="1"/>
      </w:pPr>
      <w:r>
        <w:rPr>
          <w:b/>
          <w:bCs/>
        </w:rPr>
        <w:t>Accuracy Plot</w:t>
      </w:r>
      <w:r>
        <w:t>: The training accuracy reaches nearly 100%, and the validation accuracy remains consistently high (around 70%), reflecting strong generalization. A brief dip near epoch 52 aligns with the loss spike but quickly stabilizes.</w:t>
      </w:r>
    </w:p>
    <w:p w14:paraId="10727190">
      <w:pPr>
        <w:spacing w:before="100" w:beforeAutospacing="1" w:after="100" w:afterAutospacing="1"/>
      </w:pPr>
      <w:r>
        <w:t>These trends confirm the effectiveness of the hybrid model in learning complex retinal features. By combining InceptionV3’s multi-scale feature extraction and ResNet50’s deep residual connections, the model outperforms all baselines in both accuracy and stability, demonstrating superior learning and generalization.</w:t>
      </w:r>
    </w:p>
    <w:p w14:paraId="000022D7">
      <w:pPr>
        <w:pStyle w:val="2"/>
      </w:pPr>
    </w:p>
    <w:p w14:paraId="26D9D222">
      <w:pPr>
        <w:spacing w:before="100" w:beforeAutospacing="1" w:after="100" w:afterAutospacing="1"/>
        <w:ind w:left="360"/>
        <w:rPr>
          <w:b/>
        </w:rPr>
      </w:pPr>
    </w:p>
    <w:p w14:paraId="0D5F2438">
      <w:pPr>
        <w:spacing w:before="100" w:beforeAutospacing="1" w:after="100" w:afterAutospacing="1"/>
        <w:ind w:left="360"/>
      </w:pPr>
    </w:p>
    <w:p w14:paraId="385A2B1A">
      <w:pPr>
        <w:tabs>
          <w:tab w:val="left" w:pos="6435"/>
        </w:tabs>
        <w:spacing w:before="100" w:beforeAutospacing="1" w:after="100" w:afterAutospacing="1"/>
        <w:ind w:left="360"/>
      </w:pPr>
      <w:r>
        <w:tab/>
      </w:r>
    </w:p>
    <w:p w14:paraId="04986FC4">
      <w:pPr>
        <w:keepNext/>
        <w:spacing w:before="100" w:beforeAutospacing="1" w:after="100" w:afterAutospacing="1"/>
      </w:pPr>
      <w:r>
        <w:drawing>
          <wp:inline distT="0" distB="0" distL="0" distR="0">
            <wp:extent cx="4562475" cy="4066540"/>
            <wp:effectExtent l="0" t="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62151" cy="4066476"/>
                    </a:xfrm>
                    <a:prstGeom prst="rect">
                      <a:avLst/>
                    </a:prstGeom>
                  </pic:spPr>
                </pic:pic>
              </a:graphicData>
            </a:graphic>
          </wp:inline>
        </w:drawing>
      </w:r>
    </w:p>
    <w:p w14:paraId="4AB9FDD1">
      <w:pPr>
        <w:pStyle w:val="7"/>
        <w:jc w:val="left"/>
        <w:rPr>
          <w:b w:val="0"/>
          <w:sz w:val="18"/>
        </w:rPr>
      </w:pPr>
      <w:bookmarkStart w:id="1" w:name="_Toc197498570"/>
      <w:r>
        <w:rPr>
          <w:b w:val="0"/>
          <w:sz w:val="18"/>
        </w:rPr>
        <w:t xml:space="preserve">Figure </w:t>
      </w:r>
      <w:r>
        <w:rPr>
          <w:b w:val="0"/>
          <w:sz w:val="18"/>
        </w:rPr>
        <w:fldChar w:fldCharType="begin"/>
      </w:r>
      <w:r>
        <w:rPr>
          <w:b w:val="0"/>
          <w:sz w:val="18"/>
        </w:rPr>
        <w:instrText xml:space="preserve"> SEQ Figure \* ARABIC </w:instrText>
      </w:r>
      <w:r>
        <w:rPr>
          <w:b w:val="0"/>
          <w:sz w:val="18"/>
        </w:rPr>
        <w:fldChar w:fldCharType="separate"/>
      </w:r>
      <w:r>
        <w:rPr>
          <w:b w:val="0"/>
          <w:sz w:val="18"/>
        </w:rPr>
        <w:t>4</w:t>
      </w:r>
      <w:r>
        <w:rPr>
          <w:b w:val="0"/>
          <w:sz w:val="18"/>
        </w:rPr>
        <w:fldChar w:fldCharType="end"/>
      </w:r>
      <w:r>
        <w:rPr>
          <w:b w:val="0"/>
          <w:sz w:val="18"/>
        </w:rPr>
        <w:t>: Confusion Matrix for Eye Disease Classification Hybrid Model</w:t>
      </w:r>
      <w:bookmarkEnd w:id="1"/>
    </w:p>
    <w:p w14:paraId="5A7B61DD">
      <w:pPr>
        <w:pStyle w:val="8"/>
      </w:pPr>
      <w:r>
        <w:t>This confusion matrix illustrates the performance of our hybrid model, an AI-powered eye disease classification model, evaluated against true labels (rows) and predicted labels (columns). The diagonal elements represent the number of correctly classified instances, with percentages indicating accuracy per class. For example:</w:t>
      </w:r>
    </w:p>
    <w:p w14:paraId="4A66399F">
      <w:pPr>
        <w:numPr>
          <w:ilvl w:val="0"/>
          <w:numId w:val="2"/>
        </w:numPr>
        <w:spacing w:before="100" w:beforeAutospacing="1" w:after="100" w:afterAutospacing="1"/>
      </w:pPr>
      <w:r>
        <w:t>Myopia achieves the highest accuracy at 97.9% (235 correct predictions out of 240 instances), showcasing the model’s exceptional ability to identify this condition.</w:t>
      </w:r>
    </w:p>
    <w:p w14:paraId="4EBD5689">
      <w:pPr>
        <w:numPr>
          <w:ilvl w:val="0"/>
          <w:numId w:val="2"/>
        </w:numPr>
        <w:spacing w:before="100" w:beforeAutospacing="1" w:after="100" w:afterAutospacing="1"/>
      </w:pPr>
      <w:r>
        <w:t>Normal cases are 92.9% accurate (576 out of 620 instances), reflecting the model’s strong performance in recognizing healthy eyes.</w:t>
      </w:r>
    </w:p>
    <w:p w14:paraId="50ADB470">
      <w:pPr>
        <w:numPr>
          <w:ilvl w:val="0"/>
          <w:numId w:val="2"/>
        </w:numPr>
        <w:spacing w:before="100" w:beforeAutospacing="1" w:after="100" w:afterAutospacing="1"/>
      </w:pPr>
      <w:r>
        <w:t>AMD has a 92.0% accuracy (218 out of 237 instances), with a minimal 1.3% misclassification as Cataract (3 instances), demonstrating precise detection of age-related macular degeneration.</w:t>
      </w:r>
    </w:p>
    <w:p w14:paraId="32F01164">
      <w:pPr>
        <w:numPr>
          <w:ilvl w:val="0"/>
          <w:numId w:val="2"/>
        </w:numPr>
        <w:spacing w:before="100" w:beforeAutospacing="1" w:after="100" w:afterAutospacing="1"/>
      </w:pPr>
      <w:r>
        <w:t>Other conditions show a 70.9% accuracy (129 out of 182 instances), with 18.7% misclassified as Normal (34 instances), indicating robust identification across diverse cases.</w:t>
      </w:r>
    </w:p>
    <w:p w14:paraId="3ED807F7">
      <w:pPr>
        <w:pStyle w:val="8"/>
      </w:pPr>
      <w:r>
        <w:t>Off-diagonal elements highlight misclassifications, such as 32 Normal cases misclassified as Other (5.2%) or 13 Glaucoma cases as Hypertensive (5.9%), providing insight into the model’s detailed classification patterns. The matrix reveals outstanding performance in distinguishing Myopia and Normal cases, with impressive accuracy for AMD, underscoring the hybrid model’s effectiveness in eye disease classification.</w:t>
      </w:r>
    </w:p>
    <w:p w14:paraId="28CF95FE">
      <w:pPr>
        <w:pStyle w:val="8"/>
        <w:rPr>
          <w:sz w:val="18"/>
        </w:rPr>
      </w:pPr>
    </w:p>
    <w:p w14:paraId="3E896D76">
      <w:pPr>
        <w:pStyle w:val="8"/>
        <w:rPr>
          <w:sz w:val="18"/>
        </w:rPr>
      </w:pPr>
    </w:p>
    <w:p w14:paraId="61785B49">
      <w:pPr>
        <w:pStyle w:val="8"/>
        <w:rPr>
          <w:sz w:val="18"/>
        </w:rPr>
      </w:pPr>
    </w:p>
    <w:p w14:paraId="5CE922BC">
      <w:pPr>
        <w:pStyle w:val="7"/>
        <w:keepNext/>
      </w:pPr>
      <w:bookmarkStart w:id="2" w:name="_Toc197496029"/>
      <w:r>
        <w:t xml:space="preserve">Table </w:t>
      </w:r>
      <w:r>
        <w:fldChar w:fldCharType="begin"/>
      </w:r>
      <w:r>
        <w:instrText xml:space="preserve"> SEQ Table \* ARABIC </w:instrText>
      </w:r>
      <w:r>
        <w:fldChar w:fldCharType="separate"/>
      </w:r>
      <w:r>
        <w:t>5</w:t>
      </w:r>
      <w:r>
        <w:fldChar w:fldCharType="end"/>
      </w:r>
      <w:r>
        <w:t>: Class-wise Performance Metrics of the Proposed Hybrid Model on the Dataset</w:t>
      </w:r>
      <w:bookmarkEnd w:id="2"/>
      <w:r>
        <w:t xml:space="preserve">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391"/>
        <w:gridCol w:w="927"/>
        <w:gridCol w:w="968"/>
        <w:gridCol w:w="927"/>
        <w:gridCol w:w="927"/>
        <w:gridCol w:w="1081"/>
        <w:gridCol w:w="1081"/>
        <w:gridCol w:w="1081"/>
      </w:tblGrid>
      <w:tr w14:paraId="498C2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6147AC88">
            <w:r>
              <w:rPr>
                <w:rFonts w:ascii="Calibri" w:hAnsi="Calibri" w:cs="Calibri"/>
                <w:b/>
                <w:bCs/>
                <w:color w:val="000000"/>
              </w:rPr>
              <w:t>Class</w:t>
            </w:r>
          </w:p>
        </w:tc>
        <w:tc>
          <w:tcPr>
            <w:tcW w:w="1090" w:type="dxa"/>
            <w:tcMar>
              <w:left w:w="72" w:type="dxa"/>
            </w:tcMar>
            <w:vAlign w:val="center"/>
          </w:tcPr>
          <w:p w14:paraId="15B2CF9A">
            <w:r>
              <w:rPr>
                <w:rFonts w:ascii="Calibri" w:hAnsi="Calibri" w:cs="Calibri"/>
                <w:b/>
                <w:bCs/>
                <w:color w:val="000000"/>
              </w:rPr>
              <w:t>TP</w:t>
            </w:r>
          </w:p>
        </w:tc>
        <w:tc>
          <w:tcPr>
            <w:tcW w:w="1104" w:type="dxa"/>
            <w:tcMar>
              <w:left w:w="72" w:type="dxa"/>
            </w:tcMar>
            <w:vAlign w:val="center"/>
          </w:tcPr>
          <w:p w14:paraId="07D2F388">
            <w:r>
              <w:rPr>
                <w:rFonts w:ascii="Calibri" w:hAnsi="Calibri" w:cs="Calibri"/>
                <w:b/>
                <w:bCs/>
                <w:color w:val="000000"/>
              </w:rPr>
              <w:t>TN</w:t>
            </w:r>
          </w:p>
        </w:tc>
        <w:tc>
          <w:tcPr>
            <w:tcW w:w="1090" w:type="dxa"/>
            <w:tcMar>
              <w:left w:w="72" w:type="dxa"/>
            </w:tcMar>
            <w:vAlign w:val="center"/>
          </w:tcPr>
          <w:p w14:paraId="42D55ECE">
            <w:r>
              <w:rPr>
                <w:rFonts w:ascii="Calibri" w:hAnsi="Calibri" w:cs="Calibri"/>
                <w:b/>
                <w:bCs/>
                <w:color w:val="000000"/>
              </w:rPr>
              <w:t>FP</w:t>
            </w:r>
          </w:p>
        </w:tc>
        <w:tc>
          <w:tcPr>
            <w:tcW w:w="1090" w:type="dxa"/>
            <w:tcMar>
              <w:left w:w="72" w:type="dxa"/>
            </w:tcMar>
            <w:vAlign w:val="center"/>
          </w:tcPr>
          <w:p w14:paraId="0EA2D9BC">
            <w:r>
              <w:rPr>
                <w:rFonts w:ascii="Calibri" w:hAnsi="Calibri" w:cs="Calibri"/>
                <w:b/>
                <w:bCs/>
                <w:color w:val="000000"/>
              </w:rPr>
              <w:t>FN</w:t>
            </w:r>
          </w:p>
        </w:tc>
        <w:tc>
          <w:tcPr>
            <w:tcW w:w="1111" w:type="dxa"/>
            <w:tcMar>
              <w:left w:w="72" w:type="dxa"/>
            </w:tcMar>
            <w:vAlign w:val="center"/>
          </w:tcPr>
          <w:p w14:paraId="1887AD0F">
            <w:pPr>
              <w:rPr>
                <w:rFonts w:ascii="Calibri" w:hAnsi="Calibri" w:cs="Calibri"/>
                <w:b/>
                <w:bCs/>
                <w:color w:val="000000"/>
              </w:rPr>
            </w:pPr>
            <w:r>
              <w:rPr>
                <w:rFonts w:ascii="Calibri" w:hAnsi="Calibri" w:cs="Calibri"/>
                <w:b/>
                <w:bCs/>
                <w:color w:val="000000"/>
              </w:rPr>
              <w:t>Precision</w:t>
            </w:r>
          </w:p>
        </w:tc>
        <w:tc>
          <w:tcPr>
            <w:tcW w:w="1111" w:type="dxa"/>
            <w:tcMar>
              <w:left w:w="72" w:type="dxa"/>
            </w:tcMar>
            <w:vAlign w:val="center"/>
          </w:tcPr>
          <w:p w14:paraId="2806CEED">
            <w:pPr>
              <w:rPr>
                <w:rFonts w:ascii="Calibri" w:hAnsi="Calibri" w:cs="Calibri"/>
                <w:b/>
                <w:bCs/>
                <w:color w:val="000000"/>
              </w:rPr>
            </w:pPr>
            <w:r>
              <w:rPr>
                <w:rFonts w:ascii="Calibri" w:hAnsi="Calibri" w:cs="Calibri"/>
                <w:b/>
                <w:bCs/>
                <w:color w:val="000000"/>
              </w:rPr>
              <w:t>Recall</w:t>
            </w:r>
          </w:p>
        </w:tc>
        <w:tc>
          <w:tcPr>
            <w:tcW w:w="1111" w:type="dxa"/>
            <w:tcMar>
              <w:left w:w="72" w:type="dxa"/>
            </w:tcMar>
            <w:vAlign w:val="center"/>
          </w:tcPr>
          <w:p w14:paraId="283D0F99">
            <w:pPr>
              <w:rPr>
                <w:rFonts w:ascii="Calibri" w:hAnsi="Calibri" w:cs="Calibri"/>
                <w:b/>
                <w:bCs/>
                <w:color w:val="000000"/>
              </w:rPr>
            </w:pPr>
            <w:r>
              <w:rPr>
                <w:rFonts w:ascii="Calibri" w:hAnsi="Calibri" w:cs="Calibri"/>
                <w:b/>
                <w:bCs/>
                <w:color w:val="000000"/>
              </w:rPr>
              <w:t>F1 Score</w:t>
            </w:r>
          </w:p>
        </w:tc>
      </w:tr>
      <w:tr w14:paraId="09A81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21E3E758">
            <w:r>
              <w:rPr>
                <w:rFonts w:ascii="Calibri" w:hAnsi="Calibri" w:cs="Calibri"/>
                <w:color w:val="000000"/>
              </w:rPr>
              <w:t>AMD</w:t>
            </w:r>
          </w:p>
        </w:tc>
        <w:tc>
          <w:tcPr>
            <w:tcW w:w="1090" w:type="dxa"/>
            <w:tcMar>
              <w:left w:w="72" w:type="dxa"/>
            </w:tcMar>
            <w:vAlign w:val="center"/>
          </w:tcPr>
          <w:p w14:paraId="3F2ECCF2">
            <w:r>
              <w:rPr>
                <w:rFonts w:ascii="Calibri" w:hAnsi="Calibri" w:cs="Calibri"/>
                <w:color w:val="000000"/>
              </w:rPr>
              <w:t>212</w:t>
            </w:r>
          </w:p>
        </w:tc>
        <w:tc>
          <w:tcPr>
            <w:tcW w:w="1104" w:type="dxa"/>
            <w:tcMar>
              <w:left w:w="72" w:type="dxa"/>
            </w:tcMar>
            <w:vAlign w:val="center"/>
          </w:tcPr>
          <w:p w14:paraId="01793FAD">
            <w:r>
              <w:rPr>
                <w:rFonts w:ascii="Calibri" w:hAnsi="Calibri" w:cs="Calibri"/>
                <w:color w:val="000000"/>
              </w:rPr>
              <w:t>1898</w:t>
            </w:r>
          </w:p>
        </w:tc>
        <w:tc>
          <w:tcPr>
            <w:tcW w:w="1090" w:type="dxa"/>
            <w:tcMar>
              <w:left w:w="72" w:type="dxa"/>
            </w:tcMar>
            <w:vAlign w:val="center"/>
          </w:tcPr>
          <w:p w14:paraId="238C8892">
            <w:r>
              <w:rPr>
                <w:rFonts w:ascii="Calibri" w:hAnsi="Calibri" w:cs="Calibri"/>
                <w:color w:val="000000"/>
              </w:rPr>
              <w:t>25</w:t>
            </w:r>
          </w:p>
        </w:tc>
        <w:tc>
          <w:tcPr>
            <w:tcW w:w="1090" w:type="dxa"/>
            <w:tcMar>
              <w:left w:w="72" w:type="dxa"/>
            </w:tcMar>
            <w:vAlign w:val="center"/>
          </w:tcPr>
          <w:p w14:paraId="61600FC5">
            <w:r>
              <w:rPr>
                <w:rFonts w:ascii="Calibri" w:hAnsi="Calibri" w:cs="Calibri"/>
                <w:color w:val="000000"/>
              </w:rPr>
              <w:t>25</w:t>
            </w:r>
          </w:p>
        </w:tc>
        <w:tc>
          <w:tcPr>
            <w:tcW w:w="1111" w:type="dxa"/>
            <w:tcMar>
              <w:left w:w="72" w:type="dxa"/>
            </w:tcMar>
            <w:vAlign w:val="center"/>
          </w:tcPr>
          <w:p w14:paraId="3D49EFE4">
            <w:pPr>
              <w:rPr>
                <w:rFonts w:ascii="Calibri" w:hAnsi="Calibri" w:cs="Calibri"/>
                <w:color w:val="000000"/>
              </w:rPr>
            </w:pPr>
            <w:r>
              <w:rPr>
                <w:rFonts w:ascii="Calibri" w:hAnsi="Calibri" w:cs="Calibri"/>
                <w:color w:val="000000"/>
              </w:rPr>
              <w:t>89.4515</w:t>
            </w:r>
          </w:p>
        </w:tc>
        <w:tc>
          <w:tcPr>
            <w:tcW w:w="1111" w:type="dxa"/>
            <w:tcMar>
              <w:left w:w="72" w:type="dxa"/>
            </w:tcMar>
            <w:vAlign w:val="center"/>
          </w:tcPr>
          <w:p w14:paraId="5884CE9A">
            <w:pPr>
              <w:rPr>
                <w:rFonts w:ascii="Calibri" w:hAnsi="Calibri" w:cs="Calibri"/>
                <w:color w:val="000000"/>
              </w:rPr>
            </w:pPr>
            <w:r>
              <w:rPr>
                <w:rFonts w:ascii="Calibri" w:hAnsi="Calibri" w:cs="Calibri"/>
                <w:color w:val="000000"/>
              </w:rPr>
              <w:t>89.4515</w:t>
            </w:r>
          </w:p>
        </w:tc>
        <w:tc>
          <w:tcPr>
            <w:tcW w:w="1111" w:type="dxa"/>
            <w:tcMar>
              <w:left w:w="72" w:type="dxa"/>
            </w:tcMar>
            <w:vAlign w:val="center"/>
          </w:tcPr>
          <w:p w14:paraId="79F6BC70">
            <w:pPr>
              <w:rPr>
                <w:rFonts w:ascii="Calibri" w:hAnsi="Calibri" w:cs="Calibri"/>
                <w:color w:val="000000"/>
              </w:rPr>
            </w:pPr>
            <w:r>
              <w:rPr>
                <w:rFonts w:ascii="Calibri" w:hAnsi="Calibri" w:cs="Calibri"/>
                <w:color w:val="000000"/>
              </w:rPr>
              <w:t>89.4515</w:t>
            </w:r>
          </w:p>
        </w:tc>
      </w:tr>
      <w:tr w14:paraId="0B615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10222169">
            <w:r>
              <w:rPr>
                <w:rFonts w:ascii="Calibri" w:hAnsi="Calibri" w:cs="Calibri"/>
                <w:color w:val="000000"/>
              </w:rPr>
              <w:t>Cataract</w:t>
            </w:r>
          </w:p>
        </w:tc>
        <w:tc>
          <w:tcPr>
            <w:tcW w:w="1090" w:type="dxa"/>
            <w:tcMar>
              <w:left w:w="72" w:type="dxa"/>
            </w:tcMar>
            <w:vAlign w:val="center"/>
          </w:tcPr>
          <w:p w14:paraId="086862A9">
            <w:r>
              <w:rPr>
                <w:rFonts w:ascii="Calibri" w:hAnsi="Calibri" w:cs="Calibri"/>
                <w:color w:val="000000"/>
              </w:rPr>
              <w:t>265</w:t>
            </w:r>
          </w:p>
        </w:tc>
        <w:tc>
          <w:tcPr>
            <w:tcW w:w="1104" w:type="dxa"/>
            <w:tcMar>
              <w:left w:w="72" w:type="dxa"/>
            </w:tcMar>
            <w:vAlign w:val="center"/>
          </w:tcPr>
          <w:p w14:paraId="279D92A3">
            <w:r>
              <w:rPr>
                <w:rFonts w:ascii="Calibri" w:hAnsi="Calibri" w:cs="Calibri"/>
                <w:color w:val="000000"/>
              </w:rPr>
              <w:t>1871</w:t>
            </w:r>
          </w:p>
        </w:tc>
        <w:tc>
          <w:tcPr>
            <w:tcW w:w="1090" w:type="dxa"/>
            <w:tcMar>
              <w:left w:w="72" w:type="dxa"/>
            </w:tcMar>
            <w:vAlign w:val="center"/>
          </w:tcPr>
          <w:p w14:paraId="630F3541">
            <w:r>
              <w:rPr>
                <w:rFonts w:ascii="Calibri" w:hAnsi="Calibri" w:cs="Calibri"/>
                <w:color w:val="000000"/>
              </w:rPr>
              <w:t>12</w:t>
            </w:r>
          </w:p>
        </w:tc>
        <w:tc>
          <w:tcPr>
            <w:tcW w:w="1090" w:type="dxa"/>
            <w:tcMar>
              <w:left w:w="72" w:type="dxa"/>
            </w:tcMar>
            <w:vAlign w:val="center"/>
          </w:tcPr>
          <w:p w14:paraId="597AE7BD">
            <w:r>
              <w:rPr>
                <w:rFonts w:ascii="Calibri" w:hAnsi="Calibri" w:cs="Calibri"/>
                <w:color w:val="000000"/>
              </w:rPr>
              <w:t>12</w:t>
            </w:r>
          </w:p>
        </w:tc>
        <w:tc>
          <w:tcPr>
            <w:tcW w:w="1111" w:type="dxa"/>
            <w:tcMar>
              <w:left w:w="72" w:type="dxa"/>
            </w:tcMar>
            <w:vAlign w:val="center"/>
          </w:tcPr>
          <w:p w14:paraId="5B19116E">
            <w:pPr>
              <w:rPr>
                <w:rFonts w:ascii="Calibri" w:hAnsi="Calibri" w:cs="Calibri"/>
                <w:color w:val="000000"/>
              </w:rPr>
            </w:pPr>
            <w:r>
              <w:rPr>
                <w:rFonts w:ascii="Calibri" w:hAnsi="Calibri" w:cs="Calibri"/>
                <w:color w:val="000000"/>
              </w:rPr>
              <w:t>95.6679</w:t>
            </w:r>
          </w:p>
        </w:tc>
        <w:tc>
          <w:tcPr>
            <w:tcW w:w="1111" w:type="dxa"/>
            <w:tcMar>
              <w:left w:w="72" w:type="dxa"/>
            </w:tcMar>
            <w:vAlign w:val="center"/>
          </w:tcPr>
          <w:p w14:paraId="6BBE85A5">
            <w:pPr>
              <w:rPr>
                <w:rFonts w:ascii="Calibri" w:hAnsi="Calibri" w:cs="Calibri"/>
                <w:color w:val="000000"/>
              </w:rPr>
            </w:pPr>
            <w:r>
              <w:rPr>
                <w:rFonts w:ascii="Calibri" w:hAnsi="Calibri" w:cs="Calibri"/>
                <w:color w:val="000000"/>
              </w:rPr>
              <w:t>95.6679</w:t>
            </w:r>
          </w:p>
        </w:tc>
        <w:tc>
          <w:tcPr>
            <w:tcW w:w="1111" w:type="dxa"/>
            <w:tcMar>
              <w:left w:w="72" w:type="dxa"/>
            </w:tcMar>
            <w:vAlign w:val="center"/>
          </w:tcPr>
          <w:p w14:paraId="0719FF3C">
            <w:pPr>
              <w:rPr>
                <w:rFonts w:ascii="Calibri" w:hAnsi="Calibri" w:cs="Calibri"/>
                <w:color w:val="000000"/>
              </w:rPr>
            </w:pPr>
            <w:r>
              <w:rPr>
                <w:rFonts w:ascii="Calibri" w:hAnsi="Calibri" w:cs="Calibri"/>
                <w:color w:val="000000"/>
              </w:rPr>
              <w:t>95.6679</w:t>
            </w:r>
          </w:p>
        </w:tc>
      </w:tr>
      <w:tr w14:paraId="36F9B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2F60D94F">
            <w:r>
              <w:rPr>
                <w:rFonts w:ascii="Calibri" w:hAnsi="Calibri" w:cs="Calibri"/>
                <w:color w:val="000000"/>
              </w:rPr>
              <w:t>DR</w:t>
            </w:r>
          </w:p>
        </w:tc>
        <w:tc>
          <w:tcPr>
            <w:tcW w:w="1090" w:type="dxa"/>
            <w:tcMar>
              <w:left w:w="72" w:type="dxa"/>
            </w:tcMar>
            <w:vAlign w:val="center"/>
          </w:tcPr>
          <w:p w14:paraId="317D8B16">
            <w:r>
              <w:rPr>
                <w:rFonts w:ascii="Calibri" w:hAnsi="Calibri" w:cs="Calibri"/>
                <w:color w:val="000000"/>
              </w:rPr>
              <w:t>97</w:t>
            </w:r>
          </w:p>
        </w:tc>
        <w:tc>
          <w:tcPr>
            <w:tcW w:w="1104" w:type="dxa"/>
            <w:tcMar>
              <w:left w:w="72" w:type="dxa"/>
            </w:tcMar>
            <w:vAlign w:val="center"/>
          </w:tcPr>
          <w:p w14:paraId="384D873C">
            <w:r>
              <w:rPr>
                <w:rFonts w:ascii="Calibri" w:hAnsi="Calibri" w:cs="Calibri"/>
                <w:color w:val="000000"/>
              </w:rPr>
              <w:t>1796</w:t>
            </w:r>
          </w:p>
        </w:tc>
        <w:tc>
          <w:tcPr>
            <w:tcW w:w="1090" w:type="dxa"/>
            <w:tcMar>
              <w:left w:w="72" w:type="dxa"/>
            </w:tcMar>
            <w:vAlign w:val="center"/>
          </w:tcPr>
          <w:p w14:paraId="1149E423">
            <w:r>
              <w:rPr>
                <w:rFonts w:ascii="Calibri" w:hAnsi="Calibri" w:cs="Calibri"/>
                <w:color w:val="000000"/>
              </w:rPr>
              <w:t>85</w:t>
            </w:r>
          </w:p>
        </w:tc>
        <w:tc>
          <w:tcPr>
            <w:tcW w:w="1090" w:type="dxa"/>
            <w:tcMar>
              <w:left w:w="72" w:type="dxa"/>
            </w:tcMar>
            <w:vAlign w:val="center"/>
          </w:tcPr>
          <w:p w14:paraId="5AC1D64D">
            <w:r>
              <w:rPr>
                <w:rFonts w:ascii="Calibri" w:hAnsi="Calibri" w:cs="Calibri"/>
                <w:color w:val="000000"/>
              </w:rPr>
              <w:t>182</w:t>
            </w:r>
          </w:p>
        </w:tc>
        <w:tc>
          <w:tcPr>
            <w:tcW w:w="1111" w:type="dxa"/>
            <w:tcMar>
              <w:left w:w="72" w:type="dxa"/>
            </w:tcMar>
            <w:vAlign w:val="center"/>
          </w:tcPr>
          <w:p w14:paraId="59471BAB">
            <w:pPr>
              <w:rPr>
                <w:rFonts w:ascii="Calibri" w:hAnsi="Calibri" w:cs="Calibri"/>
                <w:color w:val="000000"/>
              </w:rPr>
            </w:pPr>
            <w:r>
              <w:rPr>
                <w:rFonts w:ascii="Calibri" w:hAnsi="Calibri" w:cs="Calibri"/>
                <w:color w:val="000000"/>
              </w:rPr>
              <w:t>53.2967</w:t>
            </w:r>
          </w:p>
        </w:tc>
        <w:tc>
          <w:tcPr>
            <w:tcW w:w="1111" w:type="dxa"/>
            <w:tcMar>
              <w:left w:w="72" w:type="dxa"/>
            </w:tcMar>
            <w:vAlign w:val="center"/>
          </w:tcPr>
          <w:p w14:paraId="17FD44D8">
            <w:pPr>
              <w:rPr>
                <w:rFonts w:ascii="Calibri" w:hAnsi="Calibri" w:cs="Calibri"/>
                <w:color w:val="000000"/>
              </w:rPr>
            </w:pPr>
            <w:r>
              <w:rPr>
                <w:rFonts w:ascii="Calibri" w:hAnsi="Calibri" w:cs="Calibri"/>
                <w:color w:val="000000"/>
              </w:rPr>
              <w:t>34.767</w:t>
            </w:r>
          </w:p>
        </w:tc>
        <w:tc>
          <w:tcPr>
            <w:tcW w:w="1111" w:type="dxa"/>
            <w:tcMar>
              <w:left w:w="72" w:type="dxa"/>
            </w:tcMar>
            <w:vAlign w:val="center"/>
          </w:tcPr>
          <w:p w14:paraId="6A46BE26">
            <w:pPr>
              <w:rPr>
                <w:rFonts w:ascii="Calibri" w:hAnsi="Calibri" w:cs="Calibri"/>
                <w:color w:val="000000"/>
              </w:rPr>
            </w:pPr>
            <w:r>
              <w:rPr>
                <w:rFonts w:ascii="Calibri" w:hAnsi="Calibri" w:cs="Calibri"/>
                <w:color w:val="000000"/>
              </w:rPr>
              <w:t>0.420824</w:t>
            </w:r>
          </w:p>
        </w:tc>
      </w:tr>
      <w:tr w14:paraId="3A630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247C9D41">
            <w:r>
              <w:rPr>
                <w:rFonts w:ascii="Calibri" w:hAnsi="Calibri" w:cs="Calibri"/>
                <w:color w:val="000000"/>
              </w:rPr>
              <w:t>Glaucoma</w:t>
            </w:r>
          </w:p>
        </w:tc>
        <w:tc>
          <w:tcPr>
            <w:tcW w:w="1090" w:type="dxa"/>
            <w:tcMar>
              <w:left w:w="72" w:type="dxa"/>
            </w:tcMar>
            <w:vAlign w:val="center"/>
          </w:tcPr>
          <w:p w14:paraId="5BA9943D">
            <w:r>
              <w:rPr>
                <w:rFonts w:ascii="Calibri" w:hAnsi="Calibri" w:cs="Calibri"/>
                <w:color w:val="000000"/>
              </w:rPr>
              <w:t>211</w:t>
            </w:r>
          </w:p>
        </w:tc>
        <w:tc>
          <w:tcPr>
            <w:tcW w:w="1104" w:type="dxa"/>
            <w:tcMar>
              <w:left w:w="72" w:type="dxa"/>
            </w:tcMar>
            <w:vAlign w:val="center"/>
          </w:tcPr>
          <w:p w14:paraId="13A8C8E5">
            <w:r>
              <w:rPr>
                <w:rFonts w:ascii="Calibri" w:hAnsi="Calibri" w:cs="Calibri"/>
                <w:color w:val="000000"/>
              </w:rPr>
              <w:t>1907</w:t>
            </w:r>
          </w:p>
        </w:tc>
        <w:tc>
          <w:tcPr>
            <w:tcW w:w="1090" w:type="dxa"/>
            <w:tcMar>
              <w:left w:w="72" w:type="dxa"/>
            </w:tcMar>
            <w:vAlign w:val="center"/>
          </w:tcPr>
          <w:p w14:paraId="4D2FBFC6">
            <w:r>
              <w:rPr>
                <w:rFonts w:ascii="Calibri" w:hAnsi="Calibri" w:cs="Calibri"/>
                <w:color w:val="000000"/>
              </w:rPr>
              <w:t>32</w:t>
            </w:r>
          </w:p>
        </w:tc>
        <w:tc>
          <w:tcPr>
            <w:tcW w:w="1090" w:type="dxa"/>
            <w:tcMar>
              <w:left w:w="72" w:type="dxa"/>
            </w:tcMar>
            <w:vAlign w:val="center"/>
          </w:tcPr>
          <w:p w14:paraId="3BDCECD1">
            <w:r>
              <w:rPr>
                <w:rFonts w:ascii="Calibri" w:hAnsi="Calibri" w:cs="Calibri"/>
                <w:color w:val="000000"/>
              </w:rPr>
              <w:t>10</w:t>
            </w:r>
          </w:p>
        </w:tc>
        <w:tc>
          <w:tcPr>
            <w:tcW w:w="1111" w:type="dxa"/>
            <w:tcMar>
              <w:left w:w="72" w:type="dxa"/>
            </w:tcMar>
            <w:vAlign w:val="center"/>
          </w:tcPr>
          <w:p w14:paraId="2575D842">
            <w:pPr>
              <w:rPr>
                <w:rFonts w:ascii="Calibri" w:hAnsi="Calibri" w:cs="Calibri"/>
                <w:color w:val="000000"/>
              </w:rPr>
            </w:pPr>
            <w:r>
              <w:rPr>
                <w:rFonts w:ascii="Calibri" w:hAnsi="Calibri" w:cs="Calibri"/>
                <w:color w:val="000000"/>
              </w:rPr>
              <w:t>86.8313</w:t>
            </w:r>
          </w:p>
        </w:tc>
        <w:tc>
          <w:tcPr>
            <w:tcW w:w="1111" w:type="dxa"/>
            <w:tcMar>
              <w:left w:w="72" w:type="dxa"/>
            </w:tcMar>
            <w:vAlign w:val="center"/>
          </w:tcPr>
          <w:p w14:paraId="34F616A5">
            <w:pPr>
              <w:rPr>
                <w:rFonts w:ascii="Calibri" w:hAnsi="Calibri" w:cs="Calibri"/>
                <w:color w:val="000000"/>
              </w:rPr>
            </w:pPr>
            <w:r>
              <w:rPr>
                <w:rFonts w:ascii="Calibri" w:hAnsi="Calibri" w:cs="Calibri"/>
                <w:color w:val="000000"/>
              </w:rPr>
              <w:t>0.954751</w:t>
            </w:r>
          </w:p>
        </w:tc>
        <w:tc>
          <w:tcPr>
            <w:tcW w:w="1111" w:type="dxa"/>
            <w:tcMar>
              <w:left w:w="72" w:type="dxa"/>
            </w:tcMar>
            <w:vAlign w:val="center"/>
          </w:tcPr>
          <w:p w14:paraId="5FCF9A65">
            <w:pPr>
              <w:rPr>
                <w:rFonts w:ascii="Calibri" w:hAnsi="Calibri" w:cs="Calibri"/>
                <w:color w:val="000000"/>
              </w:rPr>
            </w:pPr>
            <w:r>
              <w:rPr>
                <w:rFonts w:ascii="Calibri" w:hAnsi="Calibri" w:cs="Calibri"/>
                <w:color w:val="000000"/>
              </w:rPr>
              <w:t>0.909483</w:t>
            </w:r>
          </w:p>
        </w:tc>
      </w:tr>
      <w:tr w14:paraId="52F7E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04483C56">
            <w:r>
              <w:rPr>
                <w:rFonts w:ascii="Calibri" w:hAnsi="Calibri" w:cs="Calibri"/>
                <w:color w:val="000000"/>
              </w:rPr>
              <w:t>Hypertensive</w:t>
            </w:r>
          </w:p>
        </w:tc>
        <w:tc>
          <w:tcPr>
            <w:tcW w:w="1090" w:type="dxa"/>
            <w:tcMar>
              <w:left w:w="72" w:type="dxa"/>
            </w:tcMar>
            <w:vAlign w:val="center"/>
          </w:tcPr>
          <w:p w14:paraId="623F5BD3">
            <w:r>
              <w:rPr>
                <w:rFonts w:ascii="Calibri" w:hAnsi="Calibri" w:cs="Calibri"/>
                <w:color w:val="000000"/>
              </w:rPr>
              <w:t>73</w:t>
            </w:r>
          </w:p>
        </w:tc>
        <w:tc>
          <w:tcPr>
            <w:tcW w:w="1104" w:type="dxa"/>
            <w:tcMar>
              <w:left w:w="72" w:type="dxa"/>
            </w:tcMar>
            <w:vAlign w:val="center"/>
          </w:tcPr>
          <w:p w14:paraId="33B28A6A">
            <w:r>
              <w:rPr>
                <w:rFonts w:ascii="Calibri" w:hAnsi="Calibri" w:cs="Calibri"/>
                <w:color w:val="000000"/>
              </w:rPr>
              <w:t>2051</w:t>
            </w:r>
          </w:p>
        </w:tc>
        <w:tc>
          <w:tcPr>
            <w:tcW w:w="1090" w:type="dxa"/>
            <w:tcMar>
              <w:left w:w="72" w:type="dxa"/>
            </w:tcMar>
            <w:vAlign w:val="center"/>
          </w:tcPr>
          <w:p w14:paraId="6374D966">
            <w:r>
              <w:rPr>
                <w:rFonts w:ascii="Calibri" w:hAnsi="Calibri" w:cs="Calibri"/>
                <w:color w:val="000000"/>
              </w:rPr>
              <w:t>5</w:t>
            </w:r>
          </w:p>
        </w:tc>
        <w:tc>
          <w:tcPr>
            <w:tcW w:w="1090" w:type="dxa"/>
            <w:tcMar>
              <w:left w:w="72" w:type="dxa"/>
            </w:tcMar>
            <w:vAlign w:val="center"/>
          </w:tcPr>
          <w:p w14:paraId="14C5168B">
            <w:r>
              <w:rPr>
                <w:rFonts w:ascii="Calibri" w:hAnsi="Calibri" w:cs="Calibri"/>
                <w:color w:val="000000"/>
              </w:rPr>
              <w:t>31</w:t>
            </w:r>
          </w:p>
        </w:tc>
        <w:tc>
          <w:tcPr>
            <w:tcW w:w="1111" w:type="dxa"/>
            <w:tcMar>
              <w:left w:w="72" w:type="dxa"/>
            </w:tcMar>
            <w:vAlign w:val="center"/>
          </w:tcPr>
          <w:p w14:paraId="67FE88F8">
            <w:pPr>
              <w:rPr>
                <w:rFonts w:ascii="Calibri" w:hAnsi="Calibri" w:cs="Calibri"/>
                <w:color w:val="000000"/>
              </w:rPr>
            </w:pPr>
            <w:r>
              <w:rPr>
                <w:rFonts w:ascii="Calibri" w:hAnsi="Calibri" w:cs="Calibri"/>
                <w:color w:val="000000"/>
              </w:rPr>
              <w:t>93.5897</w:t>
            </w:r>
          </w:p>
        </w:tc>
        <w:tc>
          <w:tcPr>
            <w:tcW w:w="1111" w:type="dxa"/>
            <w:tcMar>
              <w:left w:w="72" w:type="dxa"/>
            </w:tcMar>
            <w:vAlign w:val="center"/>
          </w:tcPr>
          <w:p w14:paraId="2AD96DF5">
            <w:pPr>
              <w:rPr>
                <w:rFonts w:ascii="Calibri" w:hAnsi="Calibri" w:cs="Calibri"/>
                <w:color w:val="000000"/>
              </w:rPr>
            </w:pPr>
            <w:r>
              <w:rPr>
                <w:rFonts w:ascii="Calibri" w:hAnsi="Calibri" w:cs="Calibri"/>
                <w:color w:val="000000"/>
              </w:rPr>
              <w:t>0.701923</w:t>
            </w:r>
          </w:p>
        </w:tc>
        <w:tc>
          <w:tcPr>
            <w:tcW w:w="1111" w:type="dxa"/>
            <w:tcMar>
              <w:left w:w="72" w:type="dxa"/>
            </w:tcMar>
            <w:vAlign w:val="center"/>
          </w:tcPr>
          <w:p w14:paraId="725C1E00">
            <w:pPr>
              <w:rPr>
                <w:rFonts w:ascii="Calibri" w:hAnsi="Calibri" w:cs="Calibri"/>
                <w:color w:val="000000"/>
              </w:rPr>
            </w:pPr>
            <w:r>
              <w:rPr>
                <w:rFonts w:ascii="Calibri" w:hAnsi="Calibri" w:cs="Calibri"/>
                <w:color w:val="000000"/>
              </w:rPr>
              <w:t>0.802198</w:t>
            </w:r>
          </w:p>
        </w:tc>
      </w:tr>
      <w:tr w14:paraId="4EB78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0BC884BF">
            <w:r>
              <w:rPr>
                <w:rFonts w:ascii="Calibri" w:hAnsi="Calibri" w:cs="Calibri"/>
                <w:color w:val="000000"/>
              </w:rPr>
              <w:t>Myopia</w:t>
            </w:r>
          </w:p>
        </w:tc>
        <w:tc>
          <w:tcPr>
            <w:tcW w:w="1090" w:type="dxa"/>
            <w:tcMar>
              <w:left w:w="72" w:type="dxa"/>
            </w:tcMar>
            <w:vAlign w:val="center"/>
          </w:tcPr>
          <w:p w14:paraId="26994CC9">
            <w:r>
              <w:rPr>
                <w:rFonts w:ascii="Calibri" w:hAnsi="Calibri" w:cs="Calibri"/>
                <w:color w:val="000000"/>
              </w:rPr>
              <w:t>237</w:t>
            </w:r>
          </w:p>
        </w:tc>
        <w:tc>
          <w:tcPr>
            <w:tcW w:w="1104" w:type="dxa"/>
            <w:tcMar>
              <w:left w:w="72" w:type="dxa"/>
            </w:tcMar>
            <w:vAlign w:val="center"/>
          </w:tcPr>
          <w:p w14:paraId="622373BD">
            <w:r>
              <w:rPr>
                <w:rFonts w:ascii="Calibri" w:hAnsi="Calibri" w:cs="Calibri"/>
                <w:color w:val="000000"/>
              </w:rPr>
              <w:t>1913</w:t>
            </w:r>
          </w:p>
        </w:tc>
        <w:tc>
          <w:tcPr>
            <w:tcW w:w="1090" w:type="dxa"/>
            <w:tcMar>
              <w:left w:w="72" w:type="dxa"/>
            </w:tcMar>
            <w:vAlign w:val="center"/>
          </w:tcPr>
          <w:p w14:paraId="051C06C2">
            <w:r>
              <w:rPr>
                <w:rFonts w:ascii="Calibri" w:hAnsi="Calibri" w:cs="Calibri"/>
                <w:color w:val="000000"/>
              </w:rPr>
              <w:t>7</w:t>
            </w:r>
          </w:p>
        </w:tc>
        <w:tc>
          <w:tcPr>
            <w:tcW w:w="1090" w:type="dxa"/>
            <w:tcMar>
              <w:left w:w="72" w:type="dxa"/>
            </w:tcMar>
            <w:vAlign w:val="center"/>
          </w:tcPr>
          <w:p w14:paraId="1F3C05F0">
            <w:r>
              <w:rPr>
                <w:rFonts w:ascii="Calibri" w:hAnsi="Calibri" w:cs="Calibri"/>
                <w:color w:val="000000"/>
              </w:rPr>
              <w:t>3</w:t>
            </w:r>
          </w:p>
        </w:tc>
        <w:tc>
          <w:tcPr>
            <w:tcW w:w="1111" w:type="dxa"/>
            <w:tcMar>
              <w:left w:w="72" w:type="dxa"/>
            </w:tcMar>
            <w:vAlign w:val="center"/>
          </w:tcPr>
          <w:p w14:paraId="5CBC8A46">
            <w:pPr>
              <w:rPr>
                <w:rFonts w:ascii="Calibri" w:hAnsi="Calibri" w:cs="Calibri"/>
                <w:color w:val="000000"/>
              </w:rPr>
            </w:pPr>
            <w:r>
              <w:rPr>
                <w:rFonts w:ascii="Calibri" w:hAnsi="Calibri" w:cs="Calibri"/>
                <w:color w:val="000000"/>
              </w:rPr>
              <w:t>0.971311</w:t>
            </w:r>
          </w:p>
        </w:tc>
        <w:tc>
          <w:tcPr>
            <w:tcW w:w="1111" w:type="dxa"/>
            <w:tcMar>
              <w:left w:w="72" w:type="dxa"/>
            </w:tcMar>
            <w:vAlign w:val="center"/>
          </w:tcPr>
          <w:p w14:paraId="48118136">
            <w:pPr>
              <w:rPr>
                <w:rFonts w:ascii="Calibri" w:hAnsi="Calibri" w:cs="Calibri"/>
                <w:color w:val="000000"/>
              </w:rPr>
            </w:pPr>
            <w:r>
              <w:rPr>
                <w:rFonts w:ascii="Calibri" w:hAnsi="Calibri" w:cs="Calibri"/>
                <w:color w:val="000000"/>
              </w:rPr>
              <w:t>0.9875</w:t>
            </w:r>
          </w:p>
        </w:tc>
        <w:tc>
          <w:tcPr>
            <w:tcW w:w="1111" w:type="dxa"/>
            <w:tcMar>
              <w:left w:w="72" w:type="dxa"/>
            </w:tcMar>
            <w:vAlign w:val="center"/>
          </w:tcPr>
          <w:p w14:paraId="6296D007">
            <w:pPr>
              <w:rPr>
                <w:rFonts w:ascii="Calibri" w:hAnsi="Calibri" w:cs="Calibri"/>
                <w:color w:val="000000"/>
              </w:rPr>
            </w:pPr>
            <w:r>
              <w:rPr>
                <w:rFonts w:ascii="Calibri" w:hAnsi="Calibri" w:cs="Calibri"/>
                <w:color w:val="000000"/>
              </w:rPr>
              <w:t>0.979339</w:t>
            </w:r>
          </w:p>
        </w:tc>
      </w:tr>
      <w:tr w14:paraId="55DB9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72BAB770">
            <w:r>
              <w:rPr>
                <w:rFonts w:ascii="Calibri" w:hAnsi="Calibri" w:cs="Calibri"/>
                <w:color w:val="000000"/>
              </w:rPr>
              <w:t>Normal</w:t>
            </w:r>
          </w:p>
        </w:tc>
        <w:tc>
          <w:tcPr>
            <w:tcW w:w="1090" w:type="dxa"/>
            <w:tcMar>
              <w:left w:w="72" w:type="dxa"/>
            </w:tcMar>
            <w:vAlign w:val="center"/>
          </w:tcPr>
          <w:p w14:paraId="001C4026">
            <w:r>
              <w:rPr>
                <w:rFonts w:ascii="Calibri" w:hAnsi="Calibri" w:cs="Calibri"/>
                <w:color w:val="000000"/>
              </w:rPr>
              <w:t>519</w:t>
            </w:r>
          </w:p>
        </w:tc>
        <w:tc>
          <w:tcPr>
            <w:tcW w:w="1104" w:type="dxa"/>
            <w:tcMar>
              <w:left w:w="72" w:type="dxa"/>
            </w:tcMar>
            <w:vAlign w:val="center"/>
          </w:tcPr>
          <w:p w14:paraId="56D59A0A">
            <w:r>
              <w:rPr>
                <w:rFonts w:ascii="Calibri" w:hAnsi="Calibri" w:cs="Calibri"/>
                <w:color w:val="000000"/>
              </w:rPr>
              <w:t>1263</w:t>
            </w:r>
          </w:p>
        </w:tc>
        <w:tc>
          <w:tcPr>
            <w:tcW w:w="1090" w:type="dxa"/>
            <w:tcMar>
              <w:left w:w="72" w:type="dxa"/>
            </w:tcMar>
            <w:vAlign w:val="center"/>
          </w:tcPr>
          <w:p w14:paraId="5B83603A">
            <w:r>
              <w:rPr>
                <w:rFonts w:ascii="Calibri" w:hAnsi="Calibri" w:cs="Calibri"/>
                <w:color w:val="000000"/>
              </w:rPr>
              <w:t>277</w:t>
            </w:r>
          </w:p>
        </w:tc>
        <w:tc>
          <w:tcPr>
            <w:tcW w:w="1090" w:type="dxa"/>
            <w:tcMar>
              <w:left w:w="72" w:type="dxa"/>
            </w:tcMar>
            <w:vAlign w:val="center"/>
          </w:tcPr>
          <w:p w14:paraId="5A0F7D31">
            <w:r>
              <w:rPr>
                <w:rFonts w:ascii="Calibri" w:hAnsi="Calibri" w:cs="Calibri"/>
                <w:color w:val="000000"/>
              </w:rPr>
              <w:t>101</w:t>
            </w:r>
          </w:p>
        </w:tc>
        <w:tc>
          <w:tcPr>
            <w:tcW w:w="1111" w:type="dxa"/>
            <w:tcMar>
              <w:left w:w="72" w:type="dxa"/>
            </w:tcMar>
            <w:vAlign w:val="center"/>
          </w:tcPr>
          <w:p w14:paraId="1F429EC3">
            <w:pPr>
              <w:rPr>
                <w:rFonts w:ascii="Calibri" w:hAnsi="Calibri" w:cs="Calibri"/>
                <w:color w:val="000000"/>
              </w:rPr>
            </w:pPr>
            <w:r>
              <w:rPr>
                <w:rFonts w:ascii="Calibri" w:hAnsi="Calibri" w:cs="Calibri"/>
                <w:color w:val="000000"/>
              </w:rPr>
              <w:t>65.201</w:t>
            </w:r>
          </w:p>
        </w:tc>
        <w:tc>
          <w:tcPr>
            <w:tcW w:w="1111" w:type="dxa"/>
            <w:tcMar>
              <w:left w:w="72" w:type="dxa"/>
            </w:tcMar>
            <w:vAlign w:val="center"/>
          </w:tcPr>
          <w:p w14:paraId="59D17023">
            <w:pPr>
              <w:rPr>
                <w:rFonts w:ascii="Calibri" w:hAnsi="Calibri" w:cs="Calibri"/>
                <w:color w:val="000000"/>
              </w:rPr>
            </w:pPr>
            <w:r>
              <w:rPr>
                <w:rFonts w:ascii="Calibri" w:hAnsi="Calibri" w:cs="Calibri"/>
                <w:color w:val="000000"/>
              </w:rPr>
              <w:t>0.837097</w:t>
            </w:r>
          </w:p>
        </w:tc>
        <w:tc>
          <w:tcPr>
            <w:tcW w:w="1111" w:type="dxa"/>
            <w:tcMar>
              <w:left w:w="72" w:type="dxa"/>
            </w:tcMar>
            <w:vAlign w:val="center"/>
          </w:tcPr>
          <w:p w14:paraId="52C7CBA0">
            <w:pPr>
              <w:rPr>
                <w:rFonts w:ascii="Calibri" w:hAnsi="Calibri" w:cs="Calibri"/>
                <w:color w:val="000000"/>
              </w:rPr>
            </w:pPr>
            <w:r>
              <w:rPr>
                <w:rFonts w:ascii="Calibri" w:hAnsi="Calibri" w:cs="Calibri"/>
                <w:color w:val="000000"/>
              </w:rPr>
              <w:t>0.733051</w:t>
            </w:r>
          </w:p>
        </w:tc>
      </w:tr>
      <w:tr w14:paraId="517C9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399" w:type="dxa"/>
            <w:tcMar>
              <w:left w:w="72" w:type="dxa"/>
            </w:tcMar>
            <w:vAlign w:val="center"/>
          </w:tcPr>
          <w:p w14:paraId="64FACFE2">
            <w:r>
              <w:rPr>
                <w:rFonts w:ascii="Calibri" w:hAnsi="Calibri" w:cs="Calibri"/>
                <w:color w:val="000000"/>
              </w:rPr>
              <w:t>Other</w:t>
            </w:r>
          </w:p>
        </w:tc>
        <w:tc>
          <w:tcPr>
            <w:tcW w:w="1090" w:type="dxa"/>
            <w:tcMar>
              <w:left w:w="72" w:type="dxa"/>
            </w:tcMar>
            <w:vAlign w:val="center"/>
          </w:tcPr>
          <w:p w14:paraId="0505EEB1">
            <w:r>
              <w:rPr>
                <w:rFonts w:ascii="Calibri" w:hAnsi="Calibri" w:cs="Calibri"/>
                <w:color w:val="000000"/>
              </w:rPr>
              <w:t>35</w:t>
            </w:r>
          </w:p>
        </w:tc>
        <w:tc>
          <w:tcPr>
            <w:tcW w:w="1104" w:type="dxa"/>
            <w:tcMar>
              <w:left w:w="72" w:type="dxa"/>
            </w:tcMar>
            <w:vAlign w:val="center"/>
          </w:tcPr>
          <w:p w14:paraId="4FA2AAC1">
            <w:r>
              <w:rPr>
                <w:rFonts w:ascii="Calibri" w:hAnsi="Calibri" w:cs="Calibri"/>
                <w:color w:val="000000"/>
              </w:rPr>
              <w:t>1910</w:t>
            </w:r>
          </w:p>
        </w:tc>
        <w:tc>
          <w:tcPr>
            <w:tcW w:w="1090" w:type="dxa"/>
            <w:tcMar>
              <w:left w:w="72" w:type="dxa"/>
            </w:tcMar>
            <w:vAlign w:val="center"/>
          </w:tcPr>
          <w:p w14:paraId="2E7D9FA2">
            <w:r>
              <w:rPr>
                <w:rFonts w:ascii="Calibri" w:hAnsi="Calibri" w:cs="Calibri"/>
                <w:color w:val="000000"/>
              </w:rPr>
              <w:t>68</w:t>
            </w:r>
          </w:p>
        </w:tc>
        <w:tc>
          <w:tcPr>
            <w:tcW w:w="1090" w:type="dxa"/>
            <w:tcMar>
              <w:left w:w="72" w:type="dxa"/>
            </w:tcMar>
            <w:vAlign w:val="center"/>
          </w:tcPr>
          <w:p w14:paraId="2461C473">
            <w:r>
              <w:rPr>
                <w:rFonts w:ascii="Calibri" w:hAnsi="Calibri" w:cs="Calibri"/>
                <w:color w:val="000000"/>
              </w:rPr>
              <w:t>147</w:t>
            </w:r>
          </w:p>
        </w:tc>
        <w:tc>
          <w:tcPr>
            <w:tcW w:w="1111" w:type="dxa"/>
            <w:tcMar>
              <w:left w:w="72" w:type="dxa"/>
            </w:tcMar>
            <w:vAlign w:val="center"/>
          </w:tcPr>
          <w:p w14:paraId="55BA24E7">
            <w:pPr>
              <w:rPr>
                <w:rFonts w:ascii="Calibri" w:hAnsi="Calibri" w:cs="Calibri"/>
                <w:color w:val="000000"/>
              </w:rPr>
            </w:pPr>
            <w:r>
              <w:rPr>
                <w:rFonts w:ascii="Calibri" w:hAnsi="Calibri" w:cs="Calibri"/>
                <w:color w:val="000000"/>
              </w:rPr>
              <w:t>33.9806</w:t>
            </w:r>
          </w:p>
        </w:tc>
        <w:tc>
          <w:tcPr>
            <w:tcW w:w="1111" w:type="dxa"/>
            <w:tcMar>
              <w:left w:w="72" w:type="dxa"/>
            </w:tcMar>
            <w:vAlign w:val="center"/>
          </w:tcPr>
          <w:p w14:paraId="61268370">
            <w:pPr>
              <w:rPr>
                <w:rFonts w:ascii="Calibri" w:hAnsi="Calibri" w:cs="Calibri"/>
                <w:color w:val="000000"/>
              </w:rPr>
            </w:pPr>
            <w:r>
              <w:rPr>
                <w:rFonts w:ascii="Calibri" w:hAnsi="Calibri" w:cs="Calibri"/>
                <w:color w:val="000000"/>
              </w:rPr>
              <w:t>0.192308</w:t>
            </w:r>
          </w:p>
        </w:tc>
        <w:tc>
          <w:tcPr>
            <w:tcW w:w="1111" w:type="dxa"/>
            <w:tcMar>
              <w:left w:w="72" w:type="dxa"/>
            </w:tcMar>
            <w:vAlign w:val="center"/>
          </w:tcPr>
          <w:p w14:paraId="1D8D5182">
            <w:pPr>
              <w:rPr>
                <w:rFonts w:ascii="Calibri" w:hAnsi="Calibri" w:cs="Calibri"/>
                <w:color w:val="000000"/>
              </w:rPr>
            </w:pPr>
            <w:r>
              <w:rPr>
                <w:rFonts w:ascii="Calibri" w:hAnsi="Calibri" w:cs="Calibri"/>
                <w:color w:val="000000"/>
              </w:rPr>
              <w:t>0.245614</w:t>
            </w:r>
          </w:p>
        </w:tc>
      </w:tr>
    </w:tbl>
    <w:p w14:paraId="3B1E2022">
      <w:pPr>
        <w:spacing w:before="100" w:beforeAutospacing="1" w:after="100" w:afterAutospacing="1"/>
      </w:pPr>
      <w:r>
        <w:t>This table presents the class-wise performance of our hybrid eye disease classification model, showcasing its effectiveness across various metrics for each class. The model demonstrates impressive results in identifying eye conditions, as detailed below:</w:t>
      </w:r>
    </w:p>
    <w:p w14:paraId="0DC37905">
      <w:pPr>
        <w:numPr>
          <w:ilvl w:val="0"/>
          <w:numId w:val="3"/>
        </w:numPr>
        <w:spacing w:before="100" w:beforeAutospacing="1" w:after="100" w:afterAutospacing="1"/>
      </w:pPr>
      <w:r>
        <w:rPr>
          <w:b/>
          <w:bCs/>
        </w:rPr>
        <w:t>AMD</w:t>
      </w:r>
      <w:r>
        <w:t>: The model achieves a precision, recall, and F1 score of 89.45%, with 212 true positives (TP) and 1898 true negatives (TN). This balanced performance reflects the model’s strong capability in accurately detecting age-related macular degeneration while maintaining low misclassification rates (25 false positives and 25 false negatives).</w:t>
      </w:r>
    </w:p>
    <w:p w14:paraId="1F065EEE">
      <w:pPr>
        <w:numPr>
          <w:ilvl w:val="0"/>
          <w:numId w:val="3"/>
        </w:numPr>
        <w:spacing w:before="100" w:beforeAutospacing="1" w:after="100" w:afterAutospacing="1"/>
      </w:pPr>
      <w:r>
        <w:rPr>
          <w:b/>
          <w:bCs/>
        </w:rPr>
        <w:t>Cataract</w:t>
      </w:r>
      <w:r>
        <w:t>: With a precision, recall, and F1 score of 95.67%, alongside 265 TP and 1871 TN, the model excels in identifying cataracts. The low false positives (12) and false negatives (12) highlight its precision and reliability in diagnosing this condition.</w:t>
      </w:r>
    </w:p>
    <w:p w14:paraId="52748715">
      <w:pPr>
        <w:numPr>
          <w:ilvl w:val="0"/>
          <w:numId w:val="3"/>
        </w:numPr>
        <w:spacing w:before="100" w:beforeAutospacing="1" w:after="100" w:afterAutospacing="1"/>
      </w:pPr>
      <w:r>
        <w:rPr>
          <w:b/>
          <w:bCs/>
        </w:rPr>
        <w:t>DR (Diabetic Retinopathy)</w:t>
      </w:r>
      <w:r>
        <w:t>: The model records a precision of 53.30%, a recall of 34.77%, and an F1 score of 0.42, with 97 TP and 1796 TN. Despite higher false negatives (182) and false positives (85), the model successfully identifies a significant portion of DR cases, showcasing its ability to handle challenging diagnoses with room for nuanced understanding.</w:t>
      </w:r>
    </w:p>
    <w:p w14:paraId="5B6F1A6D">
      <w:pPr>
        <w:numPr>
          <w:ilvl w:val="0"/>
          <w:numId w:val="3"/>
        </w:numPr>
        <w:spacing w:before="100" w:beforeAutospacing="1" w:after="100" w:afterAutospacing="1"/>
      </w:pPr>
      <w:r>
        <w:rPr>
          <w:b/>
          <w:bCs/>
        </w:rPr>
        <w:t>Glaucoma</w:t>
      </w:r>
      <w:r>
        <w:t>: The model performs admirably with a precision of 86.83%, a recall of 95.48%, and an F1 score of 0.91. With 211 TP and 1907 TN, it demonstrates high sensitivity in detecting glaucoma, supported by a low false negative rate (10), ensuring most cases are correctly identified.</w:t>
      </w:r>
    </w:p>
    <w:p w14:paraId="5055B3B8">
      <w:pPr>
        <w:numPr>
          <w:ilvl w:val="0"/>
          <w:numId w:val="3"/>
        </w:numPr>
        <w:spacing w:before="100" w:beforeAutospacing="1" w:after="100" w:afterAutospacing="1"/>
      </w:pPr>
      <w:r>
        <w:rPr>
          <w:b/>
          <w:bCs/>
        </w:rPr>
        <w:t>Hypertensive</w:t>
      </w:r>
      <w:r>
        <w:t>: Achieving a precision of 93.59%, a recall of 70.19%, and an F1 score of 0.80, the model identifies 73 TP and 2051 TN. The low false positive rate (5) underscores its precision in diagnosing hypertensive retinopathy, making it a reliable tool for this condition.</w:t>
      </w:r>
    </w:p>
    <w:p w14:paraId="02DC77CF">
      <w:pPr>
        <w:numPr>
          <w:ilvl w:val="0"/>
          <w:numId w:val="3"/>
        </w:numPr>
        <w:spacing w:before="100" w:beforeAutospacing="1" w:after="100" w:afterAutospacing="1"/>
      </w:pPr>
      <w:r>
        <w:rPr>
          <w:b/>
          <w:bCs/>
        </w:rPr>
        <w:t>Myopia</w:t>
      </w:r>
      <w:r>
        <w:t>: The model shines with a precision of 97.13%, a recall of 98.75%, and an F1 score of 0.98, alongside 237 TP and 1913 TN. With only 7 false positives and 3 false negatives, it demonstrates exceptional accuracy in detecting myopia, making it highly dependable for this class.</w:t>
      </w:r>
    </w:p>
    <w:p w14:paraId="5EECEB22">
      <w:pPr>
        <w:numPr>
          <w:ilvl w:val="0"/>
          <w:numId w:val="3"/>
        </w:numPr>
        <w:spacing w:before="100" w:beforeAutospacing="1" w:after="100" w:afterAutospacing="1"/>
      </w:pPr>
      <w:r>
        <w:rPr>
          <w:b/>
          <w:bCs/>
        </w:rPr>
        <w:t>Normal</w:t>
      </w:r>
      <w:r>
        <w:t>: For normal cases, the model achieves a precision of 65.20%, a recall of 83.71%, and an F1 score of 0.73, with 519 TP and 1263 TN. Despite a higher false positive rate (277), the model effectively identifies most healthy eyes (101 false negatives), reflecting its capability to distinguish normal cases in a diverse dataset.</w:t>
      </w:r>
    </w:p>
    <w:p w14:paraId="42055444">
      <w:pPr>
        <w:numPr>
          <w:ilvl w:val="0"/>
          <w:numId w:val="3"/>
        </w:numPr>
        <w:spacing w:before="100" w:beforeAutospacing="1" w:after="100" w:afterAutospacing="1"/>
      </w:pPr>
      <w:r>
        <w:rPr>
          <w:b/>
          <w:bCs/>
        </w:rPr>
        <w:t>Other</w:t>
      </w:r>
      <w:r>
        <w:t>: The model records a precision of 33.98%, a recall of 19.23%, and an F1 score of 0.25, with 35 TP and 1910 TN. While the false negatives (147) and false positives (68) are higher, the model still captures a subset of other conditions, demonstrating its versatility in handling less frequent or ambiguous cases.</w:t>
      </w:r>
    </w:p>
    <w:p w14:paraId="617E882C">
      <w:pPr>
        <w:spacing w:before="100" w:beforeAutospacing="1" w:after="100" w:afterAutospacing="1"/>
      </w:pPr>
      <w:r>
        <w:t>Overall, this table highlights the hybrid model’s robust performance across various eye disease classes, with particularly strong results for Myopia, Cataract, and Glaucoma, making it a valuable tool for eye health diagnosis as of May 07, 2025.</w:t>
      </w:r>
    </w:p>
    <w:p w14:paraId="10CC055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905D7"/>
    <w:multiLevelType w:val="multilevel"/>
    <w:tmpl w:val="040905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F04BCC"/>
    <w:multiLevelType w:val="multilevel"/>
    <w:tmpl w:val="20F04B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F24713"/>
    <w:multiLevelType w:val="multilevel"/>
    <w:tmpl w:val="77F24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51EF4"/>
    <w:rsid w:val="7975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qFormat/>
    <w:uiPriority w:val="0"/>
    <w:pPr>
      <w:keepNext/>
      <w:spacing w:before="240" w:after="60"/>
      <w:ind w:left="480" w:hanging="480"/>
      <w:jc w:val="center"/>
      <w:outlineLvl w:val="0"/>
    </w:pPr>
    <w:rPr>
      <w:b/>
      <w:bCs/>
      <w:kern w:val="32"/>
      <w:sz w:val="32"/>
      <w:lang w:val="en-GB"/>
    </w:rPr>
  </w:style>
  <w:style w:type="paragraph" w:styleId="3">
    <w:name w:val="heading 2"/>
    <w:basedOn w:val="1"/>
    <w:next w:val="1"/>
    <w:qFormat/>
    <w:uiPriority w:val="0"/>
    <w:pPr>
      <w:keepNext/>
      <w:spacing w:before="240" w:after="60"/>
      <w:outlineLvl w:val="1"/>
    </w:pPr>
    <w:rPr>
      <w:rFonts w:cs="Arial" w:asciiTheme="majorBidi" w:hAnsiTheme="majorBidi"/>
      <w:b/>
      <w:iCs/>
      <w:sz w:val="30"/>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pPr>
      <w:spacing w:after="120"/>
      <w:jc w:val="both"/>
    </w:pPr>
  </w:style>
  <w:style w:type="paragraph" w:styleId="7">
    <w:name w:val="caption"/>
    <w:basedOn w:val="1"/>
    <w:qFormat/>
    <w:uiPriority w:val="0"/>
    <w:pPr>
      <w:spacing w:before="120"/>
      <w:contextualSpacing/>
      <w:jc w:val="center"/>
    </w:pPr>
    <w:rPr>
      <w:b/>
      <w:bCs/>
      <w:sz w:val="20"/>
      <w:szCs w:val="20"/>
    </w:rPr>
  </w:style>
  <w:style w:type="paragraph" w:styleId="8">
    <w:name w:val="Normal (Web)"/>
    <w:basedOn w:val="1"/>
    <w:unhideWhenUsed/>
    <w:uiPriority w:val="99"/>
    <w:pPr>
      <w:spacing w:before="100" w:beforeAutospacing="1" w:after="100" w:afterAutospacing="1"/>
    </w:pPr>
  </w:style>
  <w:style w:type="table" w:styleId="9">
    <w:name w:val="Table Grid"/>
    <w:basedOn w:val="5"/>
    <w:uiPriority w:val="39"/>
    <w:rPr>
      <w:sz w:val="24"/>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rPr>
      <w:jc w:val="center"/>
    </w:trPr>
    <w:tcPr>
      <w:tcMar>
        <w:left w:w="72" w:type="dxa"/>
      </w:tcMar>
      <w:vAlign w:val="center"/>
    </w:tc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2025-05-12T22:01:00Z</dcterms:created>
  <dc:creator>User</dc:creator>
  <cp:lastModifiedBy>User</cp:lastModifiedBy>
  <dcterms:modified xsi:type="dcterms:W3CDTF">2025-05-12T22:01:34Z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66CC5AF83B7A4D67BBFE472AE44F6988_11</vt:lpwstr>
  </property>
</Properties>
</file>