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w:t>
      </w:r>
      <w:r w:rsidR="00672A6D">
        <w:rPr>
          <w:rFonts w:ascii="Garamond" w:eastAsia="PMingLiU" w:hAnsi="Garamond" w:cs="Mangal"/>
          <w:color w:val="000000" w:themeColor="text1"/>
          <w:spacing w:val="0"/>
          <w:lang w:val="en-IN" w:eastAsia="en-US"/>
        </w:rPr>
        <w:lastRenderedPageBreak/>
        <w:t xml:space="preserve">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 xml:space="preserve">SDP is important before testing operations take place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 xml:space="preserve">Identifying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 managing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 xml:space="preserve">prediction the number of defects, </w:t>
      </w:r>
      <w:r w:rsidR="00CC0FBB" w:rsidRPr="00026FE4">
        <w:rPr>
          <w:rFonts w:ascii="Garamond" w:eastAsia="PMingLiU" w:hAnsi="Garamond" w:cs="Mangal"/>
          <w:color w:val="000000" w:themeColor="text1"/>
          <w:spacing w:val="0"/>
          <w:lang w:val="en-IN" w:eastAsia="en-US"/>
        </w:rPr>
        <w:t>the severity of defects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5F0072">
      <w:pPr>
        <w:pStyle w:val="Heading3"/>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5F0072">
      <w:pPr>
        <w:pStyle w:val="Heading3"/>
        <w:rPr>
          <w:highlight w:val="yellow"/>
        </w:rPr>
      </w:pPr>
      <w:r w:rsidRPr="006710F1">
        <w:rPr>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w:t>
      </w:r>
      <w:r w:rsidRPr="00460D73">
        <w:rPr>
          <w:rFonts w:cs="Times New Roman"/>
          <w:szCs w:val="24"/>
          <w:lang w:val="fr-FR" w:eastAsia="fr-FR"/>
        </w:rPr>
        <w:lastRenderedPageBreak/>
        <w:t xml:space="preserve">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5F0072">
      <w:pPr>
        <w:pStyle w:val="Heading3"/>
      </w:pPr>
      <w:r w:rsidRPr="00C07A0F">
        <w:rPr>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5F0072">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1C4645"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1C4645"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1C4645"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r w:rsidRPr="00FA2C38">
        <w:t xml:space="preserve">Wahono and Suryana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Saha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Malhorta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0D32802F" w:rsidR="003677E2" w:rsidRDefault="003677E2" w:rsidP="00246A11">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46A11">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46A11"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43CB9965" w14:textId="054A2139" w:rsidR="004418F2" w:rsidRPr="005F0072" w:rsidRDefault="003677E2" w:rsidP="004418F2">
      <w:pPr>
        <w:spacing w:before="120" w:after="120" w:line="240" w:lineRule="auto"/>
        <w:outlineLvl w:val="2"/>
        <w:rPr>
          <w:lang w:val="en-US" w:eastAsia="en-IN"/>
        </w:rPr>
      </w:pPr>
      <w:r w:rsidRPr="003E512A">
        <w:rPr>
          <w:sz w:val="20"/>
          <w:szCs w:val="20"/>
        </w:rPr>
        <w:t xml:space="preserve">The approach for applying training and testing in the experiments is based on a hold-out strategy in which each dataset is </w:t>
      </w:r>
      <w:r w:rsidR="004418F2" w:rsidRPr="005F0072">
        <w:rPr>
          <w:lang w:val="en-US" w:eastAsia="en-IN"/>
        </w:rPr>
        <w:t xml:space="preserve">shuffled </w:t>
      </w:r>
      <w:r w:rsidR="004418F2">
        <w:rPr>
          <w:sz w:val="20"/>
          <w:szCs w:val="20"/>
        </w:rPr>
        <w:t xml:space="preserve">and </w:t>
      </w:r>
      <w:r w:rsidRPr="003E512A">
        <w:rPr>
          <w:sz w:val="20"/>
          <w:szCs w:val="20"/>
        </w:rPr>
        <w:t xml:space="preserve">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r w:rsidR="004418F2">
        <w:rPr>
          <w:sz w:val="20"/>
          <w:szCs w:val="20"/>
        </w:rPr>
        <w:t xml:space="preserve"> </w:t>
      </w:r>
      <w:r w:rsidR="004418F2" w:rsidRPr="004418F2">
        <w:rPr>
          <w:sz w:val="20"/>
          <w:szCs w:val="20"/>
        </w:rPr>
        <w:t>all dataset features are uniformed by deleting the additional columns in dataset other versions files</w:t>
      </w:r>
      <w:r w:rsidR="004418F2" w:rsidRPr="004418F2">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AF2B7C">
            <w:pPr>
              <w:pStyle w:val="Text"/>
            </w:pPr>
            <w:r w:rsidRPr="00B72E54">
              <w:t xml:space="preserve">Table 1: </w:t>
            </w:r>
            <w:r w:rsidRPr="00D340A1">
              <w:rPr>
                <w:rFonts w:eastAsia="PMingLiU"/>
                <w:sz w:val="18"/>
                <w:szCs w:val="18"/>
              </w:rPr>
              <w:t xml:space="preserve"> </w:t>
            </w:r>
            <w:r w:rsidRPr="00D340A1">
              <w:rPr>
                <w:rFonts w:eastAsia="PMingLiU"/>
              </w:rPr>
              <w:t xml:space="preserve"> </w:t>
            </w:r>
            <w:r w:rsidRPr="007F6102">
              <w:t>Datasets description.</w:t>
            </w:r>
          </w:p>
          <w:p w14:paraId="5FAC5DB0" w14:textId="77777777" w:rsidR="008D0506" w:rsidRPr="00D340A1" w:rsidRDefault="008D0506" w:rsidP="00AF2B7C">
            <w:pPr>
              <w:pStyle w:val="Text"/>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AF2B7C">
            <w:pPr>
              <w:pStyle w:val="Text"/>
            </w:pPr>
          </w:p>
        </w:tc>
        <w:tc>
          <w:tcPr>
            <w:tcW w:w="567" w:type="dxa"/>
            <w:tcBorders>
              <w:top w:val="single" w:sz="12" w:space="0" w:color="auto"/>
              <w:left w:val="nil"/>
              <w:right w:val="nil"/>
            </w:tcBorders>
          </w:tcPr>
          <w:p w14:paraId="2599CB69" w14:textId="77777777" w:rsidR="008D0506" w:rsidRPr="00591D24" w:rsidRDefault="008D0506" w:rsidP="00AF2B7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AF2B7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AF2B7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AF2B7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AF2B7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AF2B7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AF2B7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AF2B7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lastRenderedPageBreak/>
        <w:t>Methodology</w:t>
      </w:r>
    </w:p>
    <w:p w14:paraId="500EF6E2" w14:textId="7460A639" w:rsidR="000F2E4D" w:rsidRDefault="000F2E4D" w:rsidP="000F2E4D">
      <w:pPr>
        <w:spacing w:before="120" w:after="120" w:line="240" w:lineRule="auto"/>
        <w:outlineLvl w:val="2"/>
        <w:rPr>
          <w:rtl/>
          <w:lang w:val="en-US" w:eastAsia="en-IN"/>
        </w:rPr>
      </w:pPr>
      <w:bookmarkStart w:id="0" w:name="_Hlk89964870"/>
      <w:r w:rsidRPr="000F2E4D">
        <w:rPr>
          <w:lang w:val="en-US" w:eastAsia="en-IN"/>
        </w:rPr>
        <w:t xml:space="preserve">This section present the </w:t>
      </w:r>
      <w:r w:rsidR="00D62391" w:rsidRPr="000F2E4D">
        <w:rPr>
          <w:lang w:val="en-US" w:eastAsia="en-IN"/>
        </w:rPr>
        <w:t>explanation</w:t>
      </w:r>
      <w:r w:rsidRPr="000F2E4D">
        <w:rPr>
          <w:lang w:val="en-US" w:eastAsia="en-IN"/>
        </w:rPr>
        <w:t xml:space="preserve"> of the proposed method. The overall system architecture presented in figure 1. 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3AD5D337" w14:textId="160D3E81" w:rsidR="00AF2B7C" w:rsidRDefault="00AF2B7C" w:rsidP="00AF2B7C">
      <w:pPr>
        <w:pStyle w:val="Heading2"/>
        <w:rPr>
          <w:lang w:val="en-US" w:eastAsia="en-IN"/>
        </w:rPr>
      </w:pPr>
      <w:r>
        <w:rPr>
          <w:lang w:val="en-US" w:eastAsia="en-IN"/>
        </w:rPr>
        <w:t>Dataset Specification</w:t>
      </w:r>
    </w:p>
    <w:p w14:paraId="0EC5408B" w14:textId="77777777" w:rsidR="00AF2B7C" w:rsidRDefault="00AF2B7C" w:rsidP="00AF2B7C">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4"/>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5"/>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4049BB16" w14:textId="77777777" w:rsidR="00AF2B7C" w:rsidRPr="005F0072" w:rsidRDefault="00AF2B7C" w:rsidP="00AF2B7C">
      <w:pPr>
        <w:spacing w:before="120" w:after="120" w:line="240" w:lineRule="auto"/>
        <w:outlineLvl w:val="2"/>
        <w:rPr>
          <w:lang w:val="en-US" w:eastAsia="en-IN"/>
        </w:rPr>
      </w:pPr>
      <w:r w:rsidRPr="003E512A">
        <w:rPr>
          <w:sz w:val="20"/>
          <w:szCs w:val="20"/>
        </w:rPr>
        <w:t xml:space="preserve">The approach for applying training and testing in the experiments is based on a hold-out strategy in which each dataset is </w:t>
      </w:r>
      <w:r w:rsidRPr="005F0072">
        <w:rPr>
          <w:lang w:val="en-US" w:eastAsia="en-IN"/>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r w:rsidRPr="007F6102">
              <w:t>Datasets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52A15825" w14:textId="6DD6991D" w:rsidR="000F2E4D" w:rsidRDefault="000F2E4D" w:rsidP="00AF2B7C">
      <w:pPr>
        <w:pStyle w:val="Heading2"/>
      </w:pPr>
      <w:r>
        <w:lastRenderedPageBreak/>
        <w:t>Feature selection based on Sticky Binary Swarm Optimization </w:t>
      </w:r>
    </w:p>
    <w:p w14:paraId="12BF73C3"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For feature selection, we used the improved binary particle swarm optimization proposed by Nguyen et al. [] which is Sticky Binary Particle Swarm Optimization (SBPSO). SBPSO works as the folow chart presented in figure X.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1C4645"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1C4645"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77777777" w:rsidR="000F2E4D" w:rsidRPr="005F0072" w:rsidRDefault="001C4645"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47CC9898" w14:textId="77777777" w:rsidR="000F2E4D" w:rsidRPr="00995BCD" w:rsidRDefault="001C4645"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0F06D29E" w14:textId="7777777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1C4645"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61FE7A0D" w14:textId="77777777" w:rsidR="000F2E4D" w:rsidRPr="005F0072" w:rsidRDefault="000F2E4D" w:rsidP="000F2E4D">
      <w:pPr>
        <w:rPr>
          <w:lang w:val="en-US" w:eastAsia="en-IN"/>
        </w:rPr>
      </w:pPr>
      <w:r w:rsidRPr="005F0072">
        <w:rPr>
          <w:lang w:val="en-US" w:eastAsia="en-IN"/>
        </w:rPr>
        <w:t>Therefore, the flipping probability could be rewrite as the follow:</w:t>
      </w: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7D983335" w14:textId="77777777"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77777777" w:rsidR="000F2E4D" w:rsidRPr="005F0072"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442AC2BC" w14:textId="77777777" w:rsidR="000F2E4D" w:rsidRPr="00995BCD" w:rsidRDefault="001C4645"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77777777" w:rsidR="000F2E4D" w:rsidRPr="00995BCD" w:rsidRDefault="001C4645"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73BD2C5" w14:textId="66792180" w:rsidR="000F2E4D" w:rsidRPr="005F0072" w:rsidRDefault="000F2E4D" w:rsidP="000F2E4D">
      <w:pPr>
        <w:rPr>
          <w:rFonts w:eastAsiaTheme="minorEastAsia" w:cstheme="majorBidi"/>
        </w:rPr>
      </w:pPr>
      <w:r w:rsidRPr="005F0072">
        <w:rPr>
          <w:rFonts w:eastAsiaTheme="minorEastAsia" w:cstheme="majorBidi"/>
        </w:rPr>
        <w:t xml:space="preserve">Where T is the total number of iteration,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7D11B850" w14:textId="77777777" w:rsidR="000F2E4D" w:rsidRPr="005F0072" w:rsidRDefault="000F2E4D" w:rsidP="000F2E4D">
      <w:pPr>
        <w:jc w:val="center"/>
        <w:rPr>
          <w:rFonts w:eastAsiaTheme="minorEastAsia" w:cstheme="majorBidi"/>
        </w:rPr>
      </w:pPr>
      <m:oMathPara>
        <m:oMath>
          <m:r>
            <w:rPr>
              <w:rFonts w:ascii="Cambria Math" w:eastAsiaTheme="minorEastAsia" w:hAnsi="Cambria Math" w:cstheme="majorBidi"/>
            </w:rPr>
            <w:lastRenderedPageBreak/>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2BD8D2B8" w14:textId="77777777" w:rsidR="000F2E4D" w:rsidRPr="005F0072"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818A7D9" w14:textId="68E9609E" w:rsidR="000F2E4D" w:rsidRDefault="000F2E4D" w:rsidP="00AF2B7C">
      <w:pPr>
        <w:pStyle w:val="Heading2"/>
      </w:pPr>
      <w:r>
        <w:t>Classification  </w:t>
      </w:r>
    </w:p>
    <w:p w14:paraId="24EC02DB" w14:textId="77777777" w:rsidR="000F2E4D" w:rsidRPr="005F0072" w:rsidRDefault="000F2E4D" w:rsidP="005F0072">
      <w:pPr>
        <w:pStyle w:val="Heading3"/>
        <w:rPr>
          <w:rFonts w:ascii="Garamond" w:eastAsiaTheme="minorEastAsia" w:hAnsi="Garamond" w:cstheme="majorBidi"/>
          <w:b w:val="0"/>
          <w:sz w:val="22"/>
          <w:szCs w:val="22"/>
        </w:rPr>
      </w:pPr>
      <w:r w:rsidRPr="005F0072">
        <w:rPr>
          <w:rFonts w:ascii="Garamond" w:eastAsiaTheme="minorEastAsia" w:hAnsi="Garamond" w:cstheme="majorBidi"/>
          <w:b w:val="0"/>
          <w:sz w:val="22"/>
          <w:szCs w:val="22"/>
        </w:rPr>
        <w:t xml:space="preserve">For classification, we train three machine learning models, SVM, KNN, and NB on the datasets. The 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25006CAE" w14:textId="77777777" w:rsidR="00AF2B7C" w:rsidRDefault="00AF2B7C" w:rsidP="00AF2B7C">
      <w:pPr>
        <w:keepNext/>
        <w:autoSpaceDE w:val="0"/>
        <w:autoSpaceDN w:val="0"/>
        <w:adjustRightInd w:val="0"/>
        <w:spacing w:line="240" w:lineRule="auto"/>
        <w:jc w:val="left"/>
      </w:pPr>
      <w:r>
        <w:rPr>
          <w:bCs/>
          <w:noProof/>
          <w:lang w:val="en-US" w:eastAsia="en-IN"/>
        </w:rPr>
        <w:drawing>
          <wp:inline distT="0" distB="0" distL="0" distR="0" wp14:anchorId="32F53C16" wp14:editId="395EAFD8">
            <wp:extent cx="5731510" cy="117094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PSO Stru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3C9A8F64" w14:textId="4362279B" w:rsidR="006C7D0C" w:rsidRDefault="00AF2B7C" w:rsidP="00AF2B7C">
      <w:pPr>
        <w:pStyle w:val="Text"/>
        <w:rPr>
          <w:rFonts w:cs="Arial"/>
          <w:b w:val="0"/>
          <w:bCs w:val="0"/>
        </w:rPr>
      </w:pPr>
      <w:r>
        <w:t xml:space="preserve">Figure </w:t>
      </w:r>
      <w:r>
        <w:fldChar w:fldCharType="begin"/>
      </w:r>
      <w:r>
        <w:instrText xml:space="preserve"> SEQ Figure \* ARABIC </w:instrText>
      </w:r>
      <w:r>
        <w:fldChar w:fldCharType="separate"/>
      </w:r>
      <w:r>
        <w:rPr>
          <w:noProof/>
        </w:rPr>
        <w:t>1</w:t>
      </w:r>
      <w:r>
        <w:fldChar w:fldCharType="end"/>
      </w:r>
      <w:r>
        <w:rPr>
          <w:rFonts w:cs="Arial"/>
        </w:rPr>
        <w:t xml:space="preserve">: </w:t>
      </w:r>
      <w:r w:rsidRPr="00AF2B7C">
        <w:rPr>
          <w:rFonts w:cs="Arial"/>
          <w:b w:val="0"/>
          <w:bCs w:val="0"/>
        </w:rPr>
        <w:t>The System Architecture</w:t>
      </w:r>
    </w:p>
    <w:p w14:paraId="0154B0DD" w14:textId="77777777" w:rsidR="00AF2B7C" w:rsidRDefault="00AF2B7C" w:rsidP="00AF2B7C">
      <w:pPr>
        <w:pStyle w:val="Text"/>
        <w:keepNext/>
      </w:pPr>
      <w:r>
        <w:rPr>
          <w:noProof/>
          <w:lang w:eastAsia="en-IN"/>
        </w:rPr>
        <w:drawing>
          <wp:inline distT="0" distB="0" distL="0" distR="0" wp14:anchorId="470C2546" wp14:editId="4435941E">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269A4AF6" w14:textId="791ADD91" w:rsidR="003677E2" w:rsidRPr="00AF2B7C" w:rsidRDefault="00AF2B7C" w:rsidP="00AF2B7C">
      <w:pPr>
        <w:pStyle w:val="Text"/>
        <w:rPr>
          <w:b w:val="0"/>
          <w:bCs w:val="0"/>
          <w:lang w:eastAsia="en-IN"/>
        </w:rPr>
      </w:pPr>
      <w:r>
        <w:t xml:space="preserve">Figure </w:t>
      </w:r>
      <w:r>
        <w:fldChar w:fldCharType="begin"/>
      </w:r>
      <w:r>
        <w:instrText xml:space="preserve"> SEQ Figure \* ARABIC </w:instrText>
      </w:r>
      <w:r>
        <w:fldChar w:fldCharType="separate"/>
      </w:r>
      <w:r>
        <w:rPr>
          <w:noProof/>
        </w:rPr>
        <w:t>2</w:t>
      </w:r>
      <w:r>
        <w:fldChar w:fldCharType="end"/>
      </w:r>
      <w:r>
        <w:t>:</w:t>
      </w:r>
      <w:r w:rsidRPr="00AF2B7C">
        <w:rPr>
          <w:b w:val="0"/>
          <w:bCs w:val="0"/>
        </w:rPr>
        <w:t>SBPSO flowchart</w:t>
      </w:r>
    </w:p>
    <w:p w14:paraId="6B191262" w14:textId="3A10B84A" w:rsidR="00AF2B7C" w:rsidRPr="00AF2B7C" w:rsidRDefault="003A73D6" w:rsidP="00AF2B7C">
      <w:pPr>
        <w:pStyle w:val="Heading1"/>
        <w:rPr>
          <w:highlight w:val="yellow"/>
        </w:rPr>
      </w:pPr>
      <w:r>
        <w:rPr>
          <w:highlight w:val="yellow"/>
        </w:rPr>
        <w:t xml:space="preserve">Experimental Results </w:t>
      </w:r>
    </w:p>
    <w:p w14:paraId="2DD14292" w14:textId="2E7ACCD8" w:rsidR="004418F2" w:rsidRDefault="004418F2" w:rsidP="004418F2">
      <w:pPr>
        <w:pStyle w:val="Heading2"/>
        <w:rPr>
          <w:highlight w:val="yellow"/>
          <w:lang w:val="en-US"/>
        </w:rPr>
      </w:pPr>
      <w:r>
        <w:rPr>
          <w:highlight w:val="yellow"/>
          <w:lang w:val="en-US"/>
        </w:rPr>
        <w:t xml:space="preserve">Parameter setting </w:t>
      </w:r>
    </w:p>
    <w:p w14:paraId="38114BC4" w14:textId="641ABB8E" w:rsidR="00AF2B7C" w:rsidRPr="00AF2B7C" w:rsidRDefault="00AF2B7C" w:rsidP="00AF2B7C">
      <w:pPr>
        <w:rPr>
          <w:lang w:val="en-US"/>
        </w:rPr>
      </w:pPr>
      <w:r w:rsidRPr="00AF2B7C">
        <w:rPr>
          <w:lang w:val="en-US"/>
        </w:rPr>
        <w:t>Th</w:t>
      </w:r>
      <w:r>
        <w:rPr>
          <w:lang w:val="en-US"/>
        </w:rPr>
        <w:t xml:space="preserve">e BSPO paramters are </w:t>
      </w:r>
      <w:bookmarkStart w:id="1" w:name="_GoBack"/>
      <w:bookmarkEnd w:id="1"/>
    </w:p>
    <w:p w14:paraId="055213F4" w14:textId="77777777" w:rsidR="003677E2" w:rsidRPr="00105FC9" w:rsidRDefault="003677E2" w:rsidP="003677E2">
      <w:pPr>
        <w:pStyle w:val="Heading2"/>
        <w:rPr>
          <w:rtl/>
        </w:rPr>
      </w:pPr>
      <w:r w:rsidRPr="00105FC9">
        <w:rPr>
          <w:lang w:val="en-US"/>
        </w:rPr>
        <w:lastRenderedPageBreak/>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lastRenderedPageBreak/>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lastRenderedPageBreak/>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lastRenderedPageBreak/>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CD799" w14:textId="77777777" w:rsidR="001C4645" w:rsidRDefault="001C4645" w:rsidP="009E2D58">
      <w:pPr>
        <w:spacing w:line="240" w:lineRule="auto"/>
      </w:pPr>
      <w:r>
        <w:separator/>
      </w:r>
    </w:p>
  </w:endnote>
  <w:endnote w:type="continuationSeparator" w:id="0">
    <w:p w14:paraId="7B556EC3" w14:textId="77777777" w:rsidR="001C4645" w:rsidRDefault="001C4645" w:rsidP="009E2D58">
      <w:pPr>
        <w:spacing w:line="240" w:lineRule="auto"/>
      </w:pPr>
      <w:r>
        <w:continuationSeparator/>
      </w:r>
    </w:p>
  </w:endnote>
  <w:endnote w:type="continuationNotice" w:id="1">
    <w:p w14:paraId="38836667" w14:textId="77777777" w:rsidR="001C4645" w:rsidRDefault="001C46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9F14" w14:textId="77777777" w:rsidR="001C4645" w:rsidRDefault="001C4645" w:rsidP="009E2D58">
      <w:pPr>
        <w:spacing w:line="240" w:lineRule="auto"/>
      </w:pPr>
      <w:r>
        <w:separator/>
      </w:r>
    </w:p>
  </w:footnote>
  <w:footnote w:type="continuationSeparator" w:id="0">
    <w:p w14:paraId="3C4793C5" w14:textId="77777777" w:rsidR="001C4645" w:rsidRDefault="001C4645" w:rsidP="009E2D58">
      <w:pPr>
        <w:spacing w:line="240" w:lineRule="auto"/>
      </w:pPr>
      <w:r>
        <w:continuationSeparator/>
      </w:r>
    </w:p>
  </w:footnote>
  <w:footnote w:type="continuationNotice" w:id="1">
    <w:p w14:paraId="1CFDEDD3" w14:textId="77777777" w:rsidR="001C4645" w:rsidRDefault="001C4645">
      <w:pPr>
        <w:spacing w:line="240" w:lineRule="auto"/>
      </w:pPr>
    </w:p>
  </w:footnote>
  <w:footnote w:id="2">
    <w:p w14:paraId="0F2F39A5" w14:textId="77777777" w:rsidR="006458D1" w:rsidRPr="006710F1" w:rsidRDefault="006458D1" w:rsidP="003677E2">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458D1" w:rsidRPr="00156D20" w:rsidRDefault="006458D1" w:rsidP="003677E2">
      <w:pPr>
        <w:pStyle w:val="FootnoteText"/>
        <w:rPr>
          <w:lang w:val="en-US"/>
        </w:rPr>
      </w:pPr>
      <w:r w:rsidRPr="003A73D6">
        <w:rPr>
          <w:rStyle w:val="FootnoteReference"/>
        </w:rPr>
        <w:footnoteRef/>
      </w:r>
      <w:r w:rsidRPr="006710F1">
        <w:t xml:space="preserve"> http://promise.site.uottawa.ca/SERepository/.</w:t>
      </w:r>
    </w:p>
  </w:footnote>
  <w:footnote w:id="4">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2" w:history="1">
        <w:r w:rsidRPr="006710F1">
          <w:rPr>
            <w:rStyle w:val="Hyperlink"/>
          </w:rPr>
          <w:t>https://figshare.com/articles/dataset/MDP_data_sets_D_and_</w:t>
        </w:r>
      </w:hyperlink>
      <w:r w:rsidRPr="006710F1">
        <w:t>D_-_zipped_up/6071675</w:t>
      </w:r>
    </w:p>
  </w:footnote>
  <w:footnote w:id="5">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7"/>
  </w:num>
  <w:num w:numId="7">
    <w:abstractNumId w:val="10"/>
  </w:num>
  <w:num w:numId="8">
    <w:abstractNumId w:val="19"/>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6"/>
  </w:num>
  <w:num w:numId="17">
    <w:abstractNumId w:val="20"/>
  </w:num>
  <w:num w:numId="18">
    <w:abstractNumId w:val="7"/>
  </w:num>
  <w:num w:numId="19">
    <w:abstractNumId w:val="18"/>
  </w:num>
  <w:num w:numId="20">
    <w:abstractNumId w:val="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sFAHqDaNk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C4645"/>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18F2"/>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2B7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A7C27"/>
    <w:rsid w:val="00BB4CAE"/>
    <w:rsid w:val="00BB7CDF"/>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16ADE"/>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5F0072"/>
    <w:pPr>
      <w:keepNext/>
      <w:keepLines/>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5F0072"/>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gshare.com/articles/dataset/MDP_data_sets_D_and_" TargetMode="External"/><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9FFB-E4FA-4639-8EA4-06FFFD0C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27843</Words>
  <Characters>158711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5</cp:revision>
  <cp:lastPrinted>2016-06-17T10:15:00Z</cp:lastPrinted>
  <dcterms:created xsi:type="dcterms:W3CDTF">2021-12-10T05:19:00Z</dcterms:created>
  <dcterms:modified xsi:type="dcterms:W3CDTF">2021-12-10T05:54:00Z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