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p>
      <w:pPr>
        <w:spacing w:after="100"/>
        <w:jc w:val="center"/>
      </w:pPr>
      <w:r>
        <w:rPr>
          <w:rFonts w:ascii="Calibri" w:cs="Calibri" w:eastAsia="Calibri" w:hAnsi="Calibri"/>
          <w:b/>
          <w:bCs/>
          <w:color w:val="0f766e"/>
          <w:sz w:val="44"/>
          <w:szCs w:val="44"/>
        </w:rPr>
        <w:t xml:space="preserve">COMPLIANCE &amp; APPLICATION DOCUMENT</w:t>
      </w:r>
    </w:p>
    <w:p>
      <w:pPr>
        <w:spacing w:after="0" w:before="200"/>
      </w:pPr>
    </w:p>
    <w:p>
      <w:pPr>
        <w:pBdr>
          <w:bottom w:val="single" w:color="0f766e" w:sz="6"/>
        </w:pBdr>
        <w:spacing w:after="200" w:before="0"/>
        <w:jc w:val="center"/>
      </w:pPr>
    </w:p>
    <w:p>
      <w:pPr>
        <w:spacing w:after="0" w:before="100"/>
      </w:pPr>
    </w:p>
    <w:p>
      <w:pPr>
        <w:jc w:val="center"/>
      </w:pPr>
      <w:r>
        <w:rPr>
          <w:rFonts w:ascii="Calibri" w:cs="Calibri" w:eastAsia="Calibri" w:hAnsi="Calibri"/>
          <w:b/>
          <w:bCs/>
          <w:color w:val="1f2937"/>
          <w:sz w:val="32"/>
          <w:szCs w:val="32"/>
        </w:rPr>
        <w:t xml:space="preserve">tenet</w:t>
      </w:r>
    </w:p>
    <w:p>
      <w:pPr>
        <w:spacing w:after="0" w:before="100"/>
      </w:pPr>
    </w:p>
    <w:p>
      <w:pPr>
        <w:spacing w:after="0" w:before="400"/>
      </w:pPr>
    </w:p>
    <w:p>
      <w:pPr>
        <w:jc w:val="center"/>
      </w:pPr>
      <w:r>
        <w:rPr>
          <w:rFonts w:ascii="Calibri" w:cs="Calibri" w:eastAsia="Calibri" w:hAnsi="Calibri"/>
          <w:b/>
          <w:bCs/>
          <w:color w:val="0f766e"/>
          <w:sz w:val="24"/>
          <w:szCs w:val="24"/>
        </w:rPr>
        <w:t xml:space="preserve">Tender: Tender Analysis</w:t>
      </w:r>
    </w:p>
    <w:p>
      <w:pPr>
        <w:jc w:val="center"/>
      </w:pPr>
      <w:r>
        <w:rPr>
          <w:rFonts w:ascii="Calibri" w:cs="Calibri" w:eastAsia="Calibri" w:hAnsi="Calibri"/>
          <w:b w:val="false"/>
          <w:bCs w:val="false"/>
          <w:color w:val="1f2937"/>
          <w:sz w:val="22"/>
          <w:szCs w:val="22"/>
        </w:rPr>
        <w:t xml:space="preserve">Issuing Authority: BlockLens Security Technologies</w:t>
      </w:r>
    </w:p>
    <w:p>
      <w:pPr>
        <w:spacing w:after="0" w:before="400"/>
      </w:pPr>
    </w:p>
    <w:p>
      <w:pPr>
        <w:jc w:val="center"/>
      </w:pPr>
      <w:r>
        <w:rPr>
          <w:rFonts w:ascii="Calibri" w:cs="Calibri" w:eastAsia="Calibri" w:hAnsi="Calibri"/>
          <w:b w:val="false"/>
          <w:bCs w:val="false"/>
          <w:color w:val="1f2937"/>
          <w:sz w:val="22"/>
          <w:szCs w:val="22"/>
        </w:rPr>
        <w:t xml:space="preserve">Date: August 26, 2026</w:t>
      </w:r>
    </w:p>
    <w:p>
      <w:r>
        <w:br w:type="page"/>
      </w:r>
    </w:p>
    <w:p>
      <w:pPr>
        <w:pStyle w:val="Heading1"/>
        <w:spacing w:after="120" w:before="240"/>
      </w:pPr>
      <w:r>
        <w:rPr>
          <w:rFonts w:ascii="Calibri" w:cs="Calibri" w:eastAsia="Calibri" w:hAnsi="Calibri"/>
          <w:b/>
          <w:bCs/>
          <w:color w:val="0f766e"/>
          <w:sz w:val="28"/>
          <w:szCs w:val="28"/>
        </w:rPr>
        <w:t xml:space="preserve">1. Executive Summary</w:t>
      </w:r>
    </w:p>
    <w:p>
      <w:r>
        <w:rPr>
          <w:rFonts w:ascii="Calibri" w:cs="Calibri" w:eastAsia="Calibri" w:hAnsi="Calibri"/>
          <w:b w:val="false"/>
          <w:bCs w:val="false"/>
          <w:color w:val="1f2937"/>
          <w:sz w:val="22"/>
          <w:szCs w:val="22"/>
        </w:rPr>
        <w:t xml:space="preserve">This document provides a comprehensive compliance assessment against the specified tender requirements. Of the 10 requirements evaluated, 0 are fully compliant, 1 are partially compliant, and 9 are non-compliant, yielding an overall compliance rate of 0.0%.</w:t>
      </w:r>
    </w:p>
    <w:p>
      <w:pPr>
        <w:spacing w:after="0" w:before="80"/>
      </w:pPr>
    </w:p>
    <w:p>
      <w:r>
        <w:rPr>
          <w:rFonts w:ascii="Calibri" w:cs="Calibri" w:eastAsia="Calibri" w:hAnsi="Calibri"/>
          <w:b/>
          <w:bCs/>
          <w:color w:val="1f2937"/>
          <w:sz w:val="22"/>
          <w:szCs w:val="22"/>
        </w:rPr>
        <w:t xml:space="preserve">Compliance Overview:</w:t>
      </w:r>
    </w:p>
    <w:p>
      <w:pPr>
        <w:spacing w:after="0" w:before="40"/>
      </w:pPr>
    </w:p>
    <w:p>
      <w:r>
        <w:rPr>
          <w:rFonts w:ascii="Calibri" w:cs="Calibri" w:eastAsia="Calibri" w:hAnsi="Calibri"/>
          <w:b w:val="false"/>
          <w:bCs w:val="false"/>
          <w:color w:val="16a34a"/>
          <w:sz w:val="22"/>
          <w:szCs w:val="22"/>
        </w:rPr>
        <w:t xml:space="preserve">  •  Compliant:         0 requirement(s)</w:t>
      </w:r>
    </w:p>
    <w:p>
      <w:r>
        <w:rPr>
          <w:rFonts w:ascii="Calibri" w:cs="Calibri" w:eastAsia="Calibri" w:hAnsi="Calibri"/>
          <w:b w:val="false"/>
          <w:bCs w:val="false"/>
          <w:color w:val="ca8a04"/>
          <w:sz w:val="22"/>
          <w:szCs w:val="22"/>
        </w:rPr>
        <w:t xml:space="preserve">  •  Partial:           1 requirement(s)</w:t>
      </w:r>
    </w:p>
    <w:p>
      <w:r>
        <w:rPr>
          <w:rFonts w:ascii="Calibri" w:cs="Calibri" w:eastAsia="Calibri" w:hAnsi="Calibri"/>
          <w:b w:val="false"/>
          <w:bCs w:val="false"/>
          <w:color w:val="dc2626"/>
          <w:sz w:val="22"/>
          <w:szCs w:val="22"/>
        </w:rPr>
        <w:t xml:space="preserve">  •  Non-Compliant:     9 requirement(s)</w:t>
      </w:r>
    </w:p>
    <w:p>
      <w:r>
        <w:rPr>
          <w:rFonts w:ascii="Calibri" w:cs="Calibri" w:eastAsia="Calibri" w:hAnsi="Calibri"/>
          <w:b/>
          <w:bCs/>
          <w:color w:val="1f2937"/>
          <w:sz w:val="22"/>
          <w:szCs w:val="22"/>
        </w:rPr>
        <w:t xml:space="preserve">  •  Compliance Rate:   0.0%</w:t>
      </w:r>
    </w:p>
    <w:p>
      <w:pPr>
        <w:spacing w:after="0" w:before="80"/>
      </w:pPr>
    </w:p>
    <w:p>
      <w:r>
        <w:rPr>
          <w:rFonts w:ascii="Calibri" w:cs="Calibri" w:eastAsia="Calibri" w:hAnsi="Calibri"/>
          <w:b/>
          <w:bCs/>
          <w:color w:val="dc2626"/>
          <w:sz w:val="22"/>
          <w:szCs w:val="22"/>
        </w:rPr>
        <w:t xml:space="preserve">⚠ Attention: There are non-compliant items that require mitigation strategies before submission. Please review Section 5 (Compliance Gaps) for details.</w:t>
      </w:r>
    </w:p>
    <w:p>
      <w:pPr>
        <w:pStyle w:val="Heading1"/>
        <w:spacing w:after="120" w:before="360"/>
      </w:pPr>
      <w:r>
        <w:rPr>
          <w:rFonts w:ascii="Calibri" w:cs="Calibri" w:eastAsia="Calibri" w:hAnsi="Calibri"/>
          <w:b/>
          <w:bCs/>
          <w:color w:val="0f766e"/>
          <w:sz w:val="28"/>
          <w:szCs w:val="28"/>
        </w:rPr>
        <w:t xml:space="preserve">2. Compliance Summary</w:t>
      </w:r>
    </w:p>
    <w:p>
      <w:r>
        <w:rPr>
          <w:rFonts w:ascii="Calibri" w:cs="Calibri" w:eastAsia="Calibri" w:hAnsi="Calibri"/>
          <w:b w:val="false"/>
          <w:bCs w:val="false"/>
          <w:color w:val="1f2937"/>
          <w:sz w:val="22"/>
          <w:szCs w:val="22"/>
        </w:rPr>
        <w:t xml:space="preserve">The following table summarises the overall compliance status:</w:t>
      </w:r>
    </w:p>
    <w:p>
      <w:pPr>
        <w:spacing w:after="0"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auto" w:w="0"/>
            <w:tcBorders>
              <w:top w:val="single" w:color="d1d5db" w:sz="1"/>
              <w:left w:val="single" w:color="d1d5db" w:sz="1"/>
              <w:bottom w:val="single" w:color="d1d5db" w:sz="1"/>
              <w:right w:val="single" w:color="d1d5db" w:sz="1"/>
            </w:tcBorders>
            <w:shd w:fill="0f766e" w:val="clear"/>
          </w:tcPr>
          <w:p>
            <w:pPr>
              <w:spacing w:after="40" w:before="40"/>
              <w:jc w:val="center"/>
            </w:pPr>
            <w:r>
              <w:rPr>
                <w:rFonts w:ascii="Calibri" w:cs="Calibri" w:eastAsia="Calibri" w:hAnsi="Calibri"/>
                <w:b/>
                <w:bCs/>
                <w:color w:val="ffffff"/>
                <w:sz w:val="20"/>
                <w:szCs w:val="20"/>
              </w:rPr>
              <w:t xml:space="preserve">Status</w:t>
            </w:r>
          </w:p>
        </w:tc>
        <w:tc>
          <w:tcPr>
            <w:tcW w:type="auto" w:w="0"/>
            <w:tcBorders>
              <w:top w:val="single" w:color="d1d5db" w:sz="1"/>
              <w:left w:val="single" w:color="d1d5db" w:sz="1"/>
              <w:bottom w:val="single" w:color="d1d5db" w:sz="1"/>
              <w:right w:val="single" w:color="d1d5db" w:sz="1"/>
            </w:tcBorders>
            <w:shd w:fill="0f766e" w:val="clear"/>
          </w:tcPr>
          <w:p>
            <w:pPr>
              <w:spacing w:after="40" w:before="40"/>
              <w:jc w:val="center"/>
            </w:pPr>
            <w:r>
              <w:rPr>
                <w:rFonts w:ascii="Calibri" w:cs="Calibri" w:eastAsia="Calibri" w:hAnsi="Calibri"/>
                <w:b/>
                <w:bCs/>
                <w:color w:val="ffffff"/>
                <w:sz w:val="20"/>
                <w:szCs w:val="20"/>
              </w:rPr>
              <w:t xml:space="preserve">Count</w:t>
            </w:r>
          </w:p>
        </w:tc>
        <w:tc>
          <w:tcPr>
            <w:tcW w:type="auto" w:w="0"/>
            <w:tcBorders>
              <w:top w:val="single" w:color="d1d5db" w:sz="1"/>
              <w:left w:val="single" w:color="d1d5db" w:sz="1"/>
              <w:bottom w:val="single" w:color="d1d5db" w:sz="1"/>
              <w:right w:val="single" w:color="d1d5db" w:sz="1"/>
            </w:tcBorders>
            <w:shd w:fill="0f766e" w:val="clear"/>
          </w:tcPr>
          <w:p>
            <w:pPr>
              <w:spacing w:after="40" w:before="40"/>
              <w:jc w:val="center"/>
            </w:pPr>
            <w:r>
              <w:rPr>
                <w:rFonts w:ascii="Calibri" w:cs="Calibri" w:eastAsia="Calibri" w:hAnsi="Calibri"/>
                <w:b/>
                <w:bCs/>
                <w:color w:val="ffffff"/>
                <w:sz w:val="20"/>
                <w:szCs w:val="20"/>
              </w:rPr>
              <w:t xml:space="preserve">Percentage</w:t>
            </w:r>
          </w:p>
        </w:tc>
      </w:tr>
      <w:tr>
        <w:tc>
          <w:tcPr>
            <w:tcBorders>
              <w:top w:val="single" w:color="d1d5db" w:sz="1"/>
              <w:left w:val="single" w:color="d1d5db" w:sz="1"/>
              <w:bottom w:val="single" w:color="d1d5db" w:sz="1"/>
              <w:right w:val="single" w:color="d1d5db" w:sz="1"/>
            </w:tcBorders>
            <w:shd w:fill="f0fdf4" w:val="clear"/>
          </w:tcPr>
          <w:p>
            <w:pPr>
              <w:spacing w:after="30" w:before="30"/>
              <w:jc w:val="center"/>
            </w:pPr>
            <w:r>
              <w:rPr>
                <w:rFonts w:ascii="Calibri" w:cs="Calibri" w:eastAsia="Calibri" w:hAnsi="Calibri"/>
                <w:b/>
                <w:bCs/>
                <w:color w:val="16a34a"/>
                <w:sz w:val="20"/>
                <w:szCs w:val="20"/>
              </w:rPr>
              <w:t xml:space="preserve">Compliant</w:t>
            </w:r>
          </w:p>
        </w:tc>
        <w:tc>
          <w:tcPr>
            <w:tcBorders>
              <w:top w:val="single" w:color="d1d5db" w:sz="1"/>
              <w:left w:val="single" w:color="d1d5db" w:sz="1"/>
              <w:bottom w:val="single" w:color="d1d5db" w:sz="1"/>
              <w:right w:val="single" w:color="d1d5db" w:sz="1"/>
            </w:tcBorders>
          </w:tcPr>
          <w:p>
            <w:pPr>
              <w:spacing w:after="30" w:before="30"/>
              <w:jc w:val="center"/>
            </w:pPr>
            <w:r>
              <w:rPr>
                <w:rFonts w:ascii="Calibri" w:cs="Calibri" w:eastAsia="Calibri" w:hAnsi="Calibri"/>
                <w:b w:val="false"/>
                <w:bCs w:val="false"/>
                <w:color w:val="1f2937"/>
                <w:sz w:val="20"/>
                <w:szCs w:val="20"/>
              </w:rPr>
              <w:t xml:space="preserve">0</w:t>
            </w:r>
          </w:p>
        </w:tc>
        <w:tc>
          <w:tcPr>
            <w:tcBorders>
              <w:top w:val="single" w:color="d1d5db" w:sz="1"/>
              <w:left w:val="single" w:color="d1d5db" w:sz="1"/>
              <w:bottom w:val="single" w:color="d1d5db" w:sz="1"/>
              <w:right w:val="single" w:color="d1d5db" w:sz="1"/>
            </w:tcBorders>
          </w:tcPr>
          <w:p>
            <w:pPr>
              <w:spacing w:after="30" w:before="30"/>
              <w:jc w:val="center"/>
            </w:pPr>
            <w:r>
              <w:rPr>
                <w:rFonts w:ascii="Calibri" w:cs="Calibri" w:eastAsia="Calibri" w:hAnsi="Calibri"/>
                <w:b w:val="false"/>
                <w:bCs w:val="false"/>
                <w:color w:val="1f2937"/>
                <w:sz w:val="20"/>
                <w:szCs w:val="20"/>
              </w:rPr>
              <w:t xml:space="preserve">0.0%</w:t>
            </w:r>
          </w:p>
        </w:tc>
      </w:tr>
      <w:tr>
        <w:tc>
          <w:tcPr>
            <w:tcBorders>
              <w:top w:val="single" w:color="d1d5db" w:sz="1"/>
              <w:left w:val="single" w:color="d1d5db" w:sz="1"/>
              <w:bottom w:val="single" w:color="d1d5db" w:sz="1"/>
              <w:right w:val="single" w:color="d1d5db" w:sz="1"/>
            </w:tcBorders>
            <w:shd w:fill="fefce8" w:val="clear"/>
          </w:tcPr>
          <w:p>
            <w:pPr>
              <w:spacing w:after="30" w:before="30"/>
              <w:jc w:val="center"/>
            </w:pPr>
            <w:r>
              <w:rPr>
                <w:rFonts w:ascii="Calibri" w:cs="Calibri" w:eastAsia="Calibri" w:hAnsi="Calibri"/>
                <w:b/>
                <w:bCs/>
                <w:color w:val="ca8a04"/>
                <w:sz w:val="20"/>
                <w:szCs w:val="20"/>
              </w:rPr>
              <w:t xml:space="preserve">Partial</w:t>
            </w:r>
          </w:p>
        </w:tc>
        <w:tc>
          <w:tcPr>
            <w:tcBorders>
              <w:top w:val="single" w:color="d1d5db" w:sz="1"/>
              <w:left w:val="single" w:color="d1d5db" w:sz="1"/>
              <w:bottom w:val="single" w:color="d1d5db" w:sz="1"/>
              <w:right w:val="single" w:color="d1d5db" w:sz="1"/>
            </w:tcBorders>
          </w:tcPr>
          <w:p>
            <w:pPr>
              <w:spacing w:after="30" w:before="30"/>
              <w:jc w:val="center"/>
            </w:pPr>
            <w:r>
              <w:rPr>
                <w:rFonts w:ascii="Calibri" w:cs="Calibri" w:eastAsia="Calibri" w:hAnsi="Calibri"/>
                <w:b w:val="false"/>
                <w:bCs w:val="false"/>
                <w:color w:val="1f2937"/>
                <w:sz w:val="20"/>
                <w:szCs w:val="20"/>
              </w:rPr>
              <w:t xml:space="preserve">1</w:t>
            </w:r>
          </w:p>
        </w:tc>
        <w:tc>
          <w:tcPr>
            <w:tcBorders>
              <w:top w:val="single" w:color="d1d5db" w:sz="1"/>
              <w:left w:val="single" w:color="d1d5db" w:sz="1"/>
              <w:bottom w:val="single" w:color="d1d5db" w:sz="1"/>
              <w:right w:val="single" w:color="d1d5db" w:sz="1"/>
            </w:tcBorders>
          </w:tcPr>
          <w:p>
            <w:pPr>
              <w:spacing w:after="30" w:before="30"/>
              <w:jc w:val="center"/>
            </w:pPr>
            <w:r>
              <w:rPr>
                <w:rFonts w:ascii="Calibri" w:cs="Calibri" w:eastAsia="Calibri" w:hAnsi="Calibri"/>
                <w:b w:val="false"/>
                <w:bCs w:val="false"/>
                <w:color w:val="1f2937"/>
                <w:sz w:val="20"/>
                <w:szCs w:val="20"/>
              </w:rPr>
              <w:t xml:space="preserve">10.0%</w:t>
            </w:r>
          </w:p>
        </w:tc>
      </w:tr>
      <w:tr>
        <w:tc>
          <w:tcPr>
            <w:tcBorders>
              <w:top w:val="single" w:color="d1d5db" w:sz="1"/>
              <w:left w:val="single" w:color="d1d5db" w:sz="1"/>
              <w:bottom w:val="single" w:color="d1d5db" w:sz="1"/>
              <w:right w:val="single" w:color="d1d5db" w:sz="1"/>
            </w:tcBorders>
            <w:shd w:fill="fef2f2" w:val="clear"/>
          </w:tcPr>
          <w:p>
            <w:pPr>
              <w:spacing w:after="30" w:before="30"/>
              <w:jc w:val="center"/>
            </w:pPr>
            <w:r>
              <w:rPr>
                <w:rFonts w:ascii="Calibri" w:cs="Calibri" w:eastAsia="Calibri" w:hAnsi="Calibri"/>
                <w:b/>
                <w:bCs/>
                <w:color w:val="dc2626"/>
                <w:sz w:val="20"/>
                <w:szCs w:val="20"/>
              </w:rPr>
              <w:t xml:space="preserve">Non-Compliant</w:t>
            </w:r>
          </w:p>
        </w:tc>
        <w:tc>
          <w:tcPr>
            <w:tcBorders>
              <w:top w:val="single" w:color="d1d5db" w:sz="1"/>
              <w:left w:val="single" w:color="d1d5db" w:sz="1"/>
              <w:bottom w:val="single" w:color="d1d5db" w:sz="1"/>
              <w:right w:val="single" w:color="d1d5db" w:sz="1"/>
            </w:tcBorders>
          </w:tcPr>
          <w:p>
            <w:pPr>
              <w:spacing w:after="30" w:before="30"/>
              <w:jc w:val="center"/>
            </w:pPr>
            <w:r>
              <w:rPr>
                <w:rFonts w:ascii="Calibri" w:cs="Calibri" w:eastAsia="Calibri" w:hAnsi="Calibri"/>
                <w:b w:val="false"/>
                <w:bCs w:val="false"/>
                <w:color w:val="1f2937"/>
                <w:sz w:val="20"/>
                <w:szCs w:val="20"/>
              </w:rPr>
              <w:t xml:space="preserve">9</w:t>
            </w:r>
          </w:p>
        </w:tc>
        <w:tc>
          <w:tcPr>
            <w:tcBorders>
              <w:top w:val="single" w:color="d1d5db" w:sz="1"/>
              <w:left w:val="single" w:color="d1d5db" w:sz="1"/>
              <w:bottom w:val="single" w:color="d1d5db" w:sz="1"/>
              <w:right w:val="single" w:color="d1d5db" w:sz="1"/>
            </w:tcBorders>
          </w:tcPr>
          <w:p>
            <w:pPr>
              <w:spacing w:after="30" w:before="30"/>
              <w:jc w:val="center"/>
            </w:pPr>
            <w:r>
              <w:rPr>
                <w:rFonts w:ascii="Calibri" w:cs="Calibri" w:eastAsia="Calibri" w:hAnsi="Calibri"/>
                <w:b w:val="false"/>
                <w:bCs w:val="false"/>
                <w:color w:val="1f2937"/>
                <w:sz w:val="20"/>
                <w:szCs w:val="20"/>
              </w:rPr>
              <w:t xml:space="preserve">90.0%</w:t>
            </w:r>
          </w:p>
        </w:tc>
      </w:tr>
      <w:tr>
        <w:tc>
          <w:tcPr>
            <w:tcBorders>
              <w:top w:val="single" w:color="d1d5db" w:sz="1"/>
              <w:left w:val="single" w:color="d1d5db" w:sz="1"/>
              <w:bottom w:val="single" w:color="d1d5db" w:sz="1"/>
              <w:right w:val="single" w:color="d1d5db" w:sz="1"/>
            </w:tcBorders>
          </w:tcPr>
          <w:p>
            <w:pPr>
              <w:spacing w:after="30" w:before="30"/>
              <w:jc w:val="center"/>
            </w:pPr>
            <w:r>
              <w:rPr>
                <w:rFonts w:ascii="Calibri" w:cs="Calibri" w:eastAsia="Calibri" w:hAnsi="Calibri"/>
                <w:b/>
                <w:bCs/>
                <w:color w:val="1f2937"/>
                <w:sz w:val="20"/>
                <w:szCs w:val="20"/>
              </w:rPr>
              <w:t xml:space="preserve">Total</w:t>
            </w:r>
          </w:p>
        </w:tc>
        <w:tc>
          <w:tcPr>
            <w:tcBorders>
              <w:top w:val="single" w:color="d1d5db" w:sz="1"/>
              <w:left w:val="single" w:color="d1d5db" w:sz="1"/>
              <w:bottom w:val="single" w:color="d1d5db" w:sz="1"/>
              <w:right w:val="single" w:color="d1d5db" w:sz="1"/>
            </w:tcBorders>
          </w:tcPr>
          <w:p>
            <w:pPr>
              <w:spacing w:after="30" w:before="30"/>
              <w:jc w:val="center"/>
            </w:pPr>
            <w:r>
              <w:rPr>
                <w:rFonts w:ascii="Calibri" w:cs="Calibri" w:eastAsia="Calibri" w:hAnsi="Calibri"/>
                <w:b/>
                <w:bCs/>
                <w:color w:val="1f2937"/>
                <w:sz w:val="20"/>
                <w:szCs w:val="20"/>
              </w:rPr>
              <w:t xml:space="preserve">10</w:t>
            </w:r>
          </w:p>
        </w:tc>
        <w:tc>
          <w:tcPr>
            <w:tcBorders>
              <w:top w:val="single" w:color="d1d5db" w:sz="1"/>
              <w:left w:val="single" w:color="d1d5db" w:sz="1"/>
              <w:bottom w:val="single" w:color="d1d5db" w:sz="1"/>
              <w:right w:val="single" w:color="d1d5db" w:sz="1"/>
            </w:tcBorders>
          </w:tcPr>
          <w:p>
            <w:pPr>
              <w:spacing w:after="30" w:before="30"/>
              <w:jc w:val="center"/>
            </w:pPr>
            <w:r>
              <w:rPr>
                <w:rFonts w:ascii="Calibri" w:cs="Calibri" w:eastAsia="Calibri" w:hAnsi="Calibri"/>
                <w:b/>
                <w:bCs/>
                <w:color w:val="1f2937"/>
                <w:sz w:val="20"/>
                <w:szCs w:val="20"/>
              </w:rPr>
              <w:t xml:space="preserve">100.0%</w:t>
            </w:r>
          </w:p>
        </w:tc>
      </w:tr>
    </w:tbl>
    <w:p>
      <w:pPr>
        <w:pStyle w:val="Heading1"/>
        <w:spacing w:after="120" w:before="360"/>
      </w:pPr>
      <w:r>
        <w:rPr>
          <w:rFonts w:ascii="Calibri" w:cs="Calibri" w:eastAsia="Calibri" w:hAnsi="Calibri"/>
          <w:b/>
          <w:bCs/>
          <w:color w:val="0f766e"/>
          <w:sz w:val="28"/>
          <w:szCs w:val="28"/>
        </w:rPr>
        <w:t xml:space="preserve">3. Requirements Compliance Matrix</w:t>
      </w:r>
    </w:p>
    <w:p>
      <w:r>
        <w:rPr>
          <w:rFonts w:ascii="Calibri" w:cs="Calibri" w:eastAsia="Calibri" w:hAnsi="Calibri"/>
          <w:b w:val="false"/>
          <w:bCs w:val="false"/>
          <w:color w:val="1f2937"/>
          <w:sz w:val="22"/>
          <w:szCs w:val="22"/>
        </w:rPr>
        <w:t xml:space="preserve">The matrix below details each requirement alongside our response, supporting evidence, and compliance status.</w:t>
      </w:r>
    </w:p>
    <w:p>
      <w:pPr>
        <w:spacing w:after="0"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auto" w:w="0"/>
            <w:tcBorders>
              <w:top w:val="single" w:color="d1d5db" w:sz="1"/>
              <w:left w:val="single" w:color="d1d5db" w:sz="1"/>
              <w:bottom w:val="single" w:color="d1d5db" w:sz="1"/>
              <w:right w:val="single" w:color="d1d5db" w:sz="1"/>
            </w:tcBorders>
            <w:shd w:fill="0f766e" w:val="clear"/>
          </w:tcPr>
          <w:p>
            <w:pPr>
              <w:spacing w:after="40" w:before="40"/>
              <w:jc w:val="center"/>
            </w:pPr>
            <w:r>
              <w:rPr>
                <w:rFonts w:ascii="Calibri" w:cs="Calibri" w:eastAsia="Calibri" w:hAnsi="Calibri"/>
                <w:b/>
                <w:bCs/>
                <w:color w:val="ffffff"/>
                <w:sz w:val="20"/>
                <w:szCs w:val="20"/>
              </w:rPr>
              <w:t xml:space="preserve">Requirement</w:t>
            </w:r>
          </w:p>
        </w:tc>
        <w:tc>
          <w:tcPr>
            <w:tcW w:type="auto" w:w="0"/>
            <w:tcBorders>
              <w:top w:val="single" w:color="d1d5db" w:sz="1"/>
              <w:left w:val="single" w:color="d1d5db" w:sz="1"/>
              <w:bottom w:val="single" w:color="d1d5db" w:sz="1"/>
              <w:right w:val="single" w:color="d1d5db" w:sz="1"/>
            </w:tcBorders>
            <w:shd w:fill="0f766e" w:val="clear"/>
          </w:tcPr>
          <w:p>
            <w:pPr>
              <w:spacing w:after="40" w:before="40"/>
              <w:jc w:val="center"/>
            </w:pPr>
            <w:r>
              <w:rPr>
                <w:rFonts w:ascii="Calibri" w:cs="Calibri" w:eastAsia="Calibri" w:hAnsi="Calibri"/>
                <w:b/>
                <w:bCs/>
                <w:color w:val="ffffff"/>
                <w:sz w:val="20"/>
                <w:szCs w:val="20"/>
              </w:rPr>
              <w:t xml:space="preserve">Category</w:t>
            </w:r>
          </w:p>
        </w:tc>
        <w:tc>
          <w:tcPr>
            <w:tcW w:type="auto" w:w="0"/>
            <w:tcBorders>
              <w:top w:val="single" w:color="d1d5db" w:sz="1"/>
              <w:left w:val="single" w:color="d1d5db" w:sz="1"/>
              <w:bottom w:val="single" w:color="d1d5db" w:sz="1"/>
              <w:right w:val="single" w:color="d1d5db" w:sz="1"/>
            </w:tcBorders>
            <w:shd w:fill="0f766e" w:val="clear"/>
          </w:tcPr>
          <w:p>
            <w:pPr>
              <w:spacing w:after="40" w:before="40"/>
              <w:jc w:val="center"/>
            </w:pPr>
            <w:r>
              <w:rPr>
                <w:rFonts w:ascii="Calibri" w:cs="Calibri" w:eastAsia="Calibri" w:hAnsi="Calibri"/>
                <w:b/>
                <w:bCs/>
                <w:color w:val="ffffff"/>
                <w:sz w:val="20"/>
                <w:szCs w:val="20"/>
              </w:rPr>
              <w:t xml:space="preserve">Our Response</w:t>
            </w:r>
          </w:p>
        </w:tc>
        <w:tc>
          <w:tcPr>
            <w:tcW w:type="auto" w:w="0"/>
            <w:tcBorders>
              <w:top w:val="single" w:color="d1d5db" w:sz="1"/>
              <w:left w:val="single" w:color="d1d5db" w:sz="1"/>
              <w:bottom w:val="single" w:color="d1d5db" w:sz="1"/>
              <w:right w:val="single" w:color="d1d5db" w:sz="1"/>
            </w:tcBorders>
            <w:shd w:fill="0f766e" w:val="clear"/>
          </w:tcPr>
          <w:p>
            <w:pPr>
              <w:spacing w:after="40" w:before="40"/>
              <w:jc w:val="center"/>
            </w:pPr>
            <w:r>
              <w:rPr>
                <w:rFonts w:ascii="Calibri" w:cs="Calibri" w:eastAsia="Calibri" w:hAnsi="Calibri"/>
                <w:b/>
                <w:bCs/>
                <w:color w:val="ffffff"/>
                <w:sz w:val="20"/>
                <w:szCs w:val="20"/>
              </w:rPr>
              <w:t xml:space="preserve">Evidence</w:t>
            </w:r>
          </w:p>
        </w:tc>
        <w:tc>
          <w:tcPr>
            <w:tcW w:type="auto" w:w="0"/>
            <w:tcBorders>
              <w:top w:val="single" w:color="d1d5db" w:sz="1"/>
              <w:left w:val="single" w:color="d1d5db" w:sz="1"/>
              <w:bottom w:val="single" w:color="d1d5db" w:sz="1"/>
              <w:right w:val="single" w:color="d1d5db" w:sz="1"/>
            </w:tcBorders>
            <w:shd w:fill="0f766e" w:val="clear"/>
          </w:tcPr>
          <w:p>
            <w:pPr>
              <w:spacing w:after="40" w:before="40"/>
              <w:jc w:val="center"/>
            </w:pPr>
            <w:r>
              <w:rPr>
                <w:rFonts w:ascii="Calibri" w:cs="Calibri" w:eastAsia="Calibri" w:hAnsi="Calibri"/>
                <w:b/>
                <w:bCs/>
                <w:color w:val="ffffff"/>
                <w:sz w:val="20"/>
                <w:szCs w:val="20"/>
              </w:rPr>
              <w:t xml:space="preserve">Status</w:t>
            </w:r>
          </w:p>
        </w:tc>
      </w:tr>
      <w:t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b w:val="false"/>
                <w:bCs w:val="false"/>
                <w:color w:val="1f2937"/>
                <w:sz w:val="20"/>
                <w:szCs w:val="20"/>
              </w:rPr>
              <w:t xml:space="preserve">AI Protection Confidence Score</w:t>
            </w:r>
          </w:p>
        </w:tc>
        <w:tc>
          <w:tcPr>
            <w:tcBorders>
              <w:top w:val="single" w:color="d1d5db" w:sz="1"/>
              <w:left w:val="single" w:color="d1d5db" w:sz="1"/>
              <w:bottom w:val="single" w:color="d1d5db" w:sz="1"/>
              <w:right w:val="single" w:color="d1d5db" w:sz="1"/>
            </w:tcBorders>
          </w:tcPr>
          <w:p>
            <w:pPr>
              <w:spacing w:after="30" w:before="30"/>
              <w:jc w:val="center"/>
            </w:pPr>
            <w:r>
              <w:rPr>
                <w:rFonts w:ascii="Calibri" w:cs="Calibri" w:eastAsia="Calibri" w:hAnsi="Calibri"/>
                <w:b w:val="false"/>
                <w:bCs w:val="false"/>
                <w:color w:val="1f2937"/>
                <w:sz w:val="20"/>
                <w:szCs w:val="20"/>
              </w:rPr>
              <w:t xml:space="preserve">technical</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b w:val="false"/>
                <w:bCs w:val="false"/>
                <w:color w:val="1f2937"/>
                <w:sz w:val="20"/>
                <w:szCs w:val="20"/>
              </w:rPr>
              <w:t xml:space="preserve">The applicant has not provided any data or evidence regarding the percentage of users who correctly understand how BlockLens prevents AI misuse. Without specific information on user understanding or comprehension rates, we cannot determine if the target of &gt;80% is met.</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b w:val="false"/>
                <w:bCs w:val="false"/>
                <w:color w:val="1f2937"/>
                <w:sz w:val="20"/>
                <w:szCs w:val="20"/>
              </w:rPr>
              <w:t xml:space="preserve">No documentation or evidence provided by the applicant regarding user understanding of BlockLens' AI misuse prevention mechanisms.</w:t>
            </w:r>
          </w:p>
        </w:tc>
        <w:tc>
          <w:tcPr>
            <w:tcBorders>
              <w:top w:val="single" w:color="d1d5db" w:sz="1"/>
              <w:left w:val="single" w:color="d1d5db" w:sz="1"/>
              <w:bottom w:val="single" w:color="d1d5db" w:sz="1"/>
              <w:right w:val="single" w:color="d1d5db" w:sz="1"/>
            </w:tcBorders>
            <w:shd w:fill="fef2f2" w:val="clear"/>
          </w:tcPr>
          <w:p>
            <w:pPr>
              <w:spacing w:after="30" w:before="30"/>
              <w:jc w:val="center"/>
            </w:pPr>
            <w:r>
              <w:rPr>
                <w:rFonts w:ascii="Calibri" w:cs="Calibri" w:eastAsia="Calibri" w:hAnsi="Calibri"/>
                <w:b/>
                <w:bCs/>
                <w:color w:val="dc2626"/>
                <w:sz w:val="20"/>
                <w:szCs w:val="20"/>
              </w:rPr>
              <w:t xml:space="preserve">Non-Compliant</w:t>
            </w:r>
          </w:p>
        </w:tc>
      </w:tr>
      <w:t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b w:val="false"/>
                <w:bCs w:val="false"/>
                <w:color w:val="1f2937"/>
                <w:sz w:val="20"/>
                <w:szCs w:val="20"/>
              </w:rPr>
              <w:t xml:space="preserve">Invisible AI Watermark</w:t>
            </w:r>
          </w:p>
        </w:tc>
        <w:tc>
          <w:tcPr>
            <w:tcBorders>
              <w:top w:val="single" w:color="d1d5db" w:sz="1"/>
              <w:left w:val="single" w:color="d1d5db" w:sz="1"/>
              <w:bottom w:val="single" w:color="d1d5db" w:sz="1"/>
              <w:right w:val="single" w:color="d1d5db" w:sz="1"/>
            </w:tcBorders>
          </w:tcPr>
          <w:p>
            <w:pPr>
              <w:spacing w:after="30" w:before="30"/>
              <w:jc w:val="center"/>
            </w:pPr>
            <w:r>
              <w:rPr>
                <w:rFonts w:ascii="Calibri" w:cs="Calibri" w:eastAsia="Calibri" w:hAnsi="Calibri"/>
                <w:b w:val="false"/>
                <w:bCs w:val="false"/>
                <w:color w:val="1f2937"/>
                <w:sz w:val="20"/>
                <w:szCs w:val="20"/>
              </w:rPr>
              <w:t xml:space="preserve">technical</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b w:val="false"/>
                <w:bCs w:val="false"/>
                <w:color w:val="1f2937"/>
                <w:sz w:val="20"/>
                <w:szCs w:val="20"/>
              </w:rPr>
              <w:t xml:space="preserve">tenet does not currently offer an invisible AI watermarking solution that is specifically designed to survive AI regeneration attempts. Their product focuses on digital content protection but does not include this specific technical requirement.</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b w:val="false"/>
                <w:bCs w:val="false"/>
                <w:color w:val="1f2937"/>
                <w:sz w:val="20"/>
                <w:szCs w:val="20"/>
              </w:rPr>
              <w:t xml:space="preserve">tenet's product documentation and technical specifications do not mention invisible watermarks that persist through AI regeneration processes. Their offerings center on content tracking and protection rather than this specialized watermarking technology.</w:t>
            </w:r>
          </w:p>
        </w:tc>
        <w:tc>
          <w:tcPr>
            <w:tcBorders>
              <w:top w:val="single" w:color="d1d5db" w:sz="1"/>
              <w:left w:val="single" w:color="d1d5db" w:sz="1"/>
              <w:bottom w:val="single" w:color="d1d5db" w:sz="1"/>
              <w:right w:val="single" w:color="d1d5db" w:sz="1"/>
            </w:tcBorders>
            <w:shd w:fill="fef2f2" w:val="clear"/>
          </w:tcPr>
          <w:p>
            <w:pPr>
              <w:spacing w:after="30" w:before="30"/>
              <w:jc w:val="center"/>
            </w:pPr>
            <w:r>
              <w:rPr>
                <w:rFonts w:ascii="Calibri" w:cs="Calibri" w:eastAsia="Calibri" w:hAnsi="Calibri"/>
                <w:b/>
                <w:bCs/>
                <w:color w:val="dc2626"/>
                <w:sz w:val="20"/>
                <w:szCs w:val="20"/>
              </w:rPr>
              <w:t xml:space="preserve">Non-Compliant</w:t>
            </w:r>
          </w:p>
        </w:tc>
      </w:tr>
      <w:t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b w:val="false"/>
                <w:bCs w:val="false"/>
                <w:color w:val="1f2937"/>
                <w:sz w:val="20"/>
                <w:szCs w:val="20"/>
              </w:rPr>
              <w:t xml:space="preserve">Opt-Out Signals</w:t>
            </w:r>
          </w:p>
        </w:tc>
        <w:tc>
          <w:tcPr>
            <w:tcBorders>
              <w:top w:val="single" w:color="d1d5db" w:sz="1"/>
              <w:left w:val="single" w:color="d1d5db" w:sz="1"/>
              <w:bottom w:val="single" w:color="d1d5db" w:sz="1"/>
              <w:right w:val="single" w:color="d1d5db" w:sz="1"/>
            </w:tcBorders>
          </w:tcPr>
          <w:p>
            <w:pPr>
              <w:spacing w:after="30" w:before="30"/>
              <w:jc w:val="center"/>
            </w:pPr>
            <w:r>
              <w:rPr>
                <w:rFonts w:ascii="Calibri" w:cs="Calibri" w:eastAsia="Calibri" w:hAnsi="Calibri"/>
                <w:b w:val="false"/>
                <w:bCs w:val="false"/>
                <w:color w:val="1f2937"/>
                <w:sz w:val="20"/>
                <w:szCs w:val="20"/>
              </w:rPr>
              <w:t xml:space="preserve">technical</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b w:val="false"/>
                <w:bCs w:val="false"/>
                <w:color w:val="1f2937"/>
                <w:sz w:val="20"/>
                <w:szCs w:val="20"/>
              </w:rPr>
              <w:t xml:space="preserve">tenet implements opt-out signals through robots.txt and meta tags to prevent ethical AI scrapers like LAION from indexing content.</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b w:val="false"/>
                <w:bCs w:val="false"/>
                <w:color w:val="1f2937"/>
                <w:sz w:val="20"/>
                <w:szCs w:val="20"/>
              </w:rPr>
              <w:t xml:space="preserve">tenet's robots.txt file contains specific disallow directives for AI scrapers, and their website pages include relevant meta tags (such as 'X-Robots-Tag: noai') that instruct crawlers not to use content for AI training purposes.</w:t>
            </w:r>
          </w:p>
        </w:tc>
        <w:tc>
          <w:tcPr>
            <w:tcBorders>
              <w:top w:val="single" w:color="d1d5db" w:sz="1"/>
              <w:left w:val="single" w:color="d1d5db" w:sz="1"/>
              <w:bottom w:val="single" w:color="d1d5db" w:sz="1"/>
              <w:right w:val="single" w:color="d1d5db" w:sz="1"/>
            </w:tcBorders>
            <w:shd w:fill="fefce8" w:val="clear"/>
          </w:tcPr>
          <w:p>
            <w:pPr>
              <w:spacing w:after="30" w:before="30"/>
              <w:jc w:val="center"/>
            </w:pPr>
            <w:r>
              <w:rPr>
                <w:rFonts w:ascii="Calibri" w:cs="Calibri" w:eastAsia="Calibri" w:hAnsi="Calibri"/>
                <w:b/>
                <w:bCs/>
                <w:color w:val="ca8a04"/>
                <w:sz w:val="20"/>
                <w:szCs w:val="20"/>
              </w:rPr>
              <w:t xml:space="preserve">Partial</w:t>
            </w:r>
          </w:p>
        </w:tc>
      </w:tr>
      <w:t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b w:val="false"/>
                <w:bCs w:val="false"/>
                <w:color w:val="1f2937"/>
                <w:sz w:val="20"/>
                <w:szCs w:val="20"/>
              </w:rPr>
              <w:t xml:space="preserve">Style Fingerprinting</w:t>
            </w:r>
          </w:p>
        </w:tc>
        <w:tc>
          <w:tcPr>
            <w:tcBorders>
              <w:top w:val="single" w:color="d1d5db" w:sz="1"/>
              <w:left w:val="single" w:color="d1d5db" w:sz="1"/>
              <w:bottom w:val="single" w:color="d1d5db" w:sz="1"/>
              <w:right w:val="single" w:color="d1d5db" w:sz="1"/>
            </w:tcBorders>
          </w:tcPr>
          <w:p>
            <w:pPr>
              <w:spacing w:after="30" w:before="30"/>
              <w:jc w:val="center"/>
            </w:pPr>
            <w:r>
              <w:rPr>
                <w:rFonts w:ascii="Calibri" w:cs="Calibri" w:eastAsia="Calibri" w:hAnsi="Calibri"/>
                <w:b w:val="false"/>
                <w:bCs w:val="false"/>
                <w:color w:val="1f2937"/>
                <w:sz w:val="20"/>
                <w:szCs w:val="20"/>
              </w:rPr>
              <w:t xml:space="preserve">technical</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b w:val="false"/>
                <w:bCs w:val="false"/>
                <w:color w:val="1f2937"/>
                <w:sz w:val="20"/>
                <w:szCs w:val="20"/>
              </w:rPr>
              <w:t xml:space="preserve">tenet does not provide any information about their ability to detect when AI mimics a unique visual style, which is the core requirement of style fingerprinting technology.</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b w:val="false"/>
                <w:bCs w:val="false"/>
                <w:color w:val="1f2937"/>
                <w:sz w:val="20"/>
                <w:szCs w:val="20"/>
              </w:rPr>
              <w:t xml:space="preserve">No documentation or evidence was provided by tenet regarding style fingerprinting capabilities, AI style detection mechanisms, or visual style mimicry prevention.</w:t>
            </w:r>
          </w:p>
        </w:tc>
        <w:tc>
          <w:tcPr>
            <w:tcBorders>
              <w:top w:val="single" w:color="d1d5db" w:sz="1"/>
              <w:left w:val="single" w:color="d1d5db" w:sz="1"/>
              <w:bottom w:val="single" w:color="d1d5db" w:sz="1"/>
              <w:right w:val="single" w:color="d1d5db" w:sz="1"/>
            </w:tcBorders>
            <w:shd w:fill="fef2f2" w:val="clear"/>
          </w:tcPr>
          <w:p>
            <w:pPr>
              <w:spacing w:after="30" w:before="30"/>
              <w:jc w:val="center"/>
            </w:pPr>
            <w:r>
              <w:rPr>
                <w:rFonts w:ascii="Calibri" w:cs="Calibri" w:eastAsia="Calibri" w:hAnsi="Calibri"/>
                <w:b/>
                <w:bCs/>
                <w:color w:val="dc2626"/>
                <w:sz w:val="20"/>
                <w:szCs w:val="20"/>
              </w:rPr>
              <w:t xml:space="preserve">Non-Compliant</w:t>
            </w:r>
          </w:p>
        </w:tc>
      </w:tr>
      <w:t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b w:val="false"/>
                <w:bCs w:val="false"/>
                <w:color w:val="1f2937"/>
                <w:sz w:val="20"/>
                <w:szCs w:val="20"/>
              </w:rPr>
              <w:t xml:space="preserve">Legal Deterrent Layer</w:t>
            </w:r>
          </w:p>
        </w:tc>
        <w:tc>
          <w:tcPr>
            <w:tcBorders>
              <w:top w:val="single" w:color="d1d5db" w:sz="1"/>
              <w:left w:val="single" w:color="d1d5db" w:sz="1"/>
              <w:bottom w:val="single" w:color="d1d5db" w:sz="1"/>
              <w:right w:val="single" w:color="d1d5db" w:sz="1"/>
            </w:tcBorders>
          </w:tcPr>
          <w:p>
            <w:pPr>
              <w:spacing w:after="30" w:before="30"/>
              <w:jc w:val="center"/>
            </w:pPr>
            <w:r>
              <w:rPr>
                <w:rFonts w:ascii="Calibri" w:cs="Calibri" w:eastAsia="Calibri" w:hAnsi="Calibri"/>
                <w:b w:val="false"/>
                <w:bCs w:val="false"/>
                <w:color w:val="1f2937"/>
                <w:sz w:val="20"/>
                <w:szCs w:val="20"/>
              </w:rPr>
              <w:t xml:space="preserve">legal</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b w:val="false"/>
                <w:bCs w:val="false"/>
                <w:color w:val="1f2937"/>
                <w:sz w:val="20"/>
                <w:szCs w:val="20"/>
              </w:rPr>
              <w:t xml:space="preserve">The applicant does not provide any information about implementing a legal deterrent layer for automated DMCA notices to AI platforms using their content.</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b w:val="false"/>
                <w:bCs w:val="false"/>
                <w:color w:val="1f2937"/>
                <w:sz w:val="20"/>
                <w:szCs w:val="20"/>
              </w:rPr>
              <w:t xml:space="preserve">No documentation or evidence was provided regarding DMCA notice automation systems, legal deterrent mechanisms, or processes for addressing unauthorized AI platform use of content.</w:t>
            </w:r>
          </w:p>
        </w:tc>
        <w:tc>
          <w:tcPr>
            <w:tcBorders>
              <w:top w:val="single" w:color="d1d5db" w:sz="1"/>
              <w:left w:val="single" w:color="d1d5db" w:sz="1"/>
              <w:bottom w:val="single" w:color="d1d5db" w:sz="1"/>
              <w:right w:val="single" w:color="d1d5db" w:sz="1"/>
            </w:tcBorders>
            <w:shd w:fill="fef2f2" w:val="clear"/>
          </w:tcPr>
          <w:p>
            <w:pPr>
              <w:spacing w:after="30" w:before="30"/>
              <w:jc w:val="center"/>
            </w:pPr>
            <w:r>
              <w:rPr>
                <w:rFonts w:ascii="Calibri" w:cs="Calibri" w:eastAsia="Calibri" w:hAnsi="Calibri"/>
                <w:b/>
                <w:bCs/>
                <w:color w:val="dc2626"/>
                <w:sz w:val="20"/>
                <w:szCs w:val="20"/>
              </w:rPr>
              <w:t xml:space="preserve">Non-Compliant</w:t>
            </w:r>
          </w:p>
        </w:tc>
      </w:tr>
      <w:t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b w:val="false"/>
                <w:bCs w:val="false"/>
                <w:color w:val="1f2937"/>
                <w:sz w:val="20"/>
                <w:szCs w:val="20"/>
              </w:rPr>
              <w:t xml:space="preserve">Scraping Honeypots</w:t>
            </w:r>
          </w:p>
        </w:tc>
        <w:tc>
          <w:tcPr>
            <w:tcBorders>
              <w:top w:val="single" w:color="d1d5db" w:sz="1"/>
              <w:left w:val="single" w:color="d1d5db" w:sz="1"/>
              <w:bottom w:val="single" w:color="d1d5db" w:sz="1"/>
              <w:right w:val="single" w:color="d1d5db" w:sz="1"/>
            </w:tcBorders>
          </w:tcPr>
          <w:p>
            <w:pPr>
              <w:spacing w:after="30" w:before="30"/>
              <w:jc w:val="center"/>
            </w:pPr>
            <w:r>
              <w:rPr>
                <w:rFonts w:ascii="Calibri" w:cs="Calibri" w:eastAsia="Calibri" w:hAnsi="Calibri"/>
                <w:b w:val="false"/>
                <w:bCs w:val="false"/>
                <w:color w:val="1f2937"/>
                <w:sz w:val="20"/>
                <w:szCs w:val="20"/>
              </w:rPr>
              <w:t xml:space="preserve">technical</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b w:val="false"/>
                <w:bCs w:val="false"/>
                <w:color w:val="1f2937"/>
                <w:sz w:val="20"/>
                <w:szCs w:val="20"/>
              </w:rPr>
              <w:t xml:space="preserve">The applicant has not provided any information or evidence regarding their implementation of scraping honeypots to detect bots attempting to scrape protected images.</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b w:val="false"/>
                <w:bCs w:val="false"/>
                <w:color w:val="1f2937"/>
                <w:sz w:val="20"/>
                <w:szCs w:val="20"/>
              </w:rPr>
              <w:t xml:space="preserve">No documentation or evidence was submitted to demonstrate the presence or implementation of scraping honeypots.</w:t>
            </w:r>
          </w:p>
        </w:tc>
        <w:tc>
          <w:tcPr>
            <w:tcBorders>
              <w:top w:val="single" w:color="d1d5db" w:sz="1"/>
              <w:left w:val="single" w:color="d1d5db" w:sz="1"/>
              <w:bottom w:val="single" w:color="d1d5db" w:sz="1"/>
              <w:right w:val="single" w:color="d1d5db" w:sz="1"/>
            </w:tcBorders>
            <w:shd w:fill="fef2f2" w:val="clear"/>
          </w:tcPr>
          <w:p>
            <w:pPr>
              <w:spacing w:after="30" w:before="30"/>
              <w:jc w:val="center"/>
            </w:pPr>
            <w:r>
              <w:rPr>
                <w:rFonts w:ascii="Calibri" w:cs="Calibri" w:eastAsia="Calibri" w:hAnsi="Calibri"/>
                <w:b/>
                <w:bCs/>
                <w:color w:val="dc2626"/>
                <w:sz w:val="20"/>
                <w:szCs w:val="20"/>
              </w:rPr>
              <w:t xml:space="preserve">Non-Compliant</w:t>
            </w:r>
          </w:p>
        </w:tc>
      </w:tr>
      <w:t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b w:val="false"/>
                <w:bCs w:val="false"/>
                <w:color w:val="1f2937"/>
                <w:sz w:val="20"/>
                <w:szCs w:val="20"/>
              </w:rPr>
              <w:t xml:space="preserve">AI Shield</w:t>
            </w:r>
          </w:p>
        </w:tc>
        <w:tc>
          <w:tcPr>
            <w:tcBorders>
              <w:top w:val="single" w:color="d1d5db" w:sz="1"/>
              <w:left w:val="single" w:color="d1d5db" w:sz="1"/>
              <w:bottom w:val="single" w:color="d1d5db" w:sz="1"/>
              <w:right w:val="single" w:color="d1d5db" w:sz="1"/>
            </w:tcBorders>
          </w:tcPr>
          <w:p>
            <w:pPr>
              <w:spacing w:after="30" w:before="30"/>
              <w:jc w:val="center"/>
            </w:pPr>
            <w:r>
              <w:rPr>
                <w:rFonts w:ascii="Calibri" w:cs="Calibri" w:eastAsia="Calibri" w:hAnsi="Calibri"/>
                <w:b w:val="false"/>
                <w:bCs w:val="false"/>
                <w:color w:val="1f2937"/>
                <w:sz w:val="20"/>
                <w:szCs w:val="20"/>
              </w:rPr>
              <w:t xml:space="preserve">technical</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b w:val="false"/>
                <w:bCs w:val="false"/>
                <w:color w:val="1f2937"/>
                <w:sz w:val="20"/>
                <w:szCs w:val="20"/>
              </w:rPr>
              <w:t xml:space="preserve">The applicant tenet has not provided sufficient information to confirm they meet the AI Shield requirement for protection level that blocks training + detects regeneration.</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b w:val="false"/>
                <w:bCs w:val="false"/>
                <w:color w:val="1f2937"/>
                <w:sz w:val="20"/>
                <w:szCs w:val="20"/>
              </w:rPr>
              <w:t xml:space="preserve">No documentation or evidence was provided by tenet regarding their AI Shield protection capabilities, specifically regarding training blocking and regeneration detection features.</w:t>
            </w:r>
          </w:p>
        </w:tc>
        <w:tc>
          <w:tcPr>
            <w:tcBorders>
              <w:top w:val="single" w:color="d1d5db" w:sz="1"/>
              <w:left w:val="single" w:color="d1d5db" w:sz="1"/>
              <w:bottom w:val="single" w:color="d1d5db" w:sz="1"/>
              <w:right w:val="single" w:color="d1d5db" w:sz="1"/>
            </w:tcBorders>
            <w:shd w:fill="fef2f2" w:val="clear"/>
          </w:tcPr>
          <w:p>
            <w:pPr>
              <w:spacing w:after="30" w:before="30"/>
              <w:jc w:val="center"/>
            </w:pPr>
            <w:r>
              <w:rPr>
                <w:rFonts w:ascii="Calibri" w:cs="Calibri" w:eastAsia="Calibri" w:hAnsi="Calibri"/>
                <w:b/>
                <w:bCs/>
                <w:color w:val="dc2626"/>
                <w:sz w:val="20"/>
                <w:szCs w:val="20"/>
              </w:rPr>
              <w:t xml:space="preserve">Non-Compliant</w:t>
            </w:r>
          </w:p>
        </w:tc>
      </w:tr>
      <w:t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b w:val="false"/>
                <w:bCs w:val="false"/>
                <w:color w:val="1f2937"/>
                <w:sz w:val="20"/>
                <w:szCs w:val="20"/>
              </w:rPr>
              <w:t xml:space="preserve">Enterprise</w:t>
            </w:r>
          </w:p>
        </w:tc>
        <w:tc>
          <w:tcPr>
            <w:tcBorders>
              <w:top w:val="single" w:color="d1d5db" w:sz="1"/>
              <w:left w:val="single" w:color="d1d5db" w:sz="1"/>
              <w:bottom w:val="single" w:color="d1d5db" w:sz="1"/>
              <w:right w:val="single" w:color="d1d5db" w:sz="1"/>
            </w:tcBorders>
          </w:tcPr>
          <w:p>
            <w:pPr>
              <w:spacing w:after="30" w:before="30"/>
              <w:jc w:val="center"/>
            </w:pPr>
            <w:r>
              <w:rPr>
                <w:rFonts w:ascii="Calibri" w:cs="Calibri" w:eastAsia="Calibri" w:hAnsi="Calibri"/>
                <w:b w:val="false"/>
                <w:bCs w:val="false"/>
                <w:color w:val="1f2937"/>
                <w:sz w:val="20"/>
                <w:szCs w:val="20"/>
              </w:rPr>
              <w:t xml:space="preserve">technical</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b w:val="false"/>
                <w:bCs w:val="false"/>
                <w:color w:val="1f2937"/>
                <w:sz w:val="20"/>
                <w:szCs w:val="20"/>
              </w:rPr>
              <w:t xml:space="preserve">tenet does not meet the 'Enterprise' requirement as they do not explicitly mention providing style lock, deepfake monitoring, or legal automation in their offering. The applicant's technical capabilities appear to be at a lower protection level than what is specified for the Enterprise category.</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b w:val="false"/>
                <w:bCs w:val="false"/>
                <w:color w:val="1f2937"/>
                <w:sz w:val="20"/>
                <w:szCs w:val="20"/>
              </w:rPr>
              <w:t xml:space="preserve">No documentation or evidence provided by tenet demonstrates they offer style lock technology, deepfake monitoring capabilities, or legal automation features that would be required for the Enterprise protection level.</w:t>
            </w:r>
          </w:p>
        </w:tc>
        <w:tc>
          <w:tcPr>
            <w:tcBorders>
              <w:top w:val="single" w:color="d1d5db" w:sz="1"/>
              <w:left w:val="single" w:color="d1d5db" w:sz="1"/>
              <w:bottom w:val="single" w:color="d1d5db" w:sz="1"/>
              <w:right w:val="single" w:color="d1d5db" w:sz="1"/>
            </w:tcBorders>
            <w:shd w:fill="fef2f2" w:val="clear"/>
          </w:tcPr>
          <w:p>
            <w:pPr>
              <w:spacing w:after="30" w:before="30"/>
              <w:jc w:val="center"/>
            </w:pPr>
            <w:r>
              <w:rPr>
                <w:rFonts w:ascii="Calibri" w:cs="Calibri" w:eastAsia="Calibri" w:hAnsi="Calibri"/>
                <w:b/>
                <w:bCs/>
                <w:color w:val="dc2626"/>
                <w:sz w:val="20"/>
                <w:szCs w:val="20"/>
              </w:rPr>
              <w:t xml:space="preserve">Non-Compliant</w:t>
            </w:r>
          </w:p>
        </w:tc>
      </w:tr>
      <w:t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b w:val="false"/>
                <w:bCs w:val="false"/>
                <w:color w:val="1f2937"/>
                <w:sz w:val="20"/>
                <w:szCs w:val="20"/>
              </w:rPr>
              <w:t xml:space="preserve">AI Protection Certificate</w:t>
            </w:r>
          </w:p>
        </w:tc>
        <w:tc>
          <w:tcPr>
            <w:tcBorders>
              <w:top w:val="single" w:color="d1d5db" w:sz="1"/>
              <w:left w:val="single" w:color="d1d5db" w:sz="1"/>
              <w:bottom w:val="single" w:color="d1d5db" w:sz="1"/>
              <w:right w:val="single" w:color="d1d5db" w:sz="1"/>
            </w:tcBorders>
          </w:tcPr>
          <w:p>
            <w:pPr>
              <w:spacing w:after="30" w:before="30"/>
              <w:jc w:val="center"/>
            </w:pPr>
            <w:r>
              <w:rPr>
                <w:rFonts w:ascii="Calibri" w:cs="Calibri" w:eastAsia="Calibri" w:hAnsi="Calibri"/>
                <w:b w:val="false"/>
                <w:bCs w:val="false"/>
                <w:color w:val="1f2937"/>
                <w:sz w:val="20"/>
                <w:szCs w:val="20"/>
              </w:rPr>
              <w:t xml:space="preserve">legal</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b w:val="false"/>
                <w:bCs w:val="false"/>
                <w:color w:val="1f2937"/>
                <w:sz w:val="20"/>
                <w:szCs w:val="20"/>
              </w:rPr>
              <w:t xml:space="preserve">tenet does not provide any documentation or evidence of possessing an AI Protection Certificate that verifies their images are protected against AI misuse.</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b w:val="false"/>
                <w:bCs w:val="false"/>
                <w:color w:val="1f2937"/>
                <w:sz w:val="20"/>
                <w:szCs w:val="20"/>
              </w:rPr>
              <w:t xml:space="preserve">No evidence was provided by tenet regarding an AI Protection Certificate or any similar verification mechanism for their images.</w:t>
            </w:r>
          </w:p>
        </w:tc>
        <w:tc>
          <w:tcPr>
            <w:tcBorders>
              <w:top w:val="single" w:color="d1d5db" w:sz="1"/>
              <w:left w:val="single" w:color="d1d5db" w:sz="1"/>
              <w:bottom w:val="single" w:color="d1d5db" w:sz="1"/>
              <w:right w:val="single" w:color="d1d5db" w:sz="1"/>
            </w:tcBorders>
            <w:shd w:fill="fef2f2" w:val="clear"/>
          </w:tcPr>
          <w:p>
            <w:pPr>
              <w:spacing w:after="30" w:before="30"/>
              <w:jc w:val="center"/>
            </w:pPr>
            <w:r>
              <w:rPr>
                <w:rFonts w:ascii="Calibri" w:cs="Calibri" w:eastAsia="Calibri" w:hAnsi="Calibri"/>
                <w:b/>
                <w:bCs/>
                <w:color w:val="dc2626"/>
                <w:sz w:val="20"/>
                <w:szCs w:val="20"/>
              </w:rPr>
              <w:t xml:space="preserve">Non-Compliant</w:t>
            </w:r>
          </w:p>
        </w:tc>
      </w:tr>
      <w:t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b w:val="false"/>
                <w:bCs w:val="false"/>
                <w:color w:val="1f2937"/>
                <w:sz w:val="20"/>
                <w:szCs w:val="20"/>
              </w:rPr>
              <w:t xml:space="preserve">Takedown success rate</w:t>
            </w:r>
          </w:p>
        </w:tc>
        <w:tc>
          <w:tcPr>
            <w:tcBorders>
              <w:top w:val="single" w:color="d1d5db" w:sz="1"/>
              <w:left w:val="single" w:color="d1d5db" w:sz="1"/>
              <w:bottom w:val="single" w:color="d1d5db" w:sz="1"/>
              <w:right w:val="single" w:color="d1d5db" w:sz="1"/>
            </w:tcBorders>
          </w:tcPr>
          <w:p>
            <w:pPr>
              <w:spacing w:after="30" w:before="30"/>
              <w:jc w:val="center"/>
            </w:pPr>
            <w:r>
              <w:rPr>
                <w:rFonts w:ascii="Calibri" w:cs="Calibri" w:eastAsia="Calibri" w:hAnsi="Calibri"/>
                <w:b w:val="false"/>
                <w:bCs w:val="false"/>
                <w:color w:val="1f2937"/>
                <w:sz w:val="20"/>
                <w:szCs w:val="20"/>
              </w:rPr>
              <w:t xml:space="preserve">compliance</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b w:val="false"/>
                <w:bCs w:val="false"/>
                <w:color w:val="1f2937"/>
                <w:sz w:val="20"/>
                <w:szCs w:val="20"/>
              </w:rPr>
              <w:t xml:space="preserve">tenet has not provided specific data on their takedown success rate for AI-generated derivatives, making it impossible to verify if they meet the &gt;65% target requirement.</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b w:val="false"/>
                <w:bCs w:val="false"/>
                <w:color w:val="1f2937"/>
                <w:sz w:val="20"/>
                <w:szCs w:val="20"/>
              </w:rPr>
              <w:t xml:space="preserve">No documentation or evidence was provided by tenet regarding their takedown success rate metrics for AI-generated derivatives.</w:t>
            </w:r>
          </w:p>
        </w:tc>
        <w:tc>
          <w:tcPr>
            <w:tcBorders>
              <w:top w:val="single" w:color="d1d5db" w:sz="1"/>
              <w:left w:val="single" w:color="d1d5db" w:sz="1"/>
              <w:bottom w:val="single" w:color="d1d5db" w:sz="1"/>
              <w:right w:val="single" w:color="d1d5db" w:sz="1"/>
            </w:tcBorders>
            <w:shd w:fill="fef2f2" w:val="clear"/>
          </w:tcPr>
          <w:p>
            <w:pPr>
              <w:spacing w:after="30" w:before="30"/>
              <w:jc w:val="center"/>
            </w:pPr>
            <w:r>
              <w:rPr>
                <w:rFonts w:ascii="Calibri" w:cs="Calibri" w:eastAsia="Calibri" w:hAnsi="Calibri"/>
                <w:b/>
                <w:bCs/>
                <w:color w:val="dc2626"/>
                <w:sz w:val="20"/>
                <w:szCs w:val="20"/>
              </w:rPr>
              <w:t xml:space="preserve">Non-Compliant</w:t>
            </w:r>
          </w:p>
        </w:tc>
      </w:tr>
    </w:tbl>
    <w:p>
      <w:pPr>
        <w:pStyle w:val="Heading1"/>
        <w:spacing w:after="120" w:before="360"/>
      </w:pPr>
      <w:r>
        <w:rPr>
          <w:rFonts w:ascii="Calibri" w:cs="Calibri" w:eastAsia="Calibri" w:hAnsi="Calibri"/>
          <w:b/>
          <w:bCs/>
          <w:color w:val="0f766e"/>
          <w:sz w:val="28"/>
          <w:szCs w:val="28"/>
        </w:rPr>
        <w:t xml:space="preserve">4. Compliance Gaps &amp; Mitigation</w:t>
      </w:r>
    </w:p>
    <w:p>
      <w:r>
        <w:rPr>
          <w:rFonts w:ascii="Calibri" w:cs="Calibri" w:eastAsia="Calibri" w:hAnsi="Calibri"/>
          <w:b w:val="false"/>
          <w:bCs w:val="false"/>
          <w:color w:val="1f2937"/>
          <w:sz w:val="22"/>
          <w:szCs w:val="22"/>
        </w:rPr>
        <w:t xml:space="preserve">The following items require attention and mitigation before final submission:</w:t>
      </w:r>
    </w:p>
    <w:p>
      <w:pPr>
        <w:spacing w:after="0" w:before="80"/>
      </w:pPr>
    </w:p>
    <w:p>
      <w:r>
        <w:rPr>
          <w:rFonts w:ascii="Calibri" w:cs="Calibri" w:eastAsia="Calibri" w:hAnsi="Calibri"/>
          <w:b/>
          <w:bCs/>
          <w:color w:val="dc2626"/>
          <w:sz w:val="22"/>
          <w:szCs w:val="22"/>
        </w:rPr>
        <w:t xml:space="preserve">Non-Compliant Items:</w:t>
      </w:r>
    </w:p>
    <w:p>
      <w:r>
        <w:rPr>
          <w:rFonts w:ascii="Calibri" w:cs="Calibri" w:eastAsia="Calibri" w:hAnsi="Calibri"/>
          <w:b/>
          <w:bCs/>
          <w:color w:val="dc2626"/>
          <w:sz w:val="20"/>
          <w:szCs w:val="20"/>
        </w:rPr>
        <w:t xml:space="preserve">1. AI Protection Confidence Score [technical]</w:t>
      </w:r>
    </w:p>
    <w:p>
      <w:r>
        <w:rPr>
          <w:rFonts w:ascii="Calibri" w:cs="Calibri" w:eastAsia="Calibri" w:hAnsi="Calibri"/>
          <w:b w:val="false"/>
          <w:bCs w:val="false"/>
          <w:color w:val="1f2937"/>
          <w:sz w:val="20"/>
          <w:szCs w:val="20"/>
        </w:rPr>
        <w:t xml:space="preserve">   Current Response: The applicant has not provided any data or evidence regarding the percentage of users who correctly understand how BlockLens prevents AI misuse. Without specific information on user understanding or comprehension rates, we cannot determine if the target of &gt;80% is met.</w:t>
      </w:r>
    </w:p>
    <w:p>
      <w:r>
        <w:rPr>
          <w:rFonts w:ascii="Calibri" w:cs="Calibri" w:eastAsia="Calibri" w:hAnsi="Calibri"/>
          <w:b w:val="false"/>
          <w:bCs w:val="false"/>
          <w:color w:val="6b7280"/>
          <w:sz w:val="20"/>
          <w:szCs w:val="20"/>
        </w:rPr>
        <w:t xml:space="preserve">   Mitigation: Develop a compliant response, engage subject-matter experts, or seek clarification from the issuing authority. Consider whether a waiver or deviation request is appropriate.</w:t>
      </w:r>
    </w:p>
    <w:p>
      <w:pPr>
        <w:spacing w:after="0" w:before="40"/>
      </w:pPr>
    </w:p>
    <w:p>
      <w:r>
        <w:rPr>
          <w:rFonts w:ascii="Calibri" w:cs="Calibri" w:eastAsia="Calibri" w:hAnsi="Calibri"/>
          <w:b/>
          <w:bCs/>
          <w:color w:val="dc2626"/>
          <w:sz w:val="20"/>
          <w:szCs w:val="20"/>
        </w:rPr>
        <w:t xml:space="preserve">2. Invisible AI Watermark [technical]</w:t>
      </w:r>
    </w:p>
    <w:p>
      <w:r>
        <w:rPr>
          <w:rFonts w:ascii="Calibri" w:cs="Calibri" w:eastAsia="Calibri" w:hAnsi="Calibri"/>
          <w:b w:val="false"/>
          <w:bCs w:val="false"/>
          <w:color w:val="1f2937"/>
          <w:sz w:val="20"/>
          <w:szCs w:val="20"/>
        </w:rPr>
        <w:t xml:space="preserve">   Current Response: tenet does not currently offer an invisible AI watermarking solution that is specifically designed to survive AI regeneration attempts. Their product focuses on digital content protection but does not include this specific technical requirement.</w:t>
      </w:r>
    </w:p>
    <w:p>
      <w:r>
        <w:rPr>
          <w:rFonts w:ascii="Calibri" w:cs="Calibri" w:eastAsia="Calibri" w:hAnsi="Calibri"/>
          <w:b w:val="false"/>
          <w:bCs w:val="false"/>
          <w:color w:val="6b7280"/>
          <w:sz w:val="20"/>
          <w:szCs w:val="20"/>
        </w:rPr>
        <w:t xml:space="preserve">   Mitigation: Develop a compliant response, engage subject-matter experts, or seek clarification from the issuing authority. Consider whether a waiver or deviation request is appropriate.</w:t>
      </w:r>
    </w:p>
    <w:p>
      <w:pPr>
        <w:spacing w:after="0" w:before="40"/>
      </w:pPr>
    </w:p>
    <w:p>
      <w:r>
        <w:rPr>
          <w:rFonts w:ascii="Calibri" w:cs="Calibri" w:eastAsia="Calibri" w:hAnsi="Calibri"/>
          <w:b/>
          <w:bCs/>
          <w:color w:val="dc2626"/>
          <w:sz w:val="20"/>
          <w:szCs w:val="20"/>
        </w:rPr>
        <w:t xml:space="preserve">3. Style Fingerprinting [technical]</w:t>
      </w:r>
    </w:p>
    <w:p>
      <w:r>
        <w:rPr>
          <w:rFonts w:ascii="Calibri" w:cs="Calibri" w:eastAsia="Calibri" w:hAnsi="Calibri"/>
          <w:b w:val="false"/>
          <w:bCs w:val="false"/>
          <w:color w:val="1f2937"/>
          <w:sz w:val="20"/>
          <w:szCs w:val="20"/>
        </w:rPr>
        <w:t xml:space="preserve">   Current Response: tenet does not provide any information about their ability to detect when AI mimics a unique visual style, which is the core requirement of style fingerprinting technology.</w:t>
      </w:r>
    </w:p>
    <w:p>
      <w:r>
        <w:rPr>
          <w:rFonts w:ascii="Calibri" w:cs="Calibri" w:eastAsia="Calibri" w:hAnsi="Calibri"/>
          <w:b w:val="false"/>
          <w:bCs w:val="false"/>
          <w:color w:val="6b7280"/>
          <w:sz w:val="20"/>
          <w:szCs w:val="20"/>
        </w:rPr>
        <w:t xml:space="preserve">   Mitigation: Develop a compliant response, engage subject-matter experts, or seek clarification from the issuing authority. Consider whether a waiver or deviation request is appropriate.</w:t>
      </w:r>
    </w:p>
    <w:p>
      <w:pPr>
        <w:spacing w:after="0" w:before="40"/>
      </w:pPr>
    </w:p>
    <w:p>
      <w:r>
        <w:rPr>
          <w:rFonts w:ascii="Calibri" w:cs="Calibri" w:eastAsia="Calibri" w:hAnsi="Calibri"/>
          <w:b/>
          <w:bCs/>
          <w:color w:val="dc2626"/>
          <w:sz w:val="20"/>
          <w:szCs w:val="20"/>
        </w:rPr>
        <w:t xml:space="preserve">4. Legal Deterrent Layer [legal]</w:t>
      </w:r>
    </w:p>
    <w:p>
      <w:r>
        <w:rPr>
          <w:rFonts w:ascii="Calibri" w:cs="Calibri" w:eastAsia="Calibri" w:hAnsi="Calibri"/>
          <w:b w:val="false"/>
          <w:bCs w:val="false"/>
          <w:color w:val="1f2937"/>
          <w:sz w:val="20"/>
          <w:szCs w:val="20"/>
        </w:rPr>
        <w:t xml:space="preserve">   Current Response: The applicant does not provide any information about implementing a legal deterrent layer for automated DMCA notices to AI platforms using their content.</w:t>
      </w:r>
    </w:p>
    <w:p>
      <w:r>
        <w:rPr>
          <w:rFonts w:ascii="Calibri" w:cs="Calibri" w:eastAsia="Calibri" w:hAnsi="Calibri"/>
          <w:b w:val="false"/>
          <w:bCs w:val="false"/>
          <w:color w:val="6b7280"/>
          <w:sz w:val="20"/>
          <w:szCs w:val="20"/>
        </w:rPr>
        <w:t xml:space="preserve">   Mitigation: Develop a compliant response, engage subject-matter experts, or seek clarification from the issuing authority. Consider whether a waiver or deviation request is appropriate.</w:t>
      </w:r>
    </w:p>
    <w:p>
      <w:pPr>
        <w:spacing w:after="0" w:before="40"/>
      </w:pPr>
    </w:p>
    <w:p>
      <w:r>
        <w:rPr>
          <w:rFonts w:ascii="Calibri" w:cs="Calibri" w:eastAsia="Calibri" w:hAnsi="Calibri"/>
          <w:b/>
          <w:bCs/>
          <w:color w:val="dc2626"/>
          <w:sz w:val="20"/>
          <w:szCs w:val="20"/>
        </w:rPr>
        <w:t xml:space="preserve">5. Scraping Honeypots [technical]</w:t>
      </w:r>
    </w:p>
    <w:p>
      <w:r>
        <w:rPr>
          <w:rFonts w:ascii="Calibri" w:cs="Calibri" w:eastAsia="Calibri" w:hAnsi="Calibri"/>
          <w:b w:val="false"/>
          <w:bCs w:val="false"/>
          <w:color w:val="1f2937"/>
          <w:sz w:val="20"/>
          <w:szCs w:val="20"/>
        </w:rPr>
        <w:t xml:space="preserve">   Current Response: The applicant has not provided any information or evidence regarding their implementation of scraping honeypots to detect bots attempting to scrape protected images.</w:t>
      </w:r>
    </w:p>
    <w:p>
      <w:r>
        <w:rPr>
          <w:rFonts w:ascii="Calibri" w:cs="Calibri" w:eastAsia="Calibri" w:hAnsi="Calibri"/>
          <w:b w:val="false"/>
          <w:bCs w:val="false"/>
          <w:color w:val="6b7280"/>
          <w:sz w:val="20"/>
          <w:szCs w:val="20"/>
        </w:rPr>
        <w:t xml:space="preserve">   Mitigation: Develop a compliant response, engage subject-matter experts, or seek clarification from the issuing authority. Consider whether a waiver or deviation request is appropriate.</w:t>
      </w:r>
    </w:p>
    <w:p>
      <w:pPr>
        <w:spacing w:after="0" w:before="40"/>
      </w:pPr>
    </w:p>
    <w:p>
      <w:r>
        <w:rPr>
          <w:rFonts w:ascii="Calibri" w:cs="Calibri" w:eastAsia="Calibri" w:hAnsi="Calibri"/>
          <w:b/>
          <w:bCs/>
          <w:color w:val="dc2626"/>
          <w:sz w:val="20"/>
          <w:szCs w:val="20"/>
        </w:rPr>
        <w:t xml:space="preserve">6. AI Shield [technical]</w:t>
      </w:r>
    </w:p>
    <w:p>
      <w:r>
        <w:rPr>
          <w:rFonts w:ascii="Calibri" w:cs="Calibri" w:eastAsia="Calibri" w:hAnsi="Calibri"/>
          <w:b w:val="false"/>
          <w:bCs w:val="false"/>
          <w:color w:val="1f2937"/>
          <w:sz w:val="20"/>
          <w:szCs w:val="20"/>
        </w:rPr>
        <w:t xml:space="preserve">   Current Response: The applicant tenet has not provided sufficient information to confirm they meet the AI Shield requirement for protection level that blocks training + detects regeneration.</w:t>
      </w:r>
    </w:p>
    <w:p>
      <w:r>
        <w:rPr>
          <w:rFonts w:ascii="Calibri" w:cs="Calibri" w:eastAsia="Calibri" w:hAnsi="Calibri"/>
          <w:b w:val="false"/>
          <w:bCs w:val="false"/>
          <w:color w:val="6b7280"/>
          <w:sz w:val="20"/>
          <w:szCs w:val="20"/>
        </w:rPr>
        <w:t xml:space="preserve">   Mitigation: Develop a compliant response, engage subject-matter experts, or seek clarification from the issuing authority. Consider whether a waiver or deviation request is appropriate.</w:t>
      </w:r>
    </w:p>
    <w:p>
      <w:pPr>
        <w:spacing w:after="0" w:before="40"/>
      </w:pPr>
    </w:p>
    <w:p>
      <w:r>
        <w:rPr>
          <w:rFonts w:ascii="Calibri" w:cs="Calibri" w:eastAsia="Calibri" w:hAnsi="Calibri"/>
          <w:b/>
          <w:bCs/>
          <w:color w:val="dc2626"/>
          <w:sz w:val="20"/>
          <w:szCs w:val="20"/>
        </w:rPr>
        <w:t xml:space="preserve">7. Enterprise [technical]</w:t>
      </w:r>
    </w:p>
    <w:p>
      <w:r>
        <w:rPr>
          <w:rFonts w:ascii="Calibri" w:cs="Calibri" w:eastAsia="Calibri" w:hAnsi="Calibri"/>
          <w:b w:val="false"/>
          <w:bCs w:val="false"/>
          <w:color w:val="1f2937"/>
          <w:sz w:val="20"/>
          <w:szCs w:val="20"/>
        </w:rPr>
        <w:t xml:space="preserve">   Current Response: tenet does not meet the 'Enterprise' requirement as they do not explicitly mention providing style lock, deepfake monitoring, or legal automation in their offering. The applicant's technical capabilities appear to be at a lower protection level than what is specified for the Enterprise category.</w:t>
      </w:r>
    </w:p>
    <w:p>
      <w:r>
        <w:rPr>
          <w:rFonts w:ascii="Calibri" w:cs="Calibri" w:eastAsia="Calibri" w:hAnsi="Calibri"/>
          <w:b w:val="false"/>
          <w:bCs w:val="false"/>
          <w:color w:val="6b7280"/>
          <w:sz w:val="20"/>
          <w:szCs w:val="20"/>
        </w:rPr>
        <w:t xml:space="preserve">   Mitigation: Develop a compliant response, engage subject-matter experts, or seek clarification from the issuing authority. Consider whether a waiver or deviation request is appropriate.</w:t>
      </w:r>
    </w:p>
    <w:p>
      <w:pPr>
        <w:spacing w:after="0" w:before="40"/>
      </w:pPr>
    </w:p>
    <w:p>
      <w:r>
        <w:rPr>
          <w:rFonts w:ascii="Calibri" w:cs="Calibri" w:eastAsia="Calibri" w:hAnsi="Calibri"/>
          <w:b/>
          <w:bCs/>
          <w:color w:val="dc2626"/>
          <w:sz w:val="20"/>
          <w:szCs w:val="20"/>
        </w:rPr>
        <w:t xml:space="preserve">8. AI Protection Certificate [legal]</w:t>
      </w:r>
    </w:p>
    <w:p>
      <w:r>
        <w:rPr>
          <w:rFonts w:ascii="Calibri" w:cs="Calibri" w:eastAsia="Calibri" w:hAnsi="Calibri"/>
          <w:b w:val="false"/>
          <w:bCs w:val="false"/>
          <w:color w:val="1f2937"/>
          <w:sz w:val="20"/>
          <w:szCs w:val="20"/>
        </w:rPr>
        <w:t xml:space="preserve">   Current Response: tenet does not provide any documentation or evidence of possessing an AI Protection Certificate that verifies their images are protected against AI misuse.</w:t>
      </w:r>
    </w:p>
    <w:p>
      <w:r>
        <w:rPr>
          <w:rFonts w:ascii="Calibri" w:cs="Calibri" w:eastAsia="Calibri" w:hAnsi="Calibri"/>
          <w:b w:val="false"/>
          <w:bCs w:val="false"/>
          <w:color w:val="6b7280"/>
          <w:sz w:val="20"/>
          <w:szCs w:val="20"/>
        </w:rPr>
        <w:t xml:space="preserve">   Mitigation: Develop a compliant response, engage subject-matter experts, or seek clarification from the issuing authority. Consider whether a waiver or deviation request is appropriate.</w:t>
      </w:r>
    </w:p>
    <w:p>
      <w:pPr>
        <w:spacing w:after="0" w:before="40"/>
      </w:pPr>
    </w:p>
    <w:p>
      <w:r>
        <w:rPr>
          <w:rFonts w:ascii="Calibri" w:cs="Calibri" w:eastAsia="Calibri" w:hAnsi="Calibri"/>
          <w:b/>
          <w:bCs/>
          <w:color w:val="dc2626"/>
          <w:sz w:val="20"/>
          <w:szCs w:val="20"/>
        </w:rPr>
        <w:t xml:space="preserve">9. Takedown success rate [compliance]</w:t>
      </w:r>
    </w:p>
    <w:p>
      <w:r>
        <w:rPr>
          <w:rFonts w:ascii="Calibri" w:cs="Calibri" w:eastAsia="Calibri" w:hAnsi="Calibri"/>
          <w:b w:val="false"/>
          <w:bCs w:val="false"/>
          <w:color w:val="1f2937"/>
          <w:sz w:val="20"/>
          <w:szCs w:val="20"/>
        </w:rPr>
        <w:t xml:space="preserve">   Current Response: tenet has not provided specific data on their takedown success rate for AI-generated derivatives, making it impossible to verify if they meet the &gt;65% target requirement.</w:t>
      </w:r>
    </w:p>
    <w:p>
      <w:r>
        <w:rPr>
          <w:rFonts w:ascii="Calibri" w:cs="Calibri" w:eastAsia="Calibri" w:hAnsi="Calibri"/>
          <w:b w:val="false"/>
          <w:bCs w:val="false"/>
          <w:color w:val="6b7280"/>
          <w:sz w:val="20"/>
          <w:szCs w:val="20"/>
        </w:rPr>
        <w:t xml:space="preserve">   Mitigation: Develop a compliant response, engage subject-matter experts, or seek clarification from the issuing authority. Consider whether a waiver or deviation request is appropriate.</w:t>
      </w:r>
    </w:p>
    <w:p>
      <w:pPr>
        <w:spacing w:after="0" w:before="40"/>
      </w:pPr>
    </w:p>
    <w:p>
      <w:r>
        <w:rPr>
          <w:rFonts w:ascii="Calibri" w:cs="Calibri" w:eastAsia="Calibri" w:hAnsi="Calibri"/>
          <w:b/>
          <w:bCs/>
          <w:color w:val="ca8a04"/>
          <w:sz w:val="22"/>
          <w:szCs w:val="22"/>
        </w:rPr>
        <w:t xml:space="preserve">Partially Compliant Items:</w:t>
      </w:r>
    </w:p>
    <w:p>
      <w:r>
        <w:rPr>
          <w:rFonts w:ascii="Calibri" w:cs="Calibri" w:eastAsia="Calibri" w:hAnsi="Calibri"/>
          <w:b/>
          <w:bCs/>
          <w:color w:val="ca8a04"/>
          <w:sz w:val="20"/>
          <w:szCs w:val="20"/>
        </w:rPr>
        <w:t xml:space="preserve">1. Opt-Out Signals [technical]</w:t>
      </w:r>
    </w:p>
    <w:p>
      <w:r>
        <w:rPr>
          <w:rFonts w:ascii="Calibri" w:cs="Calibri" w:eastAsia="Calibri" w:hAnsi="Calibri"/>
          <w:b w:val="false"/>
          <w:bCs w:val="false"/>
          <w:color w:val="1f2937"/>
          <w:sz w:val="20"/>
          <w:szCs w:val="20"/>
        </w:rPr>
        <w:t xml:space="preserve">   Current Response: tenet implements opt-out signals through robots.txt and meta tags to prevent ethical AI scrapers like LAION from indexing content.</w:t>
      </w:r>
    </w:p>
    <w:p>
      <w:r>
        <w:rPr>
          <w:rFonts w:ascii="Calibri" w:cs="Calibri" w:eastAsia="Calibri" w:hAnsi="Calibri"/>
          <w:b w:val="false"/>
          <w:bCs w:val="false"/>
          <w:color w:val="6b7280"/>
          <w:sz w:val="20"/>
          <w:szCs w:val="20"/>
        </w:rPr>
        <w:t xml:space="preserve">   Mitigation: Supplement the existing response with additional evidence, refine the approach to meet all sub-clauses, or provide a bridging plan to full compliance within an agreed timeframe.</w:t>
      </w:r>
    </w:p>
    <w:p>
      <w:pPr>
        <w:spacing w:after="0" w:before="40"/>
      </w:pPr>
    </w:p>
    <w:p>
      <w:pPr>
        <w:pStyle w:val="Heading1"/>
        <w:spacing w:after="120" w:before="360"/>
      </w:pPr>
      <w:r>
        <w:rPr>
          <w:rFonts w:ascii="Calibri" w:cs="Calibri" w:eastAsia="Calibri" w:hAnsi="Calibri"/>
          <w:b/>
          <w:bCs/>
          <w:color w:val="0f766e"/>
          <w:sz w:val="28"/>
          <w:szCs w:val="28"/>
        </w:rPr>
        <w:t xml:space="preserve">5. Declaration &amp; Signatures</w:t>
      </w:r>
    </w:p>
    <w:p>
      <w:r>
        <w:rPr>
          <w:rFonts w:ascii="Calibri" w:cs="Calibri" w:eastAsia="Calibri" w:hAnsi="Calibri"/>
          <w:b w:val="false"/>
          <w:bCs w:val="false"/>
          <w:color w:val="1f2937"/>
          <w:sz w:val="22"/>
          <w:szCs w:val="22"/>
        </w:rPr>
        <w:t xml:space="preserve">I/we hereby declare that all information provided in this compliance document is true, complete, and accurate to the best of my/our knowledge and belief. I/we understand that any false declaration, omission, or misrepresentation may result in disqualification from the tender process and may lead to further legal or contractual consequences.</w:t>
      </w:r>
    </w:p>
    <w:p>
      <w:pPr>
        <w:spacing w:after="0" w:before="40"/>
      </w:pPr>
    </w:p>
    <w:p>
      <w:r>
        <w:rPr>
          <w:rFonts w:ascii="Calibri" w:cs="Calibri" w:eastAsia="Calibri" w:hAnsi="Calibri"/>
          <w:b w:val="false"/>
          <w:bCs w:val="false"/>
          <w:color w:val="1f2937"/>
          <w:sz w:val="22"/>
          <w:szCs w:val="22"/>
        </w:rPr>
        <w:t xml:space="preserve">I/we further confirm that the responses and evidence provided for each requirement have been reviewed and verified by the relevant subject-matter experts within our organisation.</w:t>
      </w:r>
    </w:p>
    <w:p>
      <w:pPr>
        <w:spacing w:after="0" w:before="200"/>
      </w:pPr>
    </w:p>
    <w:p>
      <w:pPr>
        <w:pBdr>
          <w:bottom w:val="single" w:color="1f2937" w:sz="1"/>
        </w:pBdr>
        <w:spacing w:after="0" w:before="0"/>
      </w:pPr>
      <w:r>
        <w:rPr>
          <w:sz w:val="22"/>
          <w:szCs w:val="22"/>
        </w:rPr>
        <w:t xml:space="preserve"> </w:t>
      </w:r>
    </w:p>
    <w:p>
      <w:r>
        <w:rPr>
          <w:rFonts w:ascii="Calibri" w:cs="Calibri" w:eastAsia="Calibri" w:hAnsi="Calibri"/>
          <w:b/>
          <w:bCs/>
          <w:color w:val="1f2937"/>
          <w:sz w:val="20"/>
          <w:szCs w:val="20"/>
        </w:rPr>
        <w:t xml:space="preserve">Authorised Signatory: tenet</w:t>
      </w:r>
    </w:p>
    <w:p>
      <w:r>
        <w:rPr>
          <w:rFonts w:ascii="Calibri" w:cs="Calibri" w:eastAsia="Calibri" w:hAnsi="Calibri"/>
          <w:b w:val="false"/>
          <w:bCs w:val="false"/>
          <w:color w:val="1f2937"/>
          <w:sz w:val="20"/>
          <w:szCs w:val="20"/>
        </w:rPr>
        <w:t xml:space="preserve">Title / Position: ________________________________</w:t>
      </w:r>
    </w:p>
    <w:p>
      <w:r>
        <w:rPr>
          <w:rFonts w:ascii="Calibri" w:cs="Calibri" w:eastAsia="Calibri" w:hAnsi="Calibri"/>
          <w:b w:val="false"/>
          <w:bCs w:val="false"/>
          <w:color w:val="1f2937"/>
          <w:sz w:val="20"/>
          <w:szCs w:val="20"/>
        </w:rPr>
        <w:t xml:space="preserve">Date: ________________________________</w:t>
      </w:r>
    </w:p>
    <w:p>
      <w:pPr>
        <w:spacing w:after="0" w:before="200"/>
      </w:pPr>
    </w:p>
    <w:p>
      <w:pPr>
        <w:pBdr>
          <w:bottom w:val="single" w:color="1f2937" w:sz="1"/>
        </w:pBdr>
        <w:spacing w:after="0" w:before="0"/>
      </w:pPr>
      <w:r>
        <w:rPr>
          <w:sz w:val="22"/>
          <w:szCs w:val="22"/>
        </w:rPr>
        <w:t xml:space="preserve"> </w:t>
      </w:r>
    </w:p>
    <w:p>
      <w:r>
        <w:rPr>
          <w:rFonts w:ascii="Calibri" w:cs="Calibri" w:eastAsia="Calibri" w:hAnsi="Calibri"/>
          <w:b/>
          <w:bCs/>
          <w:color w:val="1f2937"/>
          <w:sz w:val="20"/>
          <w:szCs w:val="20"/>
        </w:rPr>
        <w:t xml:space="preserve">Witness / Counter-Signatory: ________________________________</w:t>
      </w:r>
    </w:p>
    <w:p>
      <w:r>
        <w:rPr>
          <w:rFonts w:ascii="Calibri" w:cs="Calibri" w:eastAsia="Calibri" w:hAnsi="Calibri"/>
          <w:b w:val="false"/>
          <w:bCs w:val="false"/>
          <w:color w:val="1f2937"/>
          <w:sz w:val="20"/>
          <w:szCs w:val="20"/>
        </w:rPr>
        <w:t xml:space="preserve">Title / Position: ________________________________</w:t>
      </w:r>
    </w:p>
    <w:p>
      <w:r>
        <w:rPr>
          <w:rFonts w:ascii="Calibri" w:cs="Calibri" w:eastAsia="Calibri" w:hAnsi="Calibri"/>
          <w:b w:val="false"/>
          <w:bCs w:val="false"/>
          <w:color w:val="1f2937"/>
          <w:sz w:val="20"/>
          <w:szCs w:val="20"/>
        </w:rPr>
        <w:t xml:space="preserve">Date: ________________________________</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ca3af"/>
        <w:sz w:val="16"/>
        <w:szCs w:val="16"/>
      </w:rPr>
      <w:t xml:space="preserve">Page </w:t>
    </w:r>
    <w:r>
      <w:rPr>
        <w:rFonts w:ascii="Calibri" w:cs="Calibri" w:eastAsia="Calibri" w:hAnsi="Calibri"/>
        <w:color w:val="9ca3af"/>
        <w:sz w:val="16"/>
        <w:szCs w:val="16"/>
      </w:rPr>
      <w:fldChar w:fldCharType="begin"/>
      <w:instrText xml:space="preserve">PAGE</w:instrText>
      <w:fldChar w:fldCharType="separate"/>
      <w:fldChar w:fldCharType="end"/>
    </w:r>
    <w:r>
      <w:rPr>
        <w:rFonts w:ascii="Calibri" w:cs="Calibri" w:eastAsia="Calibri" w:hAnsi="Calibri"/>
        <w:color w:val="9ca3af"/>
        <w:sz w:val="16"/>
        <w:szCs w:val="16"/>
      </w:rPr>
      <w:t xml:space="preserve"> of </w:t>
    </w:r>
    <w:r>
      <w:rPr>
        <w:rFonts w:ascii="Calibri" w:cs="Calibri" w:eastAsia="Calibri" w:hAnsi="Calibri"/>
        <w:color w:val="9ca3a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766e" w:sz="2"/>
      </w:pBdr>
      <w:spacing w:after="0"/>
      <w:jc w:val="right"/>
    </w:pPr>
    <w:r>
      <w:rPr>
        <w:rFonts w:ascii="Calibri" w:cs="Calibri" w:eastAsia="Calibri" w:hAnsi="Calibri"/>
        <w:i/>
        <w:iCs/>
        <w:color w:val="0f766e"/>
        <w:sz w:val="16"/>
        <w:szCs w:val="16"/>
      </w:rPr>
      <w:t xml:space="preserve">Compliance Document — Tender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2026-08-26T09:20:09.386Z</dcterms:created>
  <dcterms:modified xsi:type="dcterms:W3CDTF">2026-08-26T09:20:09.386Z</dcterms:modified>
</cp:coreProperties>
</file>

<file path=docProps/custom.xml><?xml version="1.0" encoding="utf-8"?>
<Properties xmlns="http://schemas.openxmlformats.org/officeDocument/2006/custom-properties" xmlns:vt="http://schemas.openxmlformats.org/officeDocument/2006/docPropsVTypes"/>
</file>