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e31785120f5c4157"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5ece949c2c8a468f"/>
                    <a:stretch>
                      <a:fillRect/>
                    </a:stretch>
                  </pic:blipFill>
                  <pic:spPr>
                    <a:xfrm>
                      <a:off x="0" y="0"/>
                      <a:ext cx="7560000" cy="10692000"/>
                    </a:xfrm>
                    <a:prstGeom prst="rect"/>
                  </pic:spPr>
                </pic:pic>
              </a:graphicData>
            </a:graphic>
          </wp:anchor>
        </w:drawing>
      </w:r>
    </w:p>
    <w:p>
      <w:pPr>
        <w:spacing w:before="5500"/>
      </w:pPr>
      <w:r/>
    </w:p>
    <w:p>
      <w:pPr>
        <w:spacing w:after="200"/>
        <w:ind w:left="1200" w:right="1200"/>
        <w:jc w:val="left"/>
      </w:pPr>
      <w:r>
        <w:rPr>
          <w:b/>
          <w:color w:val="1a2a3a"/>
          <w:spacing w:val="30"/>
          <w:sz w:val="80"/>
        </w:rPr>
        <w:t>Tender Ecosystem</w:t>
      </w:r>
    </w:p>
    <w:p>
      <w:pPr>
        <w:spacing w:after="600"/>
        <w:ind w:left="1200" w:right="1200"/>
        <w:jc w:val="left"/>
      </w:pPr>
      <w:r>
        <w:rPr>
          <w:color w:val="3d5a6e"/>
          <w:spacing w:val="20"/>
          <w:sz w:val="40"/>
        </w:rPr>
        <w:t>Comprehensive Technical Documentation</w:t>
      </w:r>
    </w:p>
    <w:p>
      <w:pPr>
        <w:spacing w:after="200"/>
        <w:ind w:left="1200"/>
        <w:jc w:val="left"/>
      </w:pPr>
      <w:r>
        <w:rPr>
          <w:color w:val="4a4a4a"/>
          <w:sz w:val="22"/>
        </w:rPr>
        <w:t>MVP Product Specification &amp; Architecture Blueprint</w:t>
      </w:r>
    </w:p>
    <w:p>
      <w:pPr>
        <w:ind w:left="1200"/>
        <w:jc w:val="left"/>
      </w:pPr>
      <w:r>
        <w:rPr>
          <w:color w:val="7a7a7a"/>
          <w:sz w:val="20"/>
        </w:rPr>
        <w:t>Afomiya Platform  |  v1.0  |  May 2026</w:t>
      </w:r>
    </w:p>
    <w:p>
      <w:pPr>
        <w:sectPr>
          <w:type w:val="nextPage"/>
          <w:pgSz w:w="11906" w:h="16838"/>
          <w:pgMar w:top="0" w:right="0" w:bottom="0" w:left="0" w:header="0" w:footer="0"/>
          <w:titlePg/>
        </w:sectPr>
      </w:pPr>
    </w:p>
    <w:p>
      <w:pPr>
        <w:pStyle w:val="Heading1"/>
      </w:pPr>
      <w:r>
        <w:t>Table of Contents</w:t>
      </w:r>
    </w:p>
    <w:p>
      <w:pPr>
        <w:spacing w:after="200"/>
      </w:pPr>
      <w:r>
        <w:rPr>
          <w:color w:val="7a7a7a"/>
          <w:sz w:val="18"/>
        </w:rPr>
        <w:t>Right-click and select "Update Field" to refresh page numbers</w:t>
      </w:r>
    </w:p>
    <w:p>
      <w:r>
        <w:fldChar w:fldCharType="begin"/>
      </w:r>
      <w:r>
        <w:instrText xml:space="preserve"> TOC \o "1-3" \h \z \u </w:instrText>
      </w:r>
      <w:r>
        <w:fldChar w:fldCharType="separate"/>
      </w:r>
    </w:p>
    <w:p>
      <w:pPr>
        <w:pStyle w:val="TOC1"/>
      </w:pPr>
      <w:r>
        <w:t>Executive Overview</w:t>
      </w:r>
      <w:r>
        <w:tab/>
      </w:r>
      <w:r>
        <w:t>3</w:t>
      </w:r>
    </w:p>
    <w:p>
      <w:pPr>
        <w:pStyle w:val="TOC2"/>
      </w:pPr>
      <w:r>
        <w:t>System Vision &amp; Purpose</w:t>
      </w:r>
      <w:r>
        <w:tab/>
      </w:r>
      <w:r>
        <w:t>3</w:t>
      </w:r>
    </w:p>
    <w:p>
      <w:pPr>
        <w:pStyle w:val="TOC2"/>
      </w:pPr>
      <w:r>
        <w:t>Target Audience</w:t>
      </w:r>
      <w:r>
        <w:tab/>
      </w:r>
      <w:r>
        <w:t>3</w:t>
      </w:r>
    </w:p>
    <w:p>
      <w:pPr>
        <w:pStyle w:val="TOC2"/>
      </w:pPr>
      <w:r>
        <w:t>Document Scope &amp; Structure</w:t>
      </w:r>
      <w:r>
        <w:tab/>
      </w:r>
      <w:r>
        <w:t>4</w:t>
      </w:r>
    </w:p>
    <w:p>
      <w:pPr>
        <w:pStyle w:val="TOC1"/>
      </w:pPr>
      <w:r>
        <w:t>System Architecture &amp; Design Philosophy</w:t>
      </w:r>
      <w:r>
        <w:tab/>
      </w:r>
      <w:r>
        <w:t>5</w:t>
      </w:r>
    </w:p>
    <w:p>
      <w:pPr>
        <w:pStyle w:val="TOC2"/>
      </w:pPr>
      <w:r>
        <w:t>Architecture Overview</w:t>
      </w:r>
      <w:r>
        <w:tab/>
      </w:r>
      <w:r>
        <w:t>5</w:t>
      </w:r>
    </w:p>
    <w:p>
      <w:pPr>
        <w:pStyle w:val="TOC2"/>
      </w:pPr>
      <w:r>
        <w:t>Core Design Principles</w:t>
      </w:r>
      <w:r>
        <w:tab/>
      </w:r>
      <w:r>
        <w:t>5</w:t>
      </w:r>
    </w:p>
    <w:p>
      <w:pPr>
        <w:pStyle w:val="TOC2"/>
      </w:pPr>
      <w:r>
        <w:t>Technology Stack</w:t>
      </w:r>
      <w:r>
        <w:tab/>
      </w:r>
      <w:r>
        <w:t>6</w:t>
      </w:r>
    </w:p>
    <w:p>
      <w:pPr>
        <w:pStyle w:val="TOC1"/>
      </w:pPr>
      <w:r>
        <w:t>User Roles &amp; Access Control</w:t>
      </w:r>
      <w:r>
        <w:tab/>
      </w:r>
      <w:r>
        <w:t>7</w:t>
      </w:r>
    </w:p>
    <w:p>
      <w:pPr>
        <w:pStyle w:val="TOC2"/>
      </w:pPr>
      <w:r>
        <w:t>Administrator</w:t>
      </w:r>
      <w:r>
        <w:tab/>
      </w:r>
      <w:r>
        <w:t>7</w:t>
      </w:r>
    </w:p>
    <w:p>
      <w:pPr>
        <w:pStyle w:val="TOC2"/>
      </w:pPr>
      <w:r>
        <w:t>Contractor / Supplier</w:t>
      </w:r>
      <w:r>
        <w:tab/>
      </w:r>
      <w:r>
        <w:t>7</w:t>
      </w:r>
    </w:p>
    <w:p>
      <w:pPr>
        <w:pStyle w:val="TOC2"/>
      </w:pPr>
      <w:r>
        <w:t>Tender Owner</w:t>
      </w:r>
      <w:r>
        <w:tab/>
      </w:r>
      <w:r>
        <w:t>8</w:t>
      </w:r>
    </w:p>
    <w:p>
      <w:pPr>
        <w:pStyle w:val="TOC2"/>
      </w:pPr>
      <w:r>
        <w:t>Permission Matrix</w:t>
      </w:r>
      <w:r>
        <w:tab/>
      </w:r>
      <w:r>
        <w:t>8</w:t>
      </w:r>
    </w:p>
    <w:p>
      <w:pPr>
        <w:pStyle w:val="TOC1"/>
      </w:pPr>
      <w:r>
        <w:t>Module 1: Identity &amp; Profile Management</w:t>
      </w:r>
      <w:r>
        <w:tab/>
      </w:r>
      <w:r>
        <w:t>9</w:t>
      </w:r>
    </w:p>
    <w:p>
      <w:pPr>
        <w:pStyle w:val="TOC2"/>
      </w:pPr>
      <w:r>
        <w:t>Authentication</w:t>
      </w:r>
      <w:r>
        <w:tab/>
      </w:r>
      <w:r>
        <w:t>9</w:t>
      </w:r>
    </w:p>
    <w:p>
      <w:pPr>
        <w:pStyle w:val="TOC2"/>
      </w:pPr>
      <w:r>
        <w:t>Profile Completion</w:t>
      </w:r>
      <w:r>
        <w:tab/>
      </w:r>
      <w:r>
        <w:t>9</w:t>
      </w:r>
    </w:p>
    <w:p>
      <w:pPr>
        <w:pStyle w:val="TOC2"/>
      </w:pPr>
      <w:r>
        <w:t>Document Vault</w:t>
      </w:r>
      <w:r>
        <w:tab/>
      </w:r>
      <w:r>
        <w:t>10</w:t>
      </w:r>
    </w:p>
    <w:p>
      <w:pPr>
        <w:pStyle w:val="TOC2"/>
      </w:pPr>
      <w:r>
        <w:t>Dashboard</w:t>
      </w:r>
      <w:r>
        <w:tab/>
      </w:r>
      <w:r>
        <w:t>10</w:t>
      </w:r>
    </w:p>
    <w:p>
      <w:pPr>
        <w:pStyle w:val="TOC1"/>
      </w:pPr>
      <w:r>
        <w:t>Module 2: Tender Discovery &amp; Smart Matching</w:t>
      </w:r>
      <w:r>
        <w:tab/>
      </w:r>
      <w:r>
        <w:t>11</w:t>
      </w:r>
    </w:p>
    <w:p>
      <w:pPr>
        <w:pStyle w:val="TOC2"/>
      </w:pPr>
      <w:r>
        <w:t>Tender Creation</w:t>
      </w:r>
      <w:r>
        <w:tab/>
      </w:r>
      <w:r>
        <w:t>11</w:t>
      </w:r>
    </w:p>
    <w:p>
      <w:pPr>
        <w:pStyle w:val="TOC2"/>
      </w:pPr>
      <w:r>
        <w:t>Matching Logic</w:t>
      </w:r>
      <w:r>
        <w:tab/>
      </w:r>
      <w:r>
        <w:t>11</w:t>
      </w:r>
    </w:p>
    <w:p>
      <w:pPr>
        <w:pStyle w:val="TOC2"/>
      </w:pPr>
      <w:r>
        <w:t>Search &amp; Filter</w:t>
      </w:r>
      <w:r>
        <w:tab/>
      </w:r>
      <w:r>
        <w:t>12</w:t>
      </w:r>
    </w:p>
    <w:p>
      <w:pPr>
        <w:pStyle w:val="TOC1"/>
      </w:pPr>
      <w:r>
        <w:t>Module 3: The Bidding Engine</w:t>
      </w:r>
      <w:r>
        <w:tab/>
      </w:r>
      <w:r>
        <w:t>13</w:t>
      </w:r>
    </w:p>
    <w:p>
      <w:pPr>
        <w:pStyle w:val="TOC2"/>
      </w:pPr>
      <w:r>
        <w:t>Bid Submission</w:t>
      </w:r>
      <w:r>
        <w:tab/>
      </w:r>
      <w:r>
        <w:t>13</w:t>
      </w:r>
    </w:p>
    <w:p>
      <w:pPr>
        <w:pStyle w:val="TOC2"/>
      </w:pPr>
      <w:r>
        <w:t>Bid Management</w:t>
      </w:r>
      <w:r>
        <w:tab/>
      </w:r>
      <w:r>
        <w:t>13</w:t>
      </w:r>
    </w:p>
    <w:p>
      <w:pPr>
        <w:pStyle w:val="TOC2"/>
      </w:pPr>
      <w:r>
        <w:t>Status Workflow</w:t>
      </w:r>
      <w:r>
        <w:tab/>
      </w:r>
      <w:r>
        <w:t>14</w:t>
      </w:r>
    </w:p>
    <w:p>
      <w:pPr>
        <w:pStyle w:val="TOC1"/>
      </w:pPr>
      <w:r>
        <w:t>Module 4: Project Workspace &amp; Task Workflow</w:t>
      </w:r>
      <w:r>
        <w:tab/>
      </w:r>
      <w:r>
        <w:t>15</w:t>
      </w:r>
    </w:p>
    <w:p>
      <w:pPr>
        <w:pStyle w:val="TOC2"/>
      </w:pPr>
      <w:r>
        <w:t>Project Initialization</w:t>
      </w:r>
      <w:r>
        <w:tab/>
      </w:r>
      <w:r>
        <w:t>15</w:t>
      </w:r>
    </w:p>
    <w:p>
      <w:pPr>
        <w:pStyle w:val="TOC2"/>
      </w:pPr>
      <w:r>
        <w:t>Kanban Board</w:t>
      </w:r>
      <w:r>
        <w:tab/>
      </w:r>
      <w:r>
        <w:t>15</w:t>
      </w:r>
    </w:p>
    <w:p>
      <w:pPr>
        <w:pStyle w:val="TOC2"/>
      </w:pPr>
      <w:r>
        <w:t>Milestone Tracking</w:t>
      </w:r>
      <w:r>
        <w:tab/>
      </w:r>
      <w:r>
        <w:t>16</w:t>
      </w:r>
    </w:p>
    <w:p>
      <w:pPr>
        <w:pStyle w:val="TOC1"/>
      </w:pPr>
      <w:r>
        <w:t>Module 5: Communication Hub</w:t>
      </w:r>
      <w:r>
        <w:tab/>
      </w:r>
      <w:r>
        <w:t>17</w:t>
      </w:r>
    </w:p>
    <w:p>
      <w:pPr>
        <w:pStyle w:val="TOC2"/>
      </w:pPr>
      <w:r>
        <w:t>Context-Aware Chat</w:t>
      </w:r>
      <w:r>
        <w:tab/>
      </w:r>
      <w:r>
        <w:t>17</w:t>
      </w:r>
    </w:p>
    <w:p>
      <w:pPr>
        <w:pStyle w:val="TOC2"/>
      </w:pPr>
      <w:r>
        <w:t>Safety &amp; Monitoring</w:t>
      </w:r>
      <w:r>
        <w:tab/>
      </w:r>
      <w:r>
        <w:t>17</w:t>
      </w:r>
    </w:p>
    <w:p>
      <w:pPr>
        <w:pStyle w:val="TOC1"/>
      </w:pPr>
      <w:r>
        <w:t>Module 6: Financial Tracking</w:t>
      </w:r>
      <w:r>
        <w:tab/>
      </w:r>
      <w:r>
        <w:t>18</w:t>
      </w:r>
    </w:p>
    <w:p>
      <w:pPr>
        <w:pStyle w:val="TOC2"/>
      </w:pPr>
      <w:r>
        <w:t>Agreement Record</w:t>
      </w:r>
      <w:r>
        <w:tab/>
      </w:r>
      <w:r>
        <w:t>18</w:t>
      </w:r>
    </w:p>
    <w:p>
      <w:pPr>
        <w:pStyle w:val="TOC2"/>
      </w:pPr>
      <w:r>
        <w:t>Payment Log</w:t>
      </w:r>
      <w:r>
        <w:tab/>
      </w:r>
      <w:r>
        <w:t>18</w:t>
      </w:r>
    </w:p>
    <w:p>
      <w:pPr>
        <w:pStyle w:val="TOC2"/>
      </w:pPr>
      <w:r>
        <w:t>Invoicing</w:t>
      </w:r>
      <w:r>
        <w:tab/>
      </w:r>
      <w:r>
        <w:t>19</w:t>
      </w:r>
    </w:p>
    <w:p>
      <w:pPr>
        <w:pStyle w:val="TOC1"/>
      </w:pPr>
      <w:r>
        <w:t>Module 7: Capacity Building</w:t>
      </w:r>
      <w:r>
        <w:tab/>
      </w:r>
      <w:r>
        <w:t>20</w:t>
      </w:r>
    </w:p>
    <w:p>
      <w:pPr>
        <w:pStyle w:val="TOC1"/>
      </w:pPr>
      <w:r>
        <w:t>Data Model &amp; Entity Relationships</w:t>
      </w:r>
      <w:r>
        <w:tab/>
      </w:r>
      <w:r>
        <w:t>21</w:t>
      </w:r>
    </w:p>
    <w:p>
      <w:pPr>
        <w:pStyle w:val="TOC1"/>
      </w:pPr>
      <w:r>
        <w:t>Security Framework</w:t>
      </w:r>
      <w:r>
        <w:tab/>
      </w:r>
      <w:r>
        <w:t>22</w:t>
      </w:r>
    </w:p>
    <w:p>
      <w:pPr>
        <w:pStyle w:val="TOC1"/>
      </w:pPr>
      <w:r>
        <w:t>Implementation Roadmap</w:t>
      </w:r>
      <w:r>
        <w:tab/>
      </w:r>
      <w:r>
        <w:t>23</w:t>
      </w:r>
    </w:p>
    <w:p>
      <w:pPr>
        <w:pStyle w:val="TOC1"/>
      </w:pPr>
      <w:r>
        <w:t>Appendices</w:t>
      </w:r>
      <w:r>
        <w:tab/>
      </w:r>
      <w:r>
        <w:t>24</w:t>
      </w:r>
    </w:p>
    <w:p>
      <w:r>
        <w:fldChar w:fldCharType="end"/>
      </w:r>
    </w:p>
    <w:p>
      <w:pPr>
        <w:sectPr>
          <w:type w:val="nextPage"/>
          <w:pgSz w:w="11906" w:h="16838"/>
          <w:pgMar w:top="1800" w:right="1440" w:bottom="1440" w:left="1440" w:header="720" w:footer="720"/>
        </w:sectPr>
      </w:pPr>
    </w:p>
    <w:p>
      <w:pPr>
        <w:pStyle w:val="Heading1"/>
      </w:pPr>
      <w:r>
        <w:t>1. Executive Overview</w:t>
      </w:r>
      <w:bookmarkStart w:name="_Toc001" w:id="1"/>
      <w:bookmarkEnd w:id="1"/>
    </w:p>
    <w:p>
      <w:pPr>
        <w:pStyle w:val="Heading2"/>
      </w:pPr>
      <w:r>
        <w:t>1.1 System Vision &amp; Purpose</w:t>
      </w:r>
    </w:p>
    <w:p>
      <w:r>
        <w:t>The Afomiya Tender Ecosystem represents a transformative digital initiative designed to address the fundamental fragmentation plaguing the Ethiopian tender marketplace. In the current landscape, contractors, suppliers, and tender owners operate within disconnected silos — opportunities are missed, trust is difficult to establish, and the entire procurement cycle lacks transparency. This platform emerges as a centralized digital hub that bridges these gaps, creating a unified environment where service providers discover relevant opportunities, tender owners access qualified bidders, and all parties benefit from streamlined workflows that span the entire tender lifecycle from initial discovery through project completion.</w:t>
      </w:r>
    </w:p>
    <w:p>
      <w:r>
        <w:t>The platform's core mission extends beyond simple job matching. By embedding verification systems, contextual communication tools, milestone-based project tracking, and transparent financial logging directly into the workflow, Afomiya cultivates an ecosystem built on accountability. Every interaction leaves a traceable record; every participant builds a verifiable reputation. This approach transforms tender management from a series of disconnected, trust-dependent transactions into a structured, data-rich process where decisions are informed by documented evidence rather than personal relationships alone.</w:t>
      </w:r>
    </w:p>
    <w:p>
      <w:pPr>
        <w:pStyle w:val="Heading2"/>
      </w:pPr>
      <w:r>
        <w:t>1.2 Target Audience</w:t>
      </w:r>
    </w:p>
    <w:p>
      <w:r>
        <w:t>The Tender Ecosystem serves three primary stakeholder groups, each with distinct needs and interaction patterns within the platform. Understanding these audiences is essential for designing features that resonate with real-world workflows and deliver measurable value from the first login.</w:t>
      </w:r>
    </w:p>
    <w:p>
      <w:pPr>
        <w:ind w:left="360" w:hanging="360"/>
      </w:pPr>
      <w:r>
        <w:rPr>
          <w:b/>
        </w:rPr>
        <w:t>• Tender Owners (Clients/Companies): </w:t>
      </w:r>
      <w:r>
        <w:t>Organizations and individuals who need work performed — whether construction projects, IT system implementations, supply procurement, or professional services. They need efficient ways to articulate requirements, evaluate competing proposals, and monitor project execution.</w:t>
      </w:r>
    </w:p>
    <w:p>
      <w:pPr>
        <w:ind w:left="360" w:hanging="360"/>
      </w:pPr>
      <w:r>
        <w:rPr>
          <w:b/>
        </w:rPr>
        <w:t>• Contractors &amp; Suppliers (Service Providers): </w:t>
      </w:r>
      <w:r>
        <w:t>Individual professionals, small-to-medium enterprises, and specialized firms seeking project opportunities. They need intelligent tender matching, streamlined bid preparation tools, and clear visibility into their pipeline of opportunities and active work.</w:t>
      </w:r>
    </w:p>
    <w:p>
      <w:pPr>
        <w:ind w:left="360" w:hanging="360"/>
      </w:pPr>
      <w:r>
        <w:rPr>
          <w:b/>
        </w:rPr>
        <w:t>• Platform Administrators: </w:t>
      </w:r>
      <w:r>
        <w:t>The operational team responsible for ecosystem health — verifying participant credentials, mediating disputes, curating tender quality, and ensuring compliance with platform policies and regulatory requirements.</w:t>
      </w:r>
    </w:p>
    <w:p>
      <w:pPr>
        <w:pStyle w:val="Heading2"/>
      </w:pPr>
      <w:r>
        <w:t>1.3 Document Scope &amp; Structure</w:t>
      </w:r>
    </w:p>
    <w:p>
      <w:r>
        <w:t>This document serves as the authoritative reference for the Afomiya Tender Ecosystem's Minimum Viable Product (MVP) specification. It encompasses detailed module descriptions, user role definitions, data architecture, security frameworks, and implementation guidance. The documentation is organized into logical sections that mirror the system's functional architecture, progressing from high-level concepts through granular feature specifications.</w:t>
      </w:r>
    </w:p>
    <w:p>
      <w:r>
        <w:t>Each module section follows a consistent structure: functional overview, user interactions, data requirements, business rules, and edge case considerations. This consistency enables stakeholders — developers, testers, business analysts, and project managers — to quickly locate relevant information and understand how individual features integrate into the broader system. Cross-references between sections highlight dependencies and relationships that span multiple modules.</w:t>
      </w:r>
    </w:p>
    <w:p>
      <w:pPr>
        <w:pStyle w:val="Heading1"/>
      </w:pPr>
      <w:r>
        <w:t>2. System Architecture &amp; Design Philosophy</w:t>
      </w:r>
      <w:bookmarkStart w:name="_Toc002" w:id="2"/>
      <w:bookmarkEnd w:id="2"/>
    </w:p>
    <w:p>
      <w:pPr>
        <w:pStyle w:val="Heading2"/>
      </w:pPr>
      <w:r>
        <w:t>2.1 Architecture Overview</w:t>
      </w:r>
    </w:p>
    <w:p>
      <w:r>
        <w:t>The Tender Ecosystem employs a modular, service-oriented architecture that prioritizes scalability, maintainability, and incremental feature delivery. The system is organized around seven core functional modules — Identity Management, Tender Discovery, Bidding, Project Workspace, Communication, Financial Tracking, and Capacity Building — each operating as a cohesive unit with well-defined interfaces for inter-module communication. This modular approach enables parallel development streams, targeted testing, and graceful degradation where the failure of one module does not cascade to others.</w:t>
      </w:r>
    </w:p>
    <w:p>
      <w:r>
        <w:t>At the architectural foundation sits a centralized data layer that persists user profiles, tender records, bid submissions, project states, chat messages, and financial transactions. A notification engine monitors state changes across modules and dispatches alerts through email and in-app channels. The matching engine, a specialized component within the Tender Discovery module, continuously evaluates profile-to-tender compatibility using skill-tag correlation algorithms.</w:t>
      </w:r>
    </w:p>
    <w:p>
      <w:pPr>
        <w:pStyle w:val="Heading2"/>
      </w:pPr>
      <w:r>
        <w:t>2.2 Core Design Principles</w:t>
      </w:r>
    </w:p>
    <w:p>
      <w:r>
        <w:t>The platform's design is anchored in five foundational principles that guide every architectural and UX decision. These principles ensure the system remains coherent, trustworthy, and aligned with user needs as it evolves beyond the MVP stage.</w:t>
      </w:r>
    </w:p>
    <w:p>
      <w:pPr>
        <w:numPr>
          <w:ilvl w:val="0"/>
          <w:numId w:val="1"/>
        </w:numPr>
      </w:pPr>
      <w:r>
        <w:rPr>
          <w:b/>
        </w:rPr>
        <w:t>Connectivity Over Complexity — </w:t>
      </w:r>
      <w:r>
        <w:t>The MVP deliberately avoids enterprise-grade ERP complexity in favor of meaningful connection. Users should spend minimal time learning the platform and maximum time engaging with relevant opportunities. Every feature is evaluated against this simplicity benchmark.</w:t>
      </w:r>
    </w:p>
    <w:p>
      <w:pPr>
        <w:numPr>
          <w:ilvl w:val="0"/>
          <w:numId w:val="1"/>
        </w:numPr>
      </w:pPr>
      <w:r>
        <w:rPr>
          <w:b/>
        </w:rPr>
        <w:t>Trust Through Verification — </w:t>
      </w:r>
      <w:r>
        <w:t>The KYC Lite module embeds identity verification into the onboarding flow. Document uploads, admin approval workflows, and profile completeness requirements create a trust layer that distinguishes the platform from unverified marketplaces.</w:t>
      </w:r>
    </w:p>
    <w:p>
      <w:pPr>
        <w:numPr>
          <w:ilvl w:val="0"/>
          <w:numId w:val="1"/>
        </w:numPr>
      </w:pPr>
      <w:r>
        <w:rPr>
          <w:b/>
        </w:rPr>
        <w:t>Transparency by Default — </w:t>
      </w:r>
      <w:r>
        <w:t>Bidding histories, payment logs, project milestones, and communication threads are all visible to authorized participants. This transparency reduces disputes, accelerates decision-making, and builds the institutional trust necessary for a functional tender marketplace.</w:t>
      </w:r>
    </w:p>
    <w:p>
      <w:pPr>
        <w:numPr>
          <w:ilvl w:val="0"/>
          <w:numId w:val="1"/>
        </w:numPr>
      </w:pPr>
      <w:r>
        <w:rPr>
          <w:b/>
        </w:rPr>
        <w:t>Contextual Communication — </w:t>
      </w:r>
      <w:r>
        <w:t>All platform communication is linked to specific tenders or projects. This context awareness eliminates the ambiguity of generic messaging and creates an auditable record of every negotiation, clarification, and agreement.</w:t>
      </w:r>
    </w:p>
    <w:p>
      <w:pPr>
        <w:numPr>
          <w:ilvl w:val="0"/>
          <w:numId w:val="1"/>
        </w:numPr>
      </w:pPr>
      <w:r>
        <w:rPr>
          <w:b/>
        </w:rPr>
        <w:t>Regulatory Pragmatism — </w:t>
      </w:r>
      <w:r>
        <w:t>The Non-Custodial Financial Tracking module deliberately avoids holding funds directly, sidestepping complex financial services regulations. Payment tracking and invoice generation provide value without regulatory exposure.</w:t>
      </w:r>
    </w:p>
    <w:p>
      <w:pPr>
        <w:pStyle w:val="Heading2"/>
      </w:pPr>
      <w:r>
        <w:t>2.3 Technology Stack</w:t>
      </w:r>
    </w:p>
    <w:tbl>
      <w:tblPr>
        <w:tblW w:w="5000" w:type="pct"/>
        <w:tblBorders>
          <w:top w:val="single" w:color="1a2a3a" w:sz="8"/>
          <w:bottom w:val="single" w:color="1a2a3a" w:sz="8"/>
          <w:insideH w:val="single" w:color="c8d0d8" w:sz="4"/>
        </w:tblBorders>
      </w:tblPr>
      <w:tblGrid>
        <w:gridCol w:w="3000"/>
        <w:gridCol w:w="3000"/>
        <w:gridCol w:w="3000"/>
      </w:tblGrid>
      <w:tr>
        <w:trPr>
          <w:tblHeader/>
        </w:trPr>
        <w:tc>
          <w:tcPr>
            <w:tcW w:w="3000" w:type="dxa"/>
            <w:shd w:val="clear" w:fill="eef1f4"/>
          </w:tcPr>
          <w:p>
            <w:pPr>
              <w:spacing w:before="60" w:after="60"/>
            </w:pPr>
            <w:r>
              <w:rPr>
                <w:b/>
                <w:color w:val="2a2a2a"/>
                <w:sz w:val="20"/>
              </w:rPr>
              <w:t>Layer</w:t>
            </w:r>
          </w:p>
        </w:tc>
        <w:tc>
          <w:tcPr>
            <w:tcW w:w="3000" w:type="dxa"/>
            <w:shd w:val="clear" w:fill="eef1f4"/>
          </w:tcPr>
          <w:p>
            <w:pPr>
              <w:spacing w:before="60" w:after="60"/>
            </w:pPr>
            <w:r>
              <w:rPr>
                <w:b/>
                <w:color w:val="2a2a2a"/>
                <w:sz w:val="20"/>
              </w:rPr>
              <w:t>Technology</w:t>
            </w:r>
          </w:p>
        </w:tc>
        <w:tc>
          <w:tcPr>
            <w:tcW w:w="3000" w:type="dxa"/>
            <w:shd w:val="clear" w:fill="eef1f4"/>
          </w:tcPr>
          <w:p>
            <w:pPr>
              <w:spacing w:before="60" w:after="60"/>
            </w:pPr>
            <w:r>
              <w:rPr>
                <w:b/>
                <w:color w:val="2a2a2a"/>
                <w:sz w:val="20"/>
              </w:rPr>
              <w:t>Purpose</w:t>
            </w:r>
          </w:p>
        </w:tc>
      </w:tr>
      <w:tr>
        <w:tc>
          <w:tcPr>
            <w:tcW w:w="3000" w:type="dxa"/>
          </w:tcPr>
          <w:p>
            <w:pPr>
              <w:spacing w:before="40" w:after="40"/>
            </w:pPr>
            <w:r>
              <w:rPr>
                <w:color w:val="4a4a4a"/>
                <w:sz w:val="20"/>
              </w:rPr>
              <w:t>Frontend</w:t>
            </w:r>
          </w:p>
        </w:tc>
        <w:tc>
          <w:tcPr>
            <w:tcW w:w="3000" w:type="dxa"/>
          </w:tcPr>
          <w:p>
            <w:pPr>
              <w:spacing w:before="40" w:after="40"/>
            </w:pPr>
            <w:r>
              <w:rPr>
                <w:color w:val="4a4a4a"/>
                <w:sz w:val="20"/>
              </w:rPr>
              <w:t>React / Next.js</w:t>
            </w:r>
          </w:p>
        </w:tc>
        <w:tc>
          <w:tcPr>
            <w:tcW w:w="3000" w:type="dxa"/>
          </w:tcPr>
          <w:p>
            <w:pPr>
              <w:spacing w:before="40" w:after="40"/>
            </w:pPr>
            <w:r>
              <w:rPr>
                <w:color w:val="4a4a4a"/>
                <w:sz w:val="20"/>
              </w:rPr>
              <w:t>Responsive web interface, SSR for SEO</w:t>
            </w:r>
          </w:p>
        </w:tc>
      </w:tr>
      <w:tr>
        <w:tc>
          <w:tcPr>
            <w:tcW w:w="3000" w:type="dxa"/>
          </w:tcPr>
          <w:p>
            <w:pPr>
              <w:spacing w:before="40" w:after="40"/>
            </w:pPr>
            <w:r>
              <w:rPr>
                <w:color w:val="4a4a4a"/>
                <w:sz w:val="20"/>
              </w:rPr>
              <w:t>Backend API</w:t>
            </w:r>
          </w:p>
        </w:tc>
        <w:tc>
          <w:tcPr>
            <w:tcW w:w="3000" w:type="dxa"/>
          </w:tcPr>
          <w:p>
            <w:pPr>
              <w:spacing w:before="40" w:after="40"/>
            </w:pPr>
            <w:r>
              <w:rPr>
                <w:color w:val="4a4a4a"/>
                <w:sz w:val="20"/>
              </w:rPr>
              <w:t>Node.js / Express</w:t>
            </w:r>
          </w:p>
        </w:tc>
        <w:tc>
          <w:tcPr>
            <w:tcW w:w="3000" w:type="dxa"/>
          </w:tcPr>
          <w:p>
            <w:pPr>
              <w:spacing w:before="40" w:after="40"/>
            </w:pPr>
            <w:r>
              <w:rPr>
                <w:color w:val="4a4a4a"/>
                <w:sz w:val="20"/>
              </w:rPr>
              <w:t>RESTful API endpoints, middleware</w:t>
            </w:r>
          </w:p>
        </w:tc>
      </w:tr>
      <w:tr>
        <w:tc>
          <w:tcPr>
            <w:tcW w:w="3000" w:type="dxa"/>
          </w:tcPr>
          <w:p>
            <w:pPr>
              <w:spacing w:before="40" w:after="40"/>
            </w:pPr>
            <w:r>
              <w:rPr>
                <w:color w:val="4a4a4a"/>
                <w:sz w:val="20"/>
              </w:rPr>
              <w:t>Database</w:t>
            </w:r>
          </w:p>
        </w:tc>
        <w:tc>
          <w:tcPr>
            <w:tcW w:w="3000" w:type="dxa"/>
          </w:tcPr>
          <w:p>
            <w:pPr>
              <w:spacing w:before="40" w:after="40"/>
            </w:pPr>
            <w:r>
              <w:rPr>
                <w:color w:val="4a4a4a"/>
                <w:sz w:val="20"/>
              </w:rPr>
              <w:t>PostgreSQL</w:t>
            </w:r>
          </w:p>
        </w:tc>
        <w:tc>
          <w:tcPr>
            <w:tcW w:w="3000" w:type="dxa"/>
          </w:tcPr>
          <w:p>
            <w:pPr>
              <w:spacing w:before="40" w:after="40"/>
            </w:pPr>
            <w:r>
              <w:rPr>
                <w:color w:val="4a4a4a"/>
                <w:sz w:val="20"/>
              </w:rPr>
              <w:t>Relational data persistence, ACID transactions</w:t>
            </w:r>
          </w:p>
        </w:tc>
      </w:tr>
      <w:tr>
        <w:tc>
          <w:tcPr>
            <w:tcW w:w="3000" w:type="dxa"/>
          </w:tcPr>
          <w:p>
            <w:pPr>
              <w:spacing w:before="40" w:after="40"/>
            </w:pPr>
            <w:r>
              <w:rPr>
                <w:color w:val="4a4a4a"/>
                <w:sz w:val="20"/>
              </w:rPr>
              <w:t>Cache</w:t>
            </w:r>
          </w:p>
        </w:tc>
        <w:tc>
          <w:tcPr>
            <w:tcW w:w="3000" w:type="dxa"/>
          </w:tcPr>
          <w:p>
            <w:pPr>
              <w:spacing w:before="40" w:after="40"/>
            </w:pPr>
            <w:r>
              <w:rPr>
                <w:color w:val="4a4a4a"/>
                <w:sz w:val="20"/>
              </w:rPr>
              <w:t>Redis</w:t>
            </w:r>
          </w:p>
        </w:tc>
        <w:tc>
          <w:tcPr>
            <w:tcW w:w="3000" w:type="dxa"/>
          </w:tcPr>
          <w:p>
            <w:pPr>
              <w:spacing w:before="40" w:after="40"/>
            </w:pPr>
            <w:r>
              <w:rPr>
                <w:color w:val="4a4a4a"/>
                <w:sz w:val="20"/>
              </w:rPr>
              <w:t>Session management, rate limiting, matching cache</w:t>
            </w:r>
          </w:p>
        </w:tc>
      </w:tr>
      <w:tr>
        <w:tc>
          <w:tcPr>
            <w:tcW w:w="3000" w:type="dxa"/>
          </w:tcPr>
          <w:p>
            <w:pPr>
              <w:spacing w:before="40" w:after="40"/>
            </w:pPr>
            <w:r>
              <w:rPr>
                <w:color w:val="4a4a4a"/>
                <w:sz w:val="20"/>
              </w:rPr>
              <w:t>Queue</w:t>
            </w:r>
          </w:p>
        </w:tc>
        <w:tc>
          <w:tcPr>
            <w:tcW w:w="3000" w:type="dxa"/>
          </w:tcPr>
          <w:p>
            <w:pPr>
              <w:spacing w:before="40" w:after="40"/>
            </w:pPr>
            <w:r>
              <w:rPr>
                <w:color w:val="4a4a4a"/>
                <w:sz w:val="20"/>
              </w:rPr>
              <w:t>Bull / Redis</w:t>
            </w:r>
          </w:p>
        </w:tc>
        <w:tc>
          <w:tcPr>
            <w:tcW w:w="3000" w:type="dxa"/>
          </w:tcPr>
          <w:p>
            <w:pPr>
              <w:spacing w:before="40" w:after="40"/>
            </w:pPr>
            <w:r>
              <w:rPr>
                <w:color w:val="4a4a4a"/>
                <w:sz w:val="20"/>
              </w:rPr>
              <w:t>Email dispatch, notification processing</w:t>
            </w:r>
          </w:p>
        </w:tc>
      </w:tr>
      <w:tr>
        <w:tc>
          <w:tcPr>
            <w:tcW w:w="3000" w:type="dxa"/>
          </w:tcPr>
          <w:p>
            <w:pPr>
              <w:spacing w:before="40" w:after="40"/>
            </w:pPr>
            <w:r>
              <w:rPr>
                <w:color w:val="4a4a4a"/>
                <w:sz w:val="20"/>
              </w:rPr>
              <w:t>Storage</w:t>
            </w:r>
          </w:p>
        </w:tc>
        <w:tc>
          <w:tcPr>
            <w:tcW w:w="3000" w:type="dxa"/>
          </w:tcPr>
          <w:p>
            <w:pPr>
              <w:spacing w:before="40" w:after="40"/>
            </w:pPr>
            <w:r>
              <w:rPr>
                <w:color w:val="4a4a4a"/>
                <w:sz w:val="20"/>
              </w:rPr>
              <w:t>AWS S3 / MinIO</w:t>
            </w:r>
          </w:p>
        </w:tc>
        <w:tc>
          <w:tcPr>
            <w:tcW w:w="3000" w:type="dxa"/>
          </w:tcPr>
          <w:p>
            <w:pPr>
              <w:spacing w:before="40" w:after="40"/>
            </w:pPr>
            <w:r>
              <w:rPr>
                <w:color w:val="4a4a4a"/>
                <w:sz w:val="20"/>
              </w:rPr>
              <w:t>Document vault, attachments, invoice PDFs</w:t>
            </w:r>
          </w:p>
        </w:tc>
      </w:tr>
      <w:tr>
        <w:tc>
          <w:tcPr>
            <w:tcW w:w="3000" w:type="dxa"/>
          </w:tcPr>
          <w:p>
            <w:pPr>
              <w:spacing w:before="40" w:after="40"/>
            </w:pPr>
            <w:r>
              <w:rPr>
                <w:color w:val="4a4a4a"/>
                <w:sz w:val="20"/>
              </w:rPr>
              <w:t>Auth</w:t>
            </w:r>
          </w:p>
        </w:tc>
        <w:tc>
          <w:tcPr>
            <w:tcW w:w="3000" w:type="dxa"/>
          </w:tcPr>
          <w:p>
            <w:pPr>
              <w:spacing w:before="40" w:after="40"/>
            </w:pPr>
            <w:r>
              <w:rPr>
                <w:color w:val="4a4a4a"/>
                <w:sz w:val="20"/>
              </w:rPr>
              <w:t>JWT + Bcrypt</w:t>
            </w:r>
          </w:p>
        </w:tc>
        <w:tc>
          <w:tcPr>
            <w:tcW w:w="3000" w:type="dxa"/>
          </w:tcPr>
          <w:p>
            <w:pPr>
              <w:spacing w:before="40" w:after="40"/>
            </w:pPr>
            <w:r>
              <w:rPr>
                <w:color w:val="4a4a4a"/>
                <w:sz w:val="20"/>
              </w:rPr>
              <w:t>Token-based authentication, password hashing</w:t>
            </w:r>
          </w:p>
        </w:tc>
      </w:tr>
      <w:tr>
        <w:tc>
          <w:tcPr>
            <w:tcW w:w="3000" w:type="dxa"/>
          </w:tcPr>
          <w:p>
            <w:pPr>
              <w:spacing w:before="40" w:after="40"/>
            </w:pPr>
            <w:r>
              <w:rPr>
                <w:color w:val="4a4a4a"/>
                <w:sz w:val="20"/>
              </w:rPr>
              <w:t>Email</w:t>
            </w:r>
          </w:p>
        </w:tc>
        <w:tc>
          <w:tcPr>
            <w:tcW w:w="3000" w:type="dxa"/>
          </w:tcPr>
          <w:p>
            <w:pPr>
              <w:spacing w:before="40" w:after="40"/>
            </w:pPr>
            <w:r>
              <w:rPr>
                <w:color w:val="4a4a4a"/>
                <w:sz w:val="20"/>
              </w:rPr>
              <w:t>SendGrid / SES</w:t>
            </w:r>
          </w:p>
        </w:tc>
        <w:tc>
          <w:tcPr>
            <w:tcW w:w="3000" w:type="dxa"/>
          </w:tcPr>
          <w:p>
            <w:pPr>
              <w:spacing w:before="40" w:after="40"/>
            </w:pPr>
            <w:r>
              <w:rPr>
                <w:color w:val="4a4a4a"/>
                <w:sz w:val="20"/>
              </w:rPr>
              <w:t>Transactional emails, tender alerts, reminders</w:t>
            </w:r>
          </w:p>
        </w:tc>
      </w:tr>
    </w:tbl>
    <w:p>
      <w:pPr>
        <w:pStyle w:val="Heading1"/>
      </w:pPr>
      <w:r>
        <w:t>3. User Roles &amp; Access Control</w:t>
      </w:r>
      <w:bookmarkStart w:name="_Toc003" w:id="3"/>
      <w:bookmarkEnd w:id="3"/>
    </w:p>
    <w:p>
      <w:r>
        <w:t>Access control within the Tender Ecosystem is role-based, with three primary roles that define what users can see, create, modify, and delete. The permission model is designed to be intuitive — a contractor should never accidentally access admin functions, and sensitive financial records should only be visible to directly involved parties.</w:t>
      </w:r>
    </w:p>
    <w:p>
      <w:pPr>
        <w:pStyle w:val="Heading2"/>
      </w:pPr>
      <w:r>
        <w:t>3.1 Administrator (Platform Owner)</w:t>
      </w:r>
    </w:p>
    <w:p>
      <w:r>
        <w:t>The Administrator role represents the highest level of platform access, held by the operational team that manages the Afomiya ecosystem. Administrators bear responsibility for maintaining platform integrity, verifying user credentials, managing tender content, and resolving disputes that arise between participants.</w:t>
      </w:r>
    </w:p>
    <w:p>
      <w:r>
        <w:t>Administrators have full access to all dashboards and can view, edit, or remove any data within the system. They review document vault submissions — business licenses, tax clearance certificates, portfolio work — and approve or reject verification requests. Only after admin approval can a contractor submit bids, creating a quality gate that elevates the platform's trustworthiness. Admins also possess the authority to ban users, remove fraudulent tenders, and access financial records for dispute resolution.</w:t>
      </w:r>
    </w:p>
    <w:p>
      <w:pPr>
        <w:pStyle w:val="Heading2"/>
      </w:pPr>
      <w:r>
        <w:t>3.2 Contractor / Supplier (Service Provider)</w:t>
      </w:r>
    </w:p>
    <w:p>
      <w:r>
        <w:t>The Contractor/Supplier role serves the largest user population — individual professionals, construction firms, IT consultancies, suppliers, and service companies seeking project opportunities. After completing profile setup and receiving document approval, contractors gain access to the full tender discovery and bidding pipeline.</w:t>
      </w:r>
    </w:p>
    <w:p>
      <w:r>
        <w:t>Contractors can edit their own profiles, browse recommended tenders matched to their skill tags, submit detailed bids, participate in project workspaces after winning contracts, exchange contextual messages with admins, and download branded PDF invoices generated from payment logs. Their visibility is scoped to their own data — they cannot view other contractors' bids, financial details, or private communications.</w:t>
      </w:r>
    </w:p>
    <w:p>
      <w:pPr>
        <w:pStyle w:val="Heading2"/>
      </w:pPr>
      <w:r>
        <w:t>3.3 Tender Owner (Client / Company)</w:t>
      </w:r>
    </w:p>
    <w:p>
      <w:r>
        <w:t>The Tender Owner represents the demand side of the marketplace — organizations or individuals posting projects and seeking qualified service providers. In the MVP phase, this role may be functionally merged with the Administrator to streamline development, though the logical separation is preserved for future expansion.</w:t>
      </w:r>
    </w:p>
    <w:p>
      <w:r>
        <w:t>Tender Owners can publish detailed tender requirements, review submitted bids with full visibility into bidder profiles, accept or reject proposals, and mark project milestones as complete. They drive the procurement workflow from requirement definition through final project acceptance. Post-MVP, dedicated Tender Owner dashboards with analytics, supplier performance tracking, and contract templates will be developed.</w:t>
      </w:r>
    </w:p>
    <w:p>
      <w:pPr>
        <w:pStyle w:val="Heading2"/>
      </w:pPr>
      <w:r>
        <w:t>3.4 Permission Matrix</w:t>
      </w:r>
    </w:p>
    <w:tbl>
      <w:tblPr>
        <w:tblW w:w="5000" w:type="pct"/>
        <w:tblBorders>
          <w:top w:val="single" w:color="1a2a3a" w:sz="8"/>
          <w:left w:val="single" w:color="c8d0d8" w:sz="4"/>
          <w:bottom w:val="single" w:color="1a2a3a" w:sz="8"/>
          <w:right w:val="single" w:color="c8d0d8" w:sz="4"/>
          <w:insideH w:val="single" w:color="c8d0d8" w:sz="4"/>
          <w:insideV w:val="single" w:color="c8d0d8" w:sz="4"/>
        </w:tblBorders>
      </w:tblPr>
      <w:tblGrid>
        <w:gridCol w:w="2250"/>
        <w:gridCol w:w="2250"/>
        <w:gridCol w:w="2250"/>
        <w:gridCol w:w="2250"/>
      </w:tblGrid>
      <w:tr>
        <w:trPr>
          <w:tblHeader/>
        </w:trPr>
        <w:tc>
          <w:tcPr>
            <w:tcW w:w="2250" w:type="dxa"/>
            <w:shd w:val="clear" w:fill="eef1f4"/>
          </w:tcPr>
          <w:p>
            <w:pPr>
              <w:spacing w:before="60" w:after="60"/>
            </w:pPr>
            <w:r>
              <w:rPr>
                <w:b/>
                <w:color w:val="2a2a2a"/>
                <w:sz w:val="20"/>
              </w:rPr>
              <w:t>Capability</w:t>
            </w:r>
          </w:p>
        </w:tc>
        <w:tc>
          <w:tcPr>
            <w:tcW w:w="2250" w:type="dxa"/>
            <w:shd w:val="clear" w:fill="eef1f4"/>
          </w:tcPr>
          <w:p>
            <w:pPr>
              <w:spacing w:before="60" w:after="60"/>
            </w:pPr>
            <w:r>
              <w:rPr>
                <w:b/>
                <w:color w:val="2a2a2a"/>
                <w:sz w:val="20"/>
              </w:rPr>
              <w:t>Administrator</w:t>
            </w:r>
          </w:p>
        </w:tc>
        <w:tc>
          <w:tcPr>
            <w:tcW w:w="2250" w:type="dxa"/>
            <w:shd w:val="clear" w:fill="eef1f4"/>
          </w:tcPr>
          <w:p>
            <w:pPr>
              <w:spacing w:before="60" w:after="60"/>
            </w:pPr>
            <w:r>
              <w:rPr>
                <w:b/>
                <w:color w:val="2a2a2a"/>
                <w:sz w:val="20"/>
              </w:rPr>
              <w:t>Contractor</w:t>
            </w:r>
          </w:p>
        </w:tc>
        <w:tc>
          <w:tcPr>
            <w:tcW w:w="2250" w:type="dxa"/>
            <w:shd w:val="clear" w:fill="eef1f4"/>
          </w:tcPr>
          <w:p>
            <w:pPr>
              <w:spacing w:before="60" w:after="60"/>
            </w:pPr>
            <w:r>
              <w:rPr>
                <w:b/>
                <w:color w:val="2a2a2a"/>
                <w:sz w:val="20"/>
              </w:rPr>
              <w:t>Tender Owner</w:t>
            </w:r>
          </w:p>
        </w:tc>
      </w:tr>
      <w:tr>
        <w:tc>
          <w:tcPr>
            <w:tcW w:w="2250" w:type="dxa"/>
          </w:tcPr>
          <w:p>
            <w:pPr>
              <w:spacing w:before="40" w:after="40"/>
            </w:pPr>
            <w:r>
              <w:rPr>
                <w:color w:val="4a4a4a"/>
                <w:sz w:val="20"/>
              </w:rPr>
              <w:t>View all dashboards</w:t>
            </w:r>
          </w:p>
        </w:tc>
        <w:tc>
          <w:tcPr>
            <w:tcW w:w="2250" w:type="dxa"/>
          </w:tcPr>
          <w:p>
            <w:pPr>
              <w:spacing w:before="40" w:after="40"/>
            </w:pPr>
            <w:r>
              <w:rPr>
                <w:color w:val="4a4a4a"/>
                <w:sz w:val="20"/>
              </w:rPr>
              <w:t>Yes</w:t>
            </w:r>
          </w:p>
        </w:tc>
        <w:tc>
          <w:tcPr>
            <w:tcW w:w="2250" w:type="dxa"/>
          </w:tcPr>
          <w:p>
            <w:pPr>
              <w:spacing w:before="40" w:after="40"/>
            </w:pPr>
            <w:r>
              <w:rPr>
                <w:color w:val="4a4a4a"/>
                <w:sz w:val="20"/>
              </w:rPr>
              <w:t>Own only</w:t>
            </w:r>
          </w:p>
        </w:tc>
        <w:tc>
          <w:tcPr>
            <w:tcW w:w="2250" w:type="dxa"/>
          </w:tcPr>
          <w:p>
            <w:pPr>
              <w:spacing w:before="40" w:after="40"/>
            </w:pPr>
            <w:r>
              <w:rPr>
                <w:color w:val="4a4a4a"/>
                <w:sz w:val="20"/>
              </w:rPr>
              <w:t>Own only</w:t>
            </w:r>
          </w:p>
        </w:tc>
      </w:tr>
      <w:tr>
        <w:tc>
          <w:tcPr>
            <w:tcW w:w="2250" w:type="dxa"/>
          </w:tcPr>
          <w:p>
            <w:pPr>
              <w:spacing w:before="40" w:after="40"/>
            </w:pPr>
            <w:r>
              <w:rPr>
                <w:color w:val="4a4a4a"/>
                <w:sz w:val="20"/>
              </w:rPr>
              <w:t>Post / edit tenders</w:t>
            </w:r>
          </w:p>
        </w:tc>
        <w:tc>
          <w:tcPr>
            <w:tcW w:w="2250" w:type="dxa"/>
          </w:tcPr>
          <w:p>
            <w:pPr>
              <w:spacing w:before="40" w:after="40"/>
            </w:pPr>
            <w:r>
              <w:rPr>
                <w:color w:val="4a4a4a"/>
                <w:sz w:val="20"/>
              </w:rPr>
              <w:t>Yes</w:t>
            </w:r>
          </w:p>
        </w:tc>
        <w:tc>
          <w:tcPr>
            <w:tcW w:w="2250" w:type="dxa"/>
          </w:tcPr>
          <w:p>
            <w:pPr>
              <w:spacing w:before="40" w:after="40"/>
            </w:pPr>
            <w:r>
              <w:rPr>
                <w:color w:val="4a4a4a"/>
                <w:sz w:val="20"/>
              </w:rPr>
              <w:t>No</w:t>
            </w:r>
          </w:p>
        </w:tc>
        <w:tc>
          <w:tcPr>
            <w:tcW w:w="2250" w:type="dxa"/>
          </w:tcPr>
          <w:p>
            <w:pPr>
              <w:spacing w:before="40" w:after="40"/>
            </w:pPr>
            <w:r>
              <w:rPr>
                <w:color w:val="4a4a4a"/>
                <w:sz w:val="20"/>
              </w:rPr>
              <w:t>Yes</w:t>
            </w:r>
          </w:p>
        </w:tc>
      </w:tr>
      <w:tr>
        <w:tc>
          <w:tcPr>
            <w:tcW w:w="2250" w:type="dxa"/>
          </w:tcPr>
          <w:p>
            <w:pPr>
              <w:spacing w:before="40" w:after="40"/>
            </w:pPr>
            <w:r>
              <w:rPr>
                <w:color w:val="4a4a4a"/>
                <w:sz w:val="20"/>
              </w:rPr>
              <w:t>Submit bids</w:t>
            </w:r>
          </w:p>
        </w:tc>
        <w:tc>
          <w:tcPr>
            <w:tcW w:w="2250" w:type="dxa"/>
          </w:tcPr>
          <w:p>
            <w:pPr>
              <w:spacing w:before="40" w:after="40"/>
            </w:pPr>
            <w:r>
              <w:rPr>
                <w:color w:val="4a4a4a"/>
                <w:sz w:val="20"/>
              </w:rPr>
              <w:t>No</w:t>
            </w:r>
          </w:p>
        </w:tc>
        <w:tc>
          <w:tcPr>
            <w:tcW w:w="2250" w:type="dxa"/>
          </w:tcPr>
          <w:p>
            <w:pPr>
              <w:spacing w:before="40" w:after="40"/>
            </w:pPr>
            <w:r>
              <w:rPr>
                <w:color w:val="4a4a4a"/>
                <w:sz w:val="20"/>
              </w:rPr>
              <w:t>Yes (if verified)</w:t>
            </w:r>
          </w:p>
        </w:tc>
        <w:tc>
          <w:tcPr>
            <w:tcW w:w="2250" w:type="dxa"/>
          </w:tcPr>
          <w:p>
            <w:pPr>
              <w:spacing w:before="40" w:after="40"/>
            </w:pPr>
            <w:r>
              <w:rPr>
                <w:color w:val="4a4a4a"/>
                <w:sz w:val="20"/>
              </w:rPr>
              <w:t>No</w:t>
            </w:r>
          </w:p>
        </w:tc>
      </w:tr>
      <w:tr>
        <w:tc>
          <w:tcPr>
            <w:tcW w:w="2250" w:type="dxa"/>
          </w:tcPr>
          <w:p>
            <w:pPr>
              <w:spacing w:before="40" w:after="40"/>
            </w:pPr>
            <w:r>
              <w:rPr>
                <w:color w:val="4a4a4a"/>
                <w:sz w:val="20"/>
              </w:rPr>
              <w:t>Review bids</w:t>
            </w:r>
          </w:p>
        </w:tc>
        <w:tc>
          <w:tcPr>
            <w:tcW w:w="2250" w:type="dxa"/>
          </w:tcPr>
          <w:p>
            <w:pPr>
              <w:spacing w:before="40" w:after="40"/>
            </w:pPr>
            <w:r>
              <w:rPr>
                <w:color w:val="4a4a4a"/>
                <w:sz w:val="20"/>
              </w:rPr>
              <w:t>Yes</w:t>
            </w:r>
          </w:p>
        </w:tc>
        <w:tc>
          <w:tcPr>
            <w:tcW w:w="2250" w:type="dxa"/>
          </w:tcPr>
          <w:p>
            <w:pPr>
              <w:spacing w:before="40" w:after="40"/>
            </w:pPr>
            <w:r>
              <w:rPr>
                <w:color w:val="4a4a4a"/>
                <w:sz w:val="20"/>
              </w:rPr>
              <w:t>Own only</w:t>
            </w:r>
          </w:p>
        </w:tc>
        <w:tc>
          <w:tcPr>
            <w:tcW w:w="2250" w:type="dxa"/>
          </w:tcPr>
          <w:p>
            <w:pPr>
              <w:spacing w:before="40" w:after="40"/>
            </w:pPr>
            <w:r>
              <w:rPr>
                <w:color w:val="4a4a4a"/>
                <w:sz w:val="20"/>
              </w:rPr>
              <w:t>Yes</w:t>
            </w:r>
          </w:p>
        </w:tc>
      </w:tr>
      <w:tr>
        <w:tc>
          <w:tcPr>
            <w:tcW w:w="2250" w:type="dxa"/>
          </w:tcPr>
          <w:p>
            <w:pPr>
              <w:spacing w:before="40" w:after="40"/>
            </w:pPr>
            <w:r>
              <w:rPr>
                <w:color w:val="4a4a4a"/>
                <w:sz w:val="20"/>
              </w:rPr>
              <w:t>Manage project workspace</w:t>
            </w:r>
          </w:p>
        </w:tc>
        <w:tc>
          <w:tcPr>
            <w:tcW w:w="2250" w:type="dxa"/>
          </w:tcPr>
          <w:p>
            <w:pPr>
              <w:spacing w:before="40" w:after="40"/>
            </w:pPr>
            <w:r>
              <w:rPr>
                <w:color w:val="4a4a4a"/>
                <w:sz w:val="20"/>
              </w:rPr>
              <w:t>Yes</w:t>
            </w:r>
          </w:p>
        </w:tc>
        <w:tc>
          <w:tcPr>
            <w:tcW w:w="2250" w:type="dxa"/>
          </w:tcPr>
          <w:p>
            <w:pPr>
              <w:spacing w:before="40" w:after="40"/>
            </w:pPr>
            <w:r>
              <w:rPr>
                <w:color w:val="4a4a4a"/>
                <w:sz w:val="20"/>
              </w:rPr>
              <w:t>Yes (awarded)</w:t>
            </w:r>
          </w:p>
        </w:tc>
        <w:tc>
          <w:tcPr>
            <w:tcW w:w="2250" w:type="dxa"/>
          </w:tcPr>
          <w:p>
            <w:pPr>
              <w:spacing w:before="40" w:after="40"/>
            </w:pPr>
            <w:r>
              <w:rPr>
                <w:color w:val="4a4a4a"/>
                <w:sz w:val="20"/>
              </w:rPr>
              <w:t>Yes</w:t>
            </w:r>
          </w:p>
        </w:tc>
      </w:tr>
      <w:tr>
        <w:tc>
          <w:tcPr>
            <w:tcW w:w="2250" w:type="dxa"/>
          </w:tcPr>
          <w:p>
            <w:pPr>
              <w:spacing w:before="40" w:after="40"/>
            </w:pPr>
            <w:r>
              <w:rPr>
                <w:color w:val="4a4a4a"/>
                <w:sz w:val="20"/>
              </w:rPr>
              <w:t>Send contextual chat</w:t>
            </w:r>
          </w:p>
        </w:tc>
        <w:tc>
          <w:tcPr>
            <w:tcW w:w="2250" w:type="dxa"/>
          </w:tcPr>
          <w:p>
            <w:pPr>
              <w:spacing w:before="40" w:after="40"/>
            </w:pPr>
            <w:r>
              <w:rPr>
                <w:color w:val="4a4a4a"/>
                <w:sz w:val="20"/>
              </w:rPr>
              <w:t>Yes</w:t>
            </w:r>
          </w:p>
        </w:tc>
        <w:tc>
          <w:tcPr>
            <w:tcW w:w="2250" w:type="dxa"/>
          </w:tcPr>
          <w:p>
            <w:pPr>
              <w:spacing w:before="40" w:after="40"/>
            </w:pPr>
            <w:r>
              <w:rPr>
                <w:color w:val="4a4a4a"/>
                <w:sz w:val="20"/>
              </w:rPr>
              <w:t>Yes</w:t>
            </w:r>
          </w:p>
        </w:tc>
        <w:tc>
          <w:tcPr>
            <w:tcW w:w="2250" w:type="dxa"/>
          </w:tcPr>
          <w:p>
            <w:pPr>
              <w:spacing w:before="40" w:after="40"/>
            </w:pPr>
            <w:r>
              <w:rPr>
                <w:color w:val="4a4a4a"/>
                <w:sz w:val="20"/>
              </w:rPr>
              <w:t>Yes</w:t>
            </w:r>
          </w:p>
        </w:tc>
      </w:tr>
      <w:tr>
        <w:tc>
          <w:tcPr>
            <w:tcW w:w="2250" w:type="dxa"/>
          </w:tcPr>
          <w:p>
            <w:pPr>
              <w:spacing w:before="40" w:after="40"/>
            </w:pPr>
            <w:r>
              <w:rPr>
                <w:color w:val="4a4a4a"/>
                <w:sz w:val="20"/>
              </w:rPr>
              <w:t>Log payments</w:t>
            </w:r>
          </w:p>
        </w:tc>
        <w:tc>
          <w:tcPr>
            <w:tcW w:w="2250" w:type="dxa"/>
          </w:tcPr>
          <w:p>
            <w:pPr>
              <w:spacing w:before="40" w:after="40"/>
            </w:pPr>
            <w:r>
              <w:rPr>
                <w:color w:val="4a4a4a"/>
                <w:sz w:val="20"/>
              </w:rPr>
              <w:t>Yes</w:t>
            </w:r>
          </w:p>
        </w:tc>
        <w:tc>
          <w:tcPr>
            <w:tcW w:w="2250" w:type="dxa"/>
          </w:tcPr>
          <w:p>
            <w:pPr>
              <w:spacing w:before="40" w:after="40"/>
            </w:pPr>
            <w:r>
              <w:rPr>
                <w:color w:val="4a4a4a"/>
                <w:sz w:val="20"/>
              </w:rPr>
              <w:t>View only</w:t>
            </w:r>
          </w:p>
        </w:tc>
        <w:tc>
          <w:tcPr>
            <w:tcW w:w="2250" w:type="dxa"/>
          </w:tcPr>
          <w:p>
            <w:pPr>
              <w:spacing w:before="40" w:after="40"/>
            </w:pPr>
            <w:r>
              <w:rPr>
                <w:color w:val="4a4a4a"/>
                <w:sz w:val="20"/>
              </w:rPr>
              <w:t>Yes</w:t>
            </w:r>
          </w:p>
        </w:tc>
      </w:tr>
      <w:tr>
        <w:tc>
          <w:tcPr>
            <w:tcW w:w="2250" w:type="dxa"/>
          </w:tcPr>
          <w:p>
            <w:pPr>
              <w:spacing w:before="40" w:after="40"/>
            </w:pPr>
            <w:r>
              <w:rPr>
                <w:color w:val="4a4a4a"/>
                <w:sz w:val="20"/>
              </w:rPr>
              <w:t>Generate invoices</w:t>
            </w:r>
          </w:p>
        </w:tc>
        <w:tc>
          <w:tcPr>
            <w:tcW w:w="2250" w:type="dxa"/>
          </w:tcPr>
          <w:p>
            <w:pPr>
              <w:spacing w:before="40" w:after="40"/>
            </w:pPr>
            <w:r>
              <w:rPr>
                <w:color w:val="4a4a4a"/>
                <w:sz w:val="20"/>
              </w:rPr>
              <w:t>Yes</w:t>
            </w:r>
          </w:p>
        </w:tc>
        <w:tc>
          <w:tcPr>
            <w:tcW w:w="2250" w:type="dxa"/>
          </w:tcPr>
          <w:p>
            <w:pPr>
              <w:spacing w:before="40" w:after="40"/>
            </w:pPr>
            <w:r>
              <w:rPr>
                <w:color w:val="4a4a4a"/>
                <w:sz w:val="20"/>
              </w:rPr>
              <w:t>Yes (own)</w:t>
            </w:r>
          </w:p>
        </w:tc>
        <w:tc>
          <w:tcPr>
            <w:tcW w:w="2250" w:type="dxa"/>
          </w:tcPr>
          <w:p>
            <w:pPr>
              <w:spacing w:before="40" w:after="40"/>
            </w:pPr>
            <w:r>
              <w:rPr>
                <w:color w:val="4a4a4a"/>
                <w:sz w:val="20"/>
              </w:rPr>
              <w:t>No</w:t>
            </w:r>
          </w:p>
        </w:tc>
      </w:tr>
      <w:tr>
        <w:tc>
          <w:tcPr>
            <w:tcW w:w="2250" w:type="dxa"/>
          </w:tcPr>
          <w:p>
            <w:pPr>
              <w:spacing w:before="40" w:after="40"/>
            </w:pPr>
            <w:r>
              <w:rPr>
                <w:color w:val="4a4a4a"/>
                <w:sz w:val="20"/>
              </w:rPr>
              <w:t>Verify documents</w:t>
            </w:r>
          </w:p>
        </w:tc>
        <w:tc>
          <w:tcPr>
            <w:tcW w:w="2250" w:type="dxa"/>
          </w:tcPr>
          <w:p>
            <w:pPr>
              <w:spacing w:before="40" w:after="40"/>
            </w:pPr>
            <w:r>
              <w:rPr>
                <w:color w:val="4a4a4a"/>
                <w:sz w:val="20"/>
              </w:rPr>
              <w:t>Yes</w:t>
            </w:r>
          </w:p>
        </w:tc>
        <w:tc>
          <w:tcPr>
            <w:tcW w:w="2250" w:type="dxa"/>
          </w:tcPr>
          <w:p>
            <w:pPr>
              <w:spacing w:before="40" w:after="40"/>
            </w:pPr>
            <w:r>
              <w:rPr>
                <w:color w:val="4a4a4a"/>
                <w:sz w:val="20"/>
              </w:rPr>
              <w:t>No</w:t>
            </w:r>
          </w:p>
        </w:tc>
        <w:tc>
          <w:tcPr>
            <w:tcW w:w="2250" w:type="dxa"/>
          </w:tcPr>
          <w:p>
            <w:pPr>
              <w:spacing w:before="40" w:after="40"/>
            </w:pPr>
            <w:r>
              <w:rPr>
                <w:color w:val="4a4a4a"/>
                <w:sz w:val="20"/>
              </w:rPr>
              <w:t>No</w:t>
            </w:r>
          </w:p>
        </w:tc>
      </w:tr>
      <w:tr>
        <w:tc>
          <w:tcPr>
            <w:tcW w:w="2250" w:type="dxa"/>
          </w:tcPr>
          <w:p>
            <w:pPr>
              <w:spacing w:before="40" w:after="40"/>
            </w:pPr>
            <w:r>
              <w:rPr>
                <w:color w:val="4a4a4a"/>
                <w:sz w:val="20"/>
              </w:rPr>
              <w:t>Ban / suspend users</w:t>
            </w:r>
          </w:p>
        </w:tc>
        <w:tc>
          <w:tcPr>
            <w:tcW w:w="2250" w:type="dxa"/>
          </w:tcPr>
          <w:p>
            <w:pPr>
              <w:spacing w:before="40" w:after="40"/>
            </w:pPr>
            <w:r>
              <w:rPr>
                <w:color w:val="4a4a4a"/>
                <w:sz w:val="20"/>
              </w:rPr>
              <w:t>Yes</w:t>
            </w:r>
          </w:p>
        </w:tc>
        <w:tc>
          <w:tcPr>
            <w:tcW w:w="2250" w:type="dxa"/>
          </w:tcPr>
          <w:p>
            <w:pPr>
              <w:spacing w:before="40" w:after="40"/>
            </w:pPr>
            <w:r>
              <w:rPr>
                <w:color w:val="4a4a4a"/>
                <w:sz w:val="20"/>
              </w:rPr>
              <w:t>No</w:t>
            </w:r>
          </w:p>
        </w:tc>
        <w:tc>
          <w:tcPr>
            <w:tcW w:w="2250" w:type="dxa"/>
          </w:tcPr>
          <w:p>
            <w:pPr>
              <w:spacing w:before="40" w:after="40"/>
            </w:pPr>
            <w:r>
              <w:rPr>
                <w:color w:val="4a4a4a"/>
                <w:sz w:val="20"/>
              </w:rPr>
              <w:t>No</w:t>
            </w:r>
          </w:p>
        </w:tc>
      </w:tr>
    </w:tbl>
    <w:p>
      <w:pPr>
        <w:pStyle w:val="Heading1"/>
      </w:pPr>
      <w:r>
        <w:t>4. Module 1: Identity &amp; Profile Management (KYC Lite)</w:t>
      </w:r>
      <w:bookmarkStart w:name="_Toc004" w:id="4"/>
      <w:bookmarkEnd w:id="4"/>
    </w:p>
    <w:p>
      <w:r>
        <w:t>Trust forms the currency of any tender marketplace. The Identity and Profile Management module — referred to internally as KYC Lite — establishes this trust foundation by ensuring every participant is who they claim to be, qualified for the work they pursue, and reachable throughout the engagement lifecycle. The "Lite" designation reflects the MVP's pragmatic approach: sufficient verification to deter bad actors without the bureaucratic overhead that would discourage legitimate users from completing registration.</w:t>
      </w:r>
    </w:p>
    <w:p>
      <w:pPr>
        <w:pStyle w:val="Heading2"/>
      </w:pPr>
      <w:r>
        <w:t>4.1 Authentication</w:t>
      </w:r>
    </w:p>
    <w:p>
      <w:r>
        <w:t>The authentication system provides secure email-and-password login with mandatory email verification. Upon registration, users receive a verification link that must be activated before profile access is granted. Passwords are hashed using bcrypt with a minimum complexity requirement: at least 8 characters including uppercase, lowercase, numeric, and special characters.</w:t>
      </w:r>
    </w:p>
    <w:p>
      <w:r>
        <w:t>Social login integration (Google, LinkedIn) is planned as a post-MVP enhancement to reduce friction during onboarding. The authentication layer generates JWT tokens with appropriate expiry windows, implements refresh token rotation for security, and provides password reset flows via time-limited, single-use tokens sent to verified email addresses.</w:t>
      </w:r>
    </w:p>
    <w:p>
      <w:pPr>
        <w:pStyle w:val="Heading2"/>
      </w:pPr>
      <w:r>
        <w:t>4.2 Profile Completion</w:t>
      </w:r>
    </w:p>
    <w:p>
      <w:r>
        <w:t>The platform supports two profile archetypes, each with tailored field sets that capture the information most relevant to their tender marketplace participation. Profile completeness directly impacts matching quality — users with detailed profiles receive more accurate tender recommendations.</w:t>
      </w:r>
    </w:p>
    <w:tbl>
      <w:tblPr>
        <w:tblW w:w="5000" w:type="pct"/>
        <w:tblBorders>
          <w:top w:val="single" w:color="1a2a3a" w:sz="8"/>
          <w:bottom w:val="single" w:color="1a2a3a" w:sz="8"/>
          <w:insideH w:val="single" w:color="c8d0d8" w:sz="4"/>
        </w:tblBorders>
      </w:tblPr>
      <w:tblGrid>
        <w:gridCol w:w="2250"/>
        <w:gridCol w:w="2250"/>
        <w:gridCol w:w="2250"/>
        <w:gridCol w:w="2250"/>
      </w:tblGrid>
      <w:tr>
        <w:trPr>
          <w:tblHeader/>
        </w:trPr>
        <w:tc>
          <w:tcPr>
            <w:tcW w:w="2250" w:type="dxa"/>
            <w:shd w:val="clear" w:fill="eef1f4"/>
          </w:tcPr>
          <w:p>
            <w:pPr>
              <w:spacing w:before="60" w:after="60"/>
            </w:pPr>
            <w:r>
              <w:rPr>
                <w:b/>
                <w:color w:val="2a2a2a"/>
                <w:sz w:val="20"/>
              </w:rPr>
              <w:t>Field</w:t>
            </w:r>
          </w:p>
        </w:tc>
        <w:tc>
          <w:tcPr>
            <w:tcW w:w="2250" w:type="dxa"/>
            <w:shd w:val="clear" w:fill="eef1f4"/>
          </w:tcPr>
          <w:p>
            <w:pPr>
              <w:spacing w:before="60" w:after="60"/>
            </w:pPr>
            <w:r>
              <w:rPr>
                <w:b/>
                <w:color w:val="2a2a2a"/>
                <w:sz w:val="20"/>
              </w:rPr>
              <w:t>Individual</w:t>
            </w:r>
          </w:p>
        </w:tc>
        <w:tc>
          <w:tcPr>
            <w:tcW w:w="2250" w:type="dxa"/>
            <w:shd w:val="clear" w:fill="eef1f4"/>
          </w:tcPr>
          <w:p>
            <w:pPr>
              <w:spacing w:before="60" w:after="60"/>
            </w:pPr>
            <w:r>
              <w:rPr>
                <w:b/>
                <w:color w:val="2a2a2a"/>
                <w:sz w:val="20"/>
              </w:rPr>
              <w:t>Company</w:t>
            </w:r>
          </w:p>
        </w:tc>
        <w:tc>
          <w:tcPr>
            <w:tcW w:w="2250" w:type="dxa"/>
            <w:shd w:val="clear" w:fill="eef1f4"/>
          </w:tcPr>
          <w:p>
            <w:pPr>
              <w:spacing w:before="60" w:after="60"/>
            </w:pPr>
            <w:r>
              <w:rPr>
                <w:b/>
                <w:color w:val="2a2a2a"/>
                <w:sz w:val="20"/>
              </w:rPr>
              <w:t>Required</w:t>
            </w:r>
          </w:p>
        </w:tc>
      </w:tr>
      <w:tr>
        <w:tc>
          <w:tcPr>
            <w:tcW w:w="2250" w:type="dxa"/>
          </w:tcPr>
          <w:p>
            <w:pPr>
              <w:spacing w:before="40" w:after="40"/>
            </w:pPr>
            <w:r>
              <w:rPr>
                <w:color w:val="4a4a4a"/>
                <w:sz w:val="20"/>
              </w:rPr>
              <w:t>Full Name / Company Name</w:t>
            </w:r>
          </w:p>
        </w:tc>
        <w:tc>
          <w:tcPr>
            <w:tcW w:w="2250" w:type="dxa"/>
          </w:tcPr>
          <w:p>
            <w:pPr>
              <w:spacing w:before="40" w:after="40"/>
            </w:pPr>
            <w:r>
              <w:rPr>
                <w:color w:val="4a4a4a"/>
                <w:sz w:val="20"/>
              </w:rPr>
              <w:t>Yes</w:t>
            </w:r>
          </w:p>
        </w:tc>
        <w:tc>
          <w:tcPr>
            <w:tcW w:w="2250" w:type="dxa"/>
          </w:tcPr>
          <w:p>
            <w:pPr>
              <w:spacing w:before="40" w:after="40"/>
            </w:pPr>
            <w:r>
              <w:rPr>
                <w:color w:val="4a4a4a"/>
                <w:sz w:val="20"/>
              </w:rPr>
              <w:t>Yes</w:t>
            </w:r>
          </w:p>
        </w:tc>
        <w:tc>
          <w:tcPr>
            <w:tcW w:w="2250" w:type="dxa"/>
          </w:tcPr>
          <w:p>
            <w:pPr>
              <w:spacing w:before="40" w:after="40"/>
            </w:pPr>
            <w:r>
              <w:rPr>
                <w:color w:val="4a4a4a"/>
                <w:sz w:val="20"/>
              </w:rPr>
              <w:t>Yes</w:t>
            </w:r>
          </w:p>
        </w:tc>
      </w:tr>
      <w:tr>
        <w:tc>
          <w:tcPr>
            <w:tcW w:w="2250" w:type="dxa"/>
          </w:tcPr>
          <w:p>
            <w:pPr>
              <w:spacing w:before="40" w:after="40"/>
            </w:pPr>
            <w:r>
              <w:rPr>
                <w:color w:val="4a4a4a"/>
                <w:sz w:val="20"/>
              </w:rPr>
              <w:t>Phone Number</w:t>
            </w:r>
          </w:p>
        </w:tc>
        <w:tc>
          <w:tcPr>
            <w:tcW w:w="2250" w:type="dxa"/>
          </w:tcPr>
          <w:p>
            <w:pPr>
              <w:spacing w:before="40" w:after="40"/>
            </w:pPr>
            <w:r>
              <w:rPr>
                <w:color w:val="4a4a4a"/>
                <w:sz w:val="20"/>
              </w:rPr>
              <w:t>Yes</w:t>
            </w:r>
          </w:p>
        </w:tc>
        <w:tc>
          <w:tcPr>
            <w:tcW w:w="2250" w:type="dxa"/>
          </w:tcPr>
          <w:p>
            <w:pPr>
              <w:spacing w:before="40" w:after="40"/>
            </w:pPr>
            <w:r>
              <w:rPr>
                <w:color w:val="4a4a4a"/>
                <w:sz w:val="20"/>
              </w:rPr>
              <w:t>Yes</w:t>
            </w:r>
          </w:p>
        </w:tc>
        <w:tc>
          <w:tcPr>
            <w:tcW w:w="2250" w:type="dxa"/>
          </w:tcPr>
          <w:p>
            <w:pPr>
              <w:spacing w:before="40" w:after="40"/>
            </w:pPr>
            <w:r>
              <w:rPr>
                <w:color w:val="4a4a4a"/>
                <w:sz w:val="20"/>
              </w:rPr>
              <w:t>Yes</w:t>
            </w:r>
          </w:p>
        </w:tc>
      </w:tr>
      <w:tr>
        <w:tc>
          <w:tcPr>
            <w:tcW w:w="2250" w:type="dxa"/>
          </w:tcPr>
          <w:p>
            <w:pPr>
              <w:spacing w:before="40" w:after="40"/>
            </w:pPr>
            <w:r>
              <w:rPr>
                <w:color w:val="4a4a4a"/>
                <w:sz w:val="20"/>
              </w:rPr>
              <w:t>Email Address</w:t>
            </w:r>
          </w:p>
        </w:tc>
        <w:tc>
          <w:tcPr>
            <w:tcW w:w="2250" w:type="dxa"/>
          </w:tcPr>
          <w:p>
            <w:pPr>
              <w:spacing w:before="40" w:after="40"/>
            </w:pPr>
            <w:r>
              <w:rPr>
                <w:color w:val="4a4a4a"/>
                <w:sz w:val="20"/>
              </w:rPr>
              <w:t>Yes</w:t>
            </w:r>
          </w:p>
        </w:tc>
        <w:tc>
          <w:tcPr>
            <w:tcW w:w="2250" w:type="dxa"/>
          </w:tcPr>
          <w:p>
            <w:pPr>
              <w:spacing w:before="40" w:after="40"/>
            </w:pPr>
            <w:r>
              <w:rPr>
                <w:color w:val="4a4a4a"/>
                <w:sz w:val="20"/>
              </w:rPr>
              <w:t>Yes</w:t>
            </w:r>
          </w:p>
        </w:tc>
        <w:tc>
          <w:tcPr>
            <w:tcW w:w="2250" w:type="dxa"/>
          </w:tcPr>
          <w:p>
            <w:pPr>
              <w:spacing w:before="40" w:after="40"/>
            </w:pPr>
            <w:r>
              <w:rPr>
                <w:color w:val="4a4a4a"/>
                <w:sz w:val="20"/>
              </w:rPr>
              <w:t>Yes</w:t>
            </w:r>
          </w:p>
        </w:tc>
      </w:tr>
      <w:tr>
        <w:tc>
          <w:tcPr>
            <w:tcW w:w="2250" w:type="dxa"/>
          </w:tcPr>
          <w:p>
            <w:pPr>
              <w:spacing w:before="40" w:after="40"/>
            </w:pPr>
            <w:r>
              <w:rPr>
                <w:color w:val="4a4a4a"/>
                <w:sz w:val="20"/>
              </w:rPr>
              <w:t>TIN Number</w:t>
            </w:r>
          </w:p>
        </w:tc>
        <w:tc>
          <w:tcPr>
            <w:tcW w:w="2250" w:type="dxa"/>
          </w:tcPr>
          <w:p>
            <w:pPr>
              <w:spacing w:before="40" w:after="40"/>
            </w:pPr>
            <w:r>
              <w:rPr>
                <w:color w:val="4a4a4a"/>
                <w:sz w:val="20"/>
              </w:rPr>
              <w:t>Optional</w:t>
            </w:r>
          </w:p>
        </w:tc>
        <w:tc>
          <w:tcPr>
            <w:tcW w:w="2250" w:type="dxa"/>
          </w:tcPr>
          <w:p>
            <w:pPr>
              <w:spacing w:before="40" w:after="40"/>
            </w:pPr>
            <w:r>
              <w:rPr>
                <w:color w:val="4a4a4a"/>
                <w:sz w:val="20"/>
              </w:rPr>
              <w:t>Yes</w:t>
            </w:r>
          </w:p>
        </w:tc>
        <w:tc>
          <w:tcPr>
            <w:tcW w:w="2250" w:type="dxa"/>
          </w:tcPr>
          <w:p>
            <w:pPr>
              <w:spacing w:before="40" w:after="40"/>
            </w:pPr>
            <w:r>
              <w:rPr>
                <w:color w:val="4a4a4a"/>
                <w:sz w:val="20"/>
              </w:rPr>
              <w:t>MVP Optional</w:t>
            </w:r>
          </w:p>
        </w:tc>
      </w:tr>
      <w:tr>
        <w:tc>
          <w:tcPr>
            <w:tcW w:w="2250" w:type="dxa"/>
          </w:tcPr>
          <w:p>
            <w:pPr>
              <w:spacing w:before="40" w:after="40"/>
            </w:pPr>
            <w:r>
              <w:rPr>
                <w:color w:val="4a4a4a"/>
                <w:sz w:val="20"/>
              </w:rPr>
              <w:t>Skill Tags / Category</w:t>
            </w:r>
          </w:p>
        </w:tc>
        <w:tc>
          <w:tcPr>
            <w:tcW w:w="2250" w:type="dxa"/>
          </w:tcPr>
          <w:p>
            <w:pPr>
              <w:spacing w:before="40" w:after="40"/>
            </w:pPr>
            <w:r>
              <w:rPr>
                <w:color w:val="4a4a4a"/>
                <w:sz w:val="20"/>
              </w:rPr>
              <w:t>Yes</w:t>
            </w:r>
          </w:p>
        </w:tc>
        <w:tc>
          <w:tcPr>
            <w:tcW w:w="2250" w:type="dxa"/>
          </w:tcPr>
          <w:p>
            <w:pPr>
              <w:spacing w:before="40" w:after="40"/>
            </w:pPr>
            <w:r>
              <w:rPr>
                <w:color w:val="4a4a4a"/>
                <w:sz w:val="20"/>
              </w:rPr>
              <w:t>Yes</w:t>
            </w:r>
          </w:p>
        </w:tc>
        <w:tc>
          <w:tcPr>
            <w:tcW w:w="2250" w:type="dxa"/>
          </w:tcPr>
          <w:p>
            <w:pPr>
              <w:spacing w:before="40" w:after="40"/>
            </w:pPr>
            <w:r>
              <w:rPr>
                <w:color w:val="4a4a4a"/>
                <w:sz w:val="20"/>
              </w:rPr>
              <w:t>Yes</w:t>
            </w:r>
          </w:p>
        </w:tc>
      </w:tr>
      <w:tr>
        <w:tc>
          <w:tcPr>
            <w:tcW w:w="2250" w:type="dxa"/>
          </w:tcPr>
          <w:p>
            <w:pPr>
              <w:spacing w:before="40" w:after="40"/>
            </w:pPr>
            <w:r>
              <w:rPr>
                <w:color w:val="4a4a4a"/>
                <w:sz w:val="20"/>
              </w:rPr>
              <w:t>Location / Address</w:t>
            </w:r>
          </w:p>
        </w:tc>
        <w:tc>
          <w:tcPr>
            <w:tcW w:w="2250" w:type="dxa"/>
          </w:tcPr>
          <w:p>
            <w:pPr>
              <w:spacing w:before="40" w:after="40"/>
            </w:pPr>
            <w:r>
              <w:rPr>
                <w:color w:val="4a4a4a"/>
                <w:sz w:val="20"/>
              </w:rPr>
              <w:t>Yes</w:t>
            </w:r>
          </w:p>
        </w:tc>
        <w:tc>
          <w:tcPr>
            <w:tcW w:w="2250" w:type="dxa"/>
          </w:tcPr>
          <w:p>
            <w:pPr>
              <w:spacing w:before="40" w:after="40"/>
            </w:pPr>
            <w:r>
              <w:rPr>
                <w:color w:val="4a4a4a"/>
                <w:sz w:val="20"/>
              </w:rPr>
              <w:t>Yes</w:t>
            </w:r>
          </w:p>
        </w:tc>
        <w:tc>
          <w:tcPr>
            <w:tcW w:w="2250" w:type="dxa"/>
          </w:tcPr>
          <w:p>
            <w:pPr>
              <w:spacing w:before="40" w:after="40"/>
            </w:pPr>
            <w:r>
              <w:rPr>
                <w:color w:val="4a4a4a"/>
                <w:sz w:val="20"/>
              </w:rPr>
              <w:t>Yes</w:t>
            </w:r>
          </w:p>
        </w:tc>
      </w:tr>
      <w:tr>
        <w:tc>
          <w:tcPr>
            <w:tcW w:w="2250" w:type="dxa"/>
          </w:tcPr>
          <w:p>
            <w:pPr>
              <w:spacing w:before="40" w:after="40"/>
            </w:pPr>
            <w:r>
              <w:rPr>
                <w:color w:val="4a4a4a"/>
                <w:sz w:val="20"/>
              </w:rPr>
              <w:t>License Number</w:t>
            </w:r>
          </w:p>
        </w:tc>
        <w:tc>
          <w:tcPr>
            <w:tcW w:w="2250" w:type="dxa"/>
          </w:tcPr>
          <w:p>
            <w:pPr>
              <w:spacing w:before="40" w:after="40"/>
            </w:pPr>
            <w:r>
              <w:rPr>
                <w:color w:val="4a4a4a"/>
                <w:sz w:val="20"/>
              </w:rPr>
              <w:t>No</w:t>
            </w:r>
          </w:p>
        </w:tc>
        <w:tc>
          <w:tcPr>
            <w:tcW w:w="2250" w:type="dxa"/>
          </w:tcPr>
          <w:p>
            <w:pPr>
              <w:spacing w:before="40" w:after="40"/>
            </w:pPr>
            <w:r>
              <w:rPr>
                <w:color w:val="4a4a4a"/>
                <w:sz w:val="20"/>
              </w:rPr>
              <w:t>Yes</w:t>
            </w:r>
          </w:p>
        </w:tc>
        <w:tc>
          <w:tcPr>
            <w:tcW w:w="2250" w:type="dxa"/>
          </w:tcPr>
          <w:p>
            <w:pPr>
              <w:spacing w:before="40" w:after="40"/>
            </w:pPr>
            <w:r>
              <w:rPr>
                <w:color w:val="4a4a4a"/>
                <w:sz w:val="20"/>
              </w:rPr>
              <w:t>Yes (Company)</w:t>
            </w:r>
          </w:p>
        </w:tc>
      </w:tr>
      <w:tr>
        <w:tc>
          <w:tcPr>
            <w:tcW w:w="2250" w:type="dxa"/>
          </w:tcPr>
          <w:p>
            <w:pPr>
              <w:spacing w:before="40" w:after="40"/>
            </w:pPr>
            <w:r>
              <w:rPr>
                <w:color w:val="4a4a4a"/>
                <w:sz w:val="20"/>
              </w:rPr>
              <w:t>Logo / Profile Photo</w:t>
            </w:r>
          </w:p>
        </w:tc>
        <w:tc>
          <w:tcPr>
            <w:tcW w:w="2250" w:type="dxa"/>
          </w:tcPr>
          <w:p>
            <w:pPr>
              <w:spacing w:before="40" w:after="40"/>
            </w:pPr>
            <w:r>
              <w:rPr>
                <w:color w:val="4a4a4a"/>
                <w:sz w:val="20"/>
              </w:rPr>
              <w:t>Optional</w:t>
            </w:r>
          </w:p>
        </w:tc>
        <w:tc>
          <w:tcPr>
            <w:tcW w:w="2250" w:type="dxa"/>
          </w:tcPr>
          <w:p>
            <w:pPr>
              <w:spacing w:before="40" w:after="40"/>
            </w:pPr>
            <w:r>
              <w:rPr>
                <w:color w:val="4a4a4a"/>
                <w:sz w:val="20"/>
              </w:rPr>
              <w:t>Yes</w:t>
            </w:r>
          </w:p>
        </w:tc>
        <w:tc>
          <w:tcPr>
            <w:tcW w:w="2250" w:type="dxa"/>
          </w:tcPr>
          <w:p>
            <w:pPr>
              <w:spacing w:before="40" w:after="40"/>
            </w:pPr>
            <w:r>
              <w:rPr>
                <w:color w:val="4a4a4a"/>
                <w:sz w:val="20"/>
              </w:rPr>
              <w:t>Company: Yes</w:t>
            </w:r>
          </w:p>
        </w:tc>
      </w:tr>
      <w:tr>
        <w:tc>
          <w:tcPr>
            <w:tcW w:w="2250" w:type="dxa"/>
          </w:tcPr>
          <w:p>
            <w:pPr>
              <w:spacing w:before="40" w:after="40"/>
            </w:pPr>
            <w:r>
              <w:rPr>
                <w:color w:val="4a4a4a"/>
                <w:sz w:val="20"/>
              </w:rPr>
              <w:t>Portfolio / Bio</w:t>
            </w:r>
          </w:p>
        </w:tc>
        <w:tc>
          <w:tcPr>
            <w:tcW w:w="2250" w:type="dxa"/>
          </w:tcPr>
          <w:p>
            <w:pPr>
              <w:spacing w:before="40" w:after="40"/>
            </w:pPr>
            <w:r>
              <w:rPr>
                <w:color w:val="4a4a4a"/>
                <w:sz w:val="20"/>
              </w:rPr>
              <w:t>Optional</w:t>
            </w:r>
          </w:p>
        </w:tc>
        <w:tc>
          <w:tcPr>
            <w:tcW w:w="2250" w:type="dxa"/>
          </w:tcPr>
          <w:p>
            <w:pPr>
              <w:spacing w:before="40" w:after="40"/>
            </w:pPr>
            <w:r>
              <w:rPr>
                <w:color w:val="4a4a4a"/>
                <w:sz w:val="20"/>
              </w:rPr>
              <w:t>Yes</w:t>
            </w:r>
          </w:p>
        </w:tc>
        <w:tc>
          <w:tcPr>
            <w:tcW w:w="2250" w:type="dxa"/>
          </w:tcPr>
          <w:p>
            <w:pPr>
              <w:spacing w:before="40" w:after="40"/>
            </w:pPr>
            <w:r>
              <w:rPr>
                <w:color w:val="4a4a4a"/>
                <w:sz w:val="20"/>
              </w:rPr>
              <w:t>No</w:t>
            </w:r>
          </w:p>
        </w:tc>
      </w:tr>
    </w:tbl>
    <w:p>
      <w:pPr>
        <w:pStyle w:val="Heading2"/>
      </w:pPr>
      <w:r>
        <w:t>4.3 Document Vault</w:t>
      </w:r>
    </w:p>
    <w:p>
      <w:r>
        <w:t>The Document Vault is a secure, encrypted storage area where users upload verification documents. Supported formats include PDF, JPEG, and PNG. Uploads undergo automated virus scanning before storage, and the system rejects executable or potentially dangerous file types. All stored files are encrypted at rest using AES-256.</w:t>
      </w:r>
    </w:p>
    <w:p>
      <w:r>
        <w:t>Each document submission enters a verification queue visible to Administrators. Admins review submissions and approve or reject with optional feedback. A user cannot submit bids until at least their core verification documents are approved. This creates a quality gate that protects tender owners from unverified bidders while giving legitimate contractors a trust badge that distinguishes their profiles.</w:t>
      </w:r>
    </w:p>
    <w:p>
      <w:pPr>
        <w:pStyle w:val="Heading2"/>
      </w:pPr>
      <w:r>
        <w:t>4.4 Dashboard</w:t>
      </w:r>
    </w:p>
    <w:p>
      <w:r>
        <w:t>Upon login, each user encounters a personalized dashboard that serves as their operational command center. The dashboard aggregates relevant information from across modules into a single, scannable view. For contractors, this includes counts of active bids, won projects, and recommended tenders with match scores. For administrators, system-wide statistics, pending verification queues, and recent platform activity are displayed.</w:t>
      </w:r>
    </w:p>
    <w:p>
      <w:pPr>
        <w:pStyle w:val="Heading1"/>
      </w:pPr>
      <w:r>
        <w:t>5. Module 2: Tender Discovery &amp; Smart Matching</w:t>
      </w:r>
      <w:bookmarkStart w:name="_Toc005" w:id="5"/>
      <w:bookmarkEnd w:id="5"/>
    </w:p>
    <w:p>
      <w:r>
        <w:t>Tender Discovery represents the platform's core value proposition. In a fragmented market where opportunities are scattered across word-of-mouth networks, newspaper advertisements, and closed industry circles, this module provides a single, searchable, intelligently filtered stream of relevant tenders. The Smart Matching engine reduces information overload by surfacing only those opportunities that align with a contractor's verified skills and preferences.</w:t>
      </w:r>
    </w:p>
    <w:p>
      <w:pPr>
        <w:pStyle w:val="Heading2"/>
      </w:pPr>
      <w:r>
        <w:t>5.1 Tender Creation</w:t>
      </w:r>
    </w:p>
    <w:p>
      <w:r>
        <w:t>Tender creation is initiated by Administrators (acting on behalf of Tender Owners in the MVP). The creation form captures comprehensive project specifications through a structured multi-field interface designed to produce consistent, complete tender listings.</w:t>
      </w:r>
    </w:p>
    <w:tbl>
      <w:tblPr>
        <w:tblW w:w="5000" w:type="pct"/>
        <w:tblBorders>
          <w:top w:val="single" w:color="1a2a3a" w:sz="8"/>
          <w:bottom w:val="single" w:color="1a2a3a" w:sz="8"/>
          <w:insideH w:val="single" w:color="c8d0d8" w:sz="4"/>
        </w:tblBorders>
      </w:tblPr>
      <w:tblGrid>
        <w:gridCol w:w="3000"/>
        <w:gridCol w:w="3000"/>
        <w:gridCol w:w="3000"/>
      </w:tblGrid>
      <w:tr>
        <w:trPr>
          <w:tblHeader/>
        </w:trPr>
        <w:tc>
          <w:tcPr>
            <w:tcW w:w="3000" w:type="dxa"/>
            <w:shd w:val="clear" w:fill="eef1f4"/>
          </w:tcPr>
          <w:p>
            <w:pPr>
              <w:spacing w:before="60" w:after="60"/>
            </w:pPr>
            <w:r>
              <w:rPr>
                <w:b/>
                <w:color w:val="2a2a2a"/>
                <w:sz w:val="20"/>
              </w:rPr>
              <w:t>Field</w:t>
            </w:r>
          </w:p>
        </w:tc>
        <w:tc>
          <w:tcPr>
            <w:tcW w:w="3000" w:type="dxa"/>
            <w:shd w:val="clear" w:fill="eef1f4"/>
          </w:tcPr>
          <w:p>
            <w:pPr>
              <w:spacing w:before="60" w:after="60"/>
            </w:pPr>
            <w:r>
              <w:rPr>
                <w:b/>
                <w:color w:val="2a2a2a"/>
                <w:sz w:val="20"/>
              </w:rPr>
              <w:t>Type</w:t>
            </w:r>
          </w:p>
        </w:tc>
        <w:tc>
          <w:tcPr>
            <w:tcW w:w="3000" w:type="dxa"/>
            <w:shd w:val="clear" w:fill="eef1f4"/>
          </w:tcPr>
          <w:p>
            <w:pPr>
              <w:spacing w:before="60" w:after="60"/>
            </w:pPr>
            <w:r>
              <w:rPr>
                <w:b/>
                <w:color w:val="2a2a2a"/>
                <w:sz w:val="20"/>
              </w:rPr>
              <w:t>Description</w:t>
            </w:r>
          </w:p>
        </w:tc>
      </w:tr>
      <w:tr>
        <w:tc>
          <w:tcPr>
            <w:tcW w:w="3000" w:type="dxa"/>
          </w:tcPr>
          <w:p>
            <w:pPr>
              <w:spacing w:before="40" w:after="40"/>
            </w:pPr>
            <w:r>
              <w:rPr>
                <w:color w:val="4a4a4a"/>
                <w:sz w:val="20"/>
              </w:rPr>
              <w:t>Title</w:t>
            </w:r>
          </w:p>
        </w:tc>
        <w:tc>
          <w:tcPr>
            <w:tcW w:w="3000" w:type="dxa"/>
          </w:tcPr>
          <w:p>
            <w:pPr>
              <w:spacing w:before="40" w:after="40"/>
            </w:pPr>
            <w:r>
              <w:rPr>
                <w:color w:val="4a4a4a"/>
                <w:sz w:val="20"/>
              </w:rPr>
              <w:t>Text</w:t>
            </w:r>
          </w:p>
        </w:tc>
        <w:tc>
          <w:tcPr>
            <w:tcW w:w="3000" w:type="dxa"/>
          </w:tcPr>
          <w:p>
            <w:pPr>
              <w:spacing w:before="40" w:after="40"/>
            </w:pPr>
            <w:r>
              <w:rPr>
                <w:color w:val="4a4a4a"/>
                <w:sz w:val="20"/>
              </w:rPr>
              <w:t>Descriptive headline for the tender</w:t>
            </w:r>
          </w:p>
        </w:tc>
      </w:tr>
      <w:tr>
        <w:tc>
          <w:tcPr>
            <w:tcW w:w="3000" w:type="dxa"/>
          </w:tcPr>
          <w:p>
            <w:pPr>
              <w:spacing w:before="40" w:after="40"/>
            </w:pPr>
            <w:r>
              <w:rPr>
                <w:color w:val="4a4a4a"/>
                <w:sz w:val="20"/>
              </w:rPr>
              <w:t>Scope of Work</w:t>
            </w:r>
          </w:p>
        </w:tc>
        <w:tc>
          <w:tcPr>
            <w:tcW w:w="3000" w:type="dxa"/>
          </w:tcPr>
          <w:p>
            <w:pPr>
              <w:spacing w:before="40" w:after="40"/>
            </w:pPr>
            <w:r>
              <w:rPr>
                <w:color w:val="4a4a4a"/>
                <w:sz w:val="20"/>
              </w:rPr>
              <w:t>Rich Text</w:t>
            </w:r>
          </w:p>
        </w:tc>
        <w:tc>
          <w:tcPr>
            <w:tcW w:w="3000" w:type="dxa"/>
          </w:tcPr>
          <w:p>
            <w:pPr>
              <w:spacing w:before="40" w:after="40"/>
            </w:pPr>
            <w:r>
              <w:rPr>
                <w:color w:val="4a4a4a"/>
                <w:sz w:val="20"/>
              </w:rPr>
              <w:t>Detailed project description, deliverables, requirements</w:t>
            </w:r>
          </w:p>
        </w:tc>
      </w:tr>
      <w:tr>
        <w:tc>
          <w:tcPr>
            <w:tcW w:w="3000" w:type="dxa"/>
          </w:tcPr>
          <w:p>
            <w:pPr>
              <w:spacing w:before="40" w:after="40"/>
            </w:pPr>
            <w:r>
              <w:rPr>
                <w:color w:val="4a4a4a"/>
                <w:sz w:val="20"/>
              </w:rPr>
              <w:t>Budget Range</w:t>
            </w:r>
          </w:p>
        </w:tc>
        <w:tc>
          <w:tcPr>
            <w:tcW w:w="3000" w:type="dxa"/>
          </w:tcPr>
          <w:p>
            <w:pPr>
              <w:spacing w:before="40" w:after="40"/>
            </w:pPr>
            <w:r>
              <w:rPr>
                <w:color w:val="4a4a4a"/>
                <w:sz w:val="20"/>
              </w:rPr>
              <w:t>Number Range</w:t>
            </w:r>
          </w:p>
        </w:tc>
        <w:tc>
          <w:tcPr>
            <w:tcW w:w="3000" w:type="dxa"/>
          </w:tcPr>
          <w:p>
            <w:pPr>
              <w:spacing w:before="40" w:after="40"/>
            </w:pPr>
            <w:r>
              <w:rPr>
                <w:color w:val="4a4a4a"/>
                <w:sz w:val="20"/>
              </w:rPr>
              <w:t>Estimated budget in Ethiopian Birr (ETB)</w:t>
            </w:r>
          </w:p>
        </w:tc>
      </w:tr>
      <w:tr>
        <w:tc>
          <w:tcPr>
            <w:tcW w:w="3000" w:type="dxa"/>
          </w:tcPr>
          <w:p>
            <w:pPr>
              <w:spacing w:before="40" w:after="40"/>
            </w:pPr>
            <w:r>
              <w:rPr>
                <w:color w:val="4a4a4a"/>
                <w:sz w:val="20"/>
              </w:rPr>
              <w:t>Deadline</w:t>
            </w:r>
          </w:p>
        </w:tc>
        <w:tc>
          <w:tcPr>
            <w:tcW w:w="3000" w:type="dxa"/>
          </w:tcPr>
          <w:p>
            <w:pPr>
              <w:spacing w:before="40" w:after="40"/>
            </w:pPr>
            <w:r>
              <w:rPr>
                <w:color w:val="4a4a4a"/>
                <w:sz w:val="20"/>
              </w:rPr>
              <w:t>Date/Time</w:t>
            </w:r>
          </w:p>
        </w:tc>
        <w:tc>
          <w:tcPr>
            <w:tcW w:w="3000" w:type="dxa"/>
          </w:tcPr>
          <w:p>
            <w:pPr>
              <w:spacing w:before="40" w:after="40"/>
            </w:pPr>
            <w:r>
              <w:rPr>
                <w:color w:val="4a4a4a"/>
                <w:sz w:val="20"/>
              </w:rPr>
              <w:t>Bid submission deadline with timezone support</w:t>
            </w:r>
          </w:p>
        </w:tc>
      </w:tr>
      <w:tr>
        <w:tc>
          <w:tcPr>
            <w:tcW w:w="3000" w:type="dxa"/>
          </w:tcPr>
          <w:p>
            <w:pPr>
              <w:spacing w:before="40" w:after="40"/>
            </w:pPr>
            <w:r>
              <w:rPr>
                <w:color w:val="4a4a4a"/>
                <w:sz w:val="20"/>
              </w:rPr>
              <w:t>Location</w:t>
            </w:r>
          </w:p>
        </w:tc>
        <w:tc>
          <w:tcPr>
            <w:tcW w:w="3000" w:type="dxa"/>
          </w:tcPr>
          <w:p>
            <w:pPr>
              <w:spacing w:before="40" w:after="40"/>
            </w:pPr>
            <w:r>
              <w:rPr>
                <w:color w:val="4a4a4a"/>
                <w:sz w:val="20"/>
              </w:rPr>
              <w:t>Text / Geo</w:t>
            </w:r>
          </w:p>
        </w:tc>
        <w:tc>
          <w:tcPr>
            <w:tcW w:w="3000" w:type="dxa"/>
          </w:tcPr>
          <w:p>
            <w:pPr>
              <w:spacing w:before="40" w:after="40"/>
            </w:pPr>
            <w:r>
              <w:rPr>
                <w:color w:val="4a4a4a"/>
                <w:sz w:val="20"/>
              </w:rPr>
              <w:t>Project location, may support map selection</w:t>
            </w:r>
          </w:p>
        </w:tc>
      </w:tr>
      <w:tr>
        <w:tc>
          <w:tcPr>
            <w:tcW w:w="3000" w:type="dxa"/>
          </w:tcPr>
          <w:p>
            <w:pPr>
              <w:spacing w:before="40" w:after="40"/>
            </w:pPr>
            <w:r>
              <w:rPr>
                <w:color w:val="4a4a4a"/>
                <w:sz w:val="20"/>
              </w:rPr>
              <w:t>Required Documents</w:t>
            </w:r>
          </w:p>
        </w:tc>
        <w:tc>
          <w:tcPr>
            <w:tcW w:w="3000" w:type="dxa"/>
          </w:tcPr>
          <w:p>
            <w:pPr>
              <w:spacing w:before="40" w:after="40"/>
            </w:pPr>
            <w:r>
              <w:rPr>
                <w:color w:val="4a4a4a"/>
                <w:sz w:val="20"/>
              </w:rPr>
              <w:t>File Upload</w:t>
            </w:r>
          </w:p>
        </w:tc>
        <w:tc>
          <w:tcPr>
            <w:tcW w:w="3000" w:type="dxa"/>
          </w:tcPr>
          <w:p>
            <w:pPr>
              <w:spacing w:before="40" w:after="40"/>
            </w:pPr>
            <w:r>
              <w:rPr>
                <w:color w:val="4a4a4a"/>
                <w:sz w:val="20"/>
              </w:rPr>
              <w:t>Mandated attachments (BOQ, TOR, etc.)</w:t>
            </w:r>
          </w:p>
        </w:tc>
      </w:tr>
      <w:tr>
        <w:tc>
          <w:tcPr>
            <w:tcW w:w="3000" w:type="dxa"/>
          </w:tcPr>
          <w:p>
            <w:pPr>
              <w:spacing w:before="40" w:after="40"/>
            </w:pPr>
            <w:r>
              <w:rPr>
                <w:color w:val="4a4a4a"/>
                <w:sz w:val="20"/>
              </w:rPr>
              <w:t>Category Tags</w:t>
            </w:r>
          </w:p>
        </w:tc>
        <w:tc>
          <w:tcPr>
            <w:tcW w:w="3000" w:type="dxa"/>
          </w:tcPr>
          <w:p>
            <w:pPr>
              <w:spacing w:before="40" w:after="40"/>
            </w:pPr>
            <w:r>
              <w:rPr>
                <w:color w:val="4a4a4a"/>
                <w:sz w:val="20"/>
              </w:rPr>
              <w:t>Multi-select</w:t>
            </w:r>
          </w:p>
        </w:tc>
        <w:tc>
          <w:tcPr>
            <w:tcW w:w="3000" w:type="dxa"/>
          </w:tcPr>
          <w:p>
            <w:pPr>
              <w:spacing w:before="40" w:after="40"/>
            </w:pPr>
            <w:r>
              <w:rPr>
                <w:color w:val="4a4a4a"/>
                <w:sz w:val="20"/>
              </w:rPr>
              <w:t>Predefined tags: Construction, IT, Supply, Consulting, etc.</w:t>
            </w:r>
          </w:p>
        </w:tc>
      </w:tr>
    </w:tbl>
    <w:p>
      <w:pPr>
        <w:pStyle w:val="Heading2"/>
      </w:pPr>
      <w:r>
        <w:t>5.2 Matching Logic</w:t>
      </w:r>
    </w:p>
    <w:p>
      <w:r>
        <w:t>The Smart Matching engine operates on a simple but effective correlation algorithm. When a tender is published, the system queries the user database for contractors whose profile skill tags overlap with the tender's category tags. The matching score is calculated based on tag intersection cardinality — more matching tags yield higher relevance scores.</w:t>
      </w:r>
    </w:p>
    <w:p>
      <w:r>
        <w:t>Matched users receive immediate notification through both email and in-app channels. The notification contains the tender title, budget range, deadline, and a direct link to the tender detail page. The system implements throttling to prevent notification fatigue — users can configure maximum daily notification limits and preferred notification channels in their profile settings.</w:t>
      </w:r>
    </w:p>
    <w:p>
      <w:pPr>
        <w:pStyle w:val="Heading2"/>
      </w:pPr>
      <w:r>
        <w:t>5.3 Search &amp; Filter</w:t>
      </w:r>
    </w:p>
    <w:p>
      <w:r>
        <w:t>Beyond automated matching, contractors can manually discover tenders through a full-text search interface. The search index covers tender titles, scope descriptions, and category tags. Advanced filters enable refinement by budget range, location radius, deadline window, and category. Search results are sorted by relevance by default, with options to sort by deadline (most urgent first) or budget (highest first).</w:t>
      </w:r>
    </w:p>
    <w:p>
      <w:pPr>
        <w:pStyle w:val="Heading1"/>
      </w:pPr>
      <w:r>
        <w:t>6. Module 3: The Bidding Engine</w:t>
      </w:r>
      <w:bookmarkStart w:name="_Toc006" w:id="6"/>
      <w:bookmarkEnd w:id="6"/>
    </w:p>
    <w:p>
      <w:r>
        <w:t>The Bidding Engine standardizes how contractors respond to tender opportunities, ensuring that tender owners receive comparable, complete proposals that can be evaluated systematically. By structuring bid submissions into defined components — technical approach, financial proposal, timeline, and attachments — the engine eliminates the inconsistency of ad-hoc bid formats.</w:t>
      </w:r>
    </w:p>
    <w:p>
      <w:pPr>
        <w:pStyle w:val="Heading2"/>
      </w:pPr>
      <w:r>
        <w:t>6.1 Bid Submission</w:t>
      </w:r>
    </w:p>
    <w:p>
      <w:r>
        <w:t>The bid submission form is presented to verified contractors when they view a tender. The form is organized into distinct sections that mirror the evaluation criteria used by tender owners.</w:t>
      </w:r>
    </w:p>
    <w:tbl>
      <w:tblPr>
        <w:tblW w:w="5000" w:type="pct"/>
        <w:tblBorders>
          <w:top w:val="single" w:color="1a2a3a" w:sz="8"/>
          <w:bottom w:val="single" w:color="1a2a3a" w:sz="8"/>
          <w:insideH w:val="single" w:color="c8d0d8" w:sz="4"/>
        </w:tblBorders>
      </w:tblPr>
      <w:tblGrid>
        <w:gridCol w:w="3000"/>
        <w:gridCol w:w="3000"/>
        <w:gridCol w:w="3000"/>
      </w:tblGrid>
      <w:tr>
        <w:trPr>
          <w:tblHeader/>
        </w:trPr>
        <w:tc>
          <w:tcPr>
            <w:tcW w:w="3000" w:type="dxa"/>
            <w:shd w:val="clear" w:fill="eef1f4"/>
          </w:tcPr>
          <w:p>
            <w:pPr>
              <w:spacing w:before="60" w:after="60"/>
            </w:pPr>
            <w:r>
              <w:rPr>
                <w:b/>
                <w:color w:val="2a2a2a"/>
                <w:sz w:val="20"/>
              </w:rPr>
              <w:t>Section</w:t>
            </w:r>
          </w:p>
        </w:tc>
        <w:tc>
          <w:tcPr>
            <w:tcW w:w="3000" w:type="dxa"/>
            <w:shd w:val="clear" w:fill="eef1f4"/>
          </w:tcPr>
          <w:p>
            <w:pPr>
              <w:spacing w:before="60" w:after="60"/>
            </w:pPr>
            <w:r>
              <w:rPr>
                <w:b/>
                <w:color w:val="2a2a2a"/>
                <w:sz w:val="20"/>
              </w:rPr>
              <w:t>Field Type</w:t>
            </w:r>
          </w:p>
        </w:tc>
        <w:tc>
          <w:tcPr>
            <w:tcW w:w="3000" w:type="dxa"/>
            <w:shd w:val="clear" w:fill="eef1f4"/>
          </w:tcPr>
          <w:p>
            <w:pPr>
              <w:spacing w:before="60" w:after="60"/>
            </w:pPr>
            <w:r>
              <w:rPr>
                <w:b/>
                <w:color w:val="2a2a2a"/>
                <w:sz w:val="20"/>
              </w:rPr>
              <w:t>Description</w:t>
            </w:r>
          </w:p>
        </w:tc>
      </w:tr>
      <w:tr>
        <w:tc>
          <w:tcPr>
            <w:tcW w:w="3000" w:type="dxa"/>
          </w:tcPr>
          <w:p>
            <w:pPr>
              <w:spacing w:before="40" w:after="40"/>
            </w:pPr>
            <w:r>
              <w:rPr>
                <w:color w:val="4a4a4a"/>
                <w:sz w:val="20"/>
              </w:rPr>
              <w:t>Technical Proposal</w:t>
            </w:r>
          </w:p>
        </w:tc>
        <w:tc>
          <w:tcPr>
            <w:tcW w:w="3000" w:type="dxa"/>
          </w:tcPr>
          <w:p>
            <w:pPr>
              <w:spacing w:before="40" w:after="40"/>
            </w:pPr>
            <w:r>
              <w:rPr>
                <w:color w:val="4a4a4a"/>
                <w:sz w:val="20"/>
              </w:rPr>
              <w:t>Rich Text</w:t>
            </w:r>
          </w:p>
        </w:tc>
        <w:tc>
          <w:tcPr>
            <w:tcW w:w="3000" w:type="dxa"/>
          </w:tcPr>
          <w:p>
            <w:pPr>
              <w:spacing w:before="40" w:after="40"/>
            </w:pPr>
            <w:r>
              <w:rPr>
                <w:color w:val="4a4a4a"/>
                <w:sz w:val="20"/>
              </w:rPr>
              <w:t>Methodology, approach, team composition, relevant experience</w:t>
            </w:r>
          </w:p>
        </w:tc>
      </w:tr>
      <w:tr>
        <w:tc>
          <w:tcPr>
            <w:tcW w:w="3000" w:type="dxa"/>
          </w:tcPr>
          <w:p>
            <w:pPr>
              <w:spacing w:before="40" w:after="40"/>
            </w:pPr>
            <w:r>
              <w:rPr>
                <w:color w:val="4a4a4a"/>
                <w:sz w:val="20"/>
              </w:rPr>
              <w:t>Financial Proposal</w:t>
            </w:r>
          </w:p>
        </w:tc>
        <w:tc>
          <w:tcPr>
            <w:tcW w:w="3000" w:type="dxa"/>
          </w:tcPr>
          <w:p>
            <w:pPr>
              <w:spacing w:before="40" w:after="40"/>
            </w:pPr>
            <w:r>
              <w:rPr>
                <w:color w:val="4a4a4a"/>
                <w:sz w:val="20"/>
              </w:rPr>
              <w:t>Number (ETB)</w:t>
            </w:r>
          </w:p>
        </w:tc>
        <w:tc>
          <w:tcPr>
            <w:tcW w:w="3000" w:type="dxa"/>
          </w:tcPr>
          <w:p>
            <w:pPr>
              <w:spacing w:before="40" w:after="40"/>
            </w:pPr>
            <w:r>
              <w:rPr>
                <w:color w:val="4a4a4a"/>
                <w:sz w:val="20"/>
              </w:rPr>
              <w:t>Total price for project completion</w:t>
            </w:r>
          </w:p>
        </w:tc>
      </w:tr>
      <w:tr>
        <w:tc>
          <w:tcPr>
            <w:tcW w:w="3000" w:type="dxa"/>
          </w:tcPr>
          <w:p>
            <w:pPr>
              <w:spacing w:before="40" w:after="40"/>
            </w:pPr>
            <w:r>
              <w:rPr>
                <w:color w:val="4a4a4a"/>
                <w:sz w:val="20"/>
              </w:rPr>
              <w:t>Timeline</w:t>
            </w:r>
          </w:p>
        </w:tc>
        <w:tc>
          <w:tcPr>
            <w:tcW w:w="3000" w:type="dxa"/>
          </w:tcPr>
          <w:p>
            <w:pPr>
              <w:spacing w:before="40" w:after="40"/>
            </w:pPr>
            <w:r>
              <w:rPr>
                <w:color w:val="4a4a4a"/>
                <w:sz w:val="20"/>
              </w:rPr>
              <w:t>Duration</w:t>
            </w:r>
          </w:p>
        </w:tc>
        <w:tc>
          <w:tcPr>
            <w:tcW w:w="3000" w:type="dxa"/>
          </w:tcPr>
          <w:p>
            <w:pPr>
              <w:spacing w:before="40" w:after="40"/>
            </w:pPr>
            <w:r>
              <w:rPr>
                <w:color w:val="4a4a4a"/>
                <w:sz w:val="20"/>
              </w:rPr>
              <w:t>Estimated completion time in days or weeks</w:t>
            </w:r>
          </w:p>
        </w:tc>
      </w:tr>
      <w:tr>
        <w:tc>
          <w:tcPr>
            <w:tcW w:w="3000" w:type="dxa"/>
          </w:tcPr>
          <w:p>
            <w:pPr>
              <w:spacing w:before="40" w:after="40"/>
            </w:pPr>
            <w:r>
              <w:rPr>
                <w:color w:val="4a4a4a"/>
                <w:sz w:val="20"/>
              </w:rPr>
              <w:t>Attachments</w:t>
            </w:r>
          </w:p>
        </w:tc>
        <w:tc>
          <w:tcPr>
            <w:tcW w:w="3000" w:type="dxa"/>
          </w:tcPr>
          <w:p>
            <w:pPr>
              <w:spacing w:before="40" w:after="40"/>
            </w:pPr>
            <w:r>
              <w:rPr>
                <w:color w:val="4a4a4a"/>
                <w:sz w:val="20"/>
              </w:rPr>
              <w:t>File Upload</w:t>
            </w:r>
          </w:p>
        </w:tc>
        <w:tc>
          <w:tcPr>
            <w:tcW w:w="3000" w:type="dxa"/>
          </w:tcPr>
          <w:p>
            <w:pPr>
              <w:spacing w:before="40" w:after="40"/>
            </w:pPr>
            <w:r>
              <w:rPr>
                <w:color w:val="4a4a4a"/>
                <w:sz w:val="20"/>
              </w:rPr>
              <w:t>Quotes, portfolios, certificates, BOQ</w:t>
            </w:r>
          </w:p>
        </w:tc>
      </w:tr>
    </w:tbl>
    <w:p>
      <w:pPr>
        <w:pStyle w:val="Heading2"/>
      </w:pPr>
      <w:r>
        <w:t>6.2 Bid Management</w:t>
      </w:r>
    </w:p>
    <w:p>
      <w:r>
        <w:t>Administrators manage all submitted bids through a dedicated interface presenting a tabular view of bids organized by tender. Each row displays the bidder name, submission date, financial proposal amount, and current status. Clicking a row expands the full bid detail view including the technical proposal and attachments.</w:t>
      </w:r>
    </w:p>
    <w:p>
      <w:pPr>
        <w:pStyle w:val="Heading2"/>
      </w:pPr>
      <w:r>
        <w:t>6.3 Status Workflow</w:t>
      </w:r>
    </w:p>
    <w:p>
      <w:r>
        <w:t>Every bid traverses a defined status lifecycle that tracks its progression through evaluation. Status transitions are controlled — a bid cannot jump from Pending Review directly to Awarded without passing through Shortlisted. This structured workflow ensures consistent evaluation practices and provides clear visibility to contractors about where their bid stands.</w:t>
      </w:r>
    </w:p>
    <w:tbl>
      <w:tblPr>
        <w:tblW w:w="5000" w:type="pct"/>
        <w:tblBorders>
          <w:top w:val="single" w:color="1a2a3a" w:sz="8"/>
          <w:bottom w:val="single" w:color="1a2a3a" w:sz="8"/>
          <w:insideH w:val="single" w:color="c8d0d8" w:sz="4"/>
        </w:tblBorders>
      </w:tblPr>
      <w:tblGrid>
        <w:gridCol w:w="3000"/>
        <w:gridCol w:w="3000"/>
        <w:gridCol w:w="3000"/>
      </w:tblGrid>
      <w:tr>
        <w:trPr>
          <w:tblHeader/>
        </w:trPr>
        <w:tc>
          <w:tcPr>
            <w:tcW w:w="3000" w:type="dxa"/>
            <w:shd w:val="clear" w:fill="eef1f4"/>
          </w:tcPr>
          <w:p>
            <w:pPr>
              <w:spacing w:before="60" w:after="60"/>
            </w:pPr>
            <w:r>
              <w:rPr>
                <w:b/>
                <w:color w:val="2a2a2a"/>
                <w:sz w:val="20"/>
              </w:rPr>
              <w:t>Status</w:t>
            </w:r>
          </w:p>
        </w:tc>
        <w:tc>
          <w:tcPr>
            <w:tcW w:w="3000" w:type="dxa"/>
            <w:shd w:val="clear" w:fill="eef1f4"/>
          </w:tcPr>
          <w:p>
            <w:pPr>
              <w:spacing w:before="60" w:after="60"/>
            </w:pPr>
            <w:r>
              <w:rPr>
                <w:b/>
                <w:color w:val="2a2a2a"/>
                <w:sz w:val="20"/>
              </w:rPr>
              <w:t>Description</w:t>
            </w:r>
          </w:p>
        </w:tc>
        <w:tc>
          <w:tcPr>
            <w:tcW w:w="3000" w:type="dxa"/>
            <w:shd w:val="clear" w:fill="eef1f4"/>
          </w:tcPr>
          <w:p>
            <w:pPr>
              <w:spacing w:before="60" w:after="60"/>
            </w:pPr>
            <w:r>
              <w:rPr>
                <w:b/>
                <w:color w:val="2a2a2a"/>
                <w:sz w:val="20"/>
              </w:rPr>
              <w:t>Next States</w:t>
            </w:r>
          </w:p>
        </w:tc>
      </w:tr>
      <w:tr>
        <w:tc>
          <w:tcPr>
            <w:tcW w:w="3000" w:type="dxa"/>
          </w:tcPr>
          <w:p>
            <w:pPr>
              <w:spacing w:before="40" w:after="40"/>
            </w:pPr>
            <w:r>
              <w:rPr>
                <w:color w:val="4a4a4a"/>
                <w:sz w:val="20"/>
              </w:rPr>
              <w:t>Pending Review</w:t>
            </w:r>
          </w:p>
        </w:tc>
        <w:tc>
          <w:tcPr>
            <w:tcW w:w="3000" w:type="dxa"/>
          </w:tcPr>
          <w:p>
            <w:pPr>
              <w:spacing w:before="40" w:after="40"/>
            </w:pPr>
            <w:r>
              <w:rPr>
                <w:color w:val="4a4a4a"/>
                <w:sz w:val="20"/>
              </w:rPr>
              <w:t>Submitted, awaiting evaluation</w:t>
            </w:r>
          </w:p>
        </w:tc>
        <w:tc>
          <w:tcPr>
            <w:tcW w:w="3000" w:type="dxa"/>
          </w:tcPr>
          <w:p>
            <w:pPr>
              <w:spacing w:before="40" w:after="40"/>
            </w:pPr>
            <w:r>
              <w:rPr>
                <w:color w:val="4a4a4a"/>
                <w:sz w:val="20"/>
              </w:rPr>
              <w:t>Shortlisted, Rejected</w:t>
            </w:r>
          </w:p>
        </w:tc>
      </w:tr>
      <w:tr>
        <w:tc>
          <w:tcPr>
            <w:tcW w:w="3000" w:type="dxa"/>
          </w:tcPr>
          <w:p>
            <w:pPr>
              <w:spacing w:before="40" w:after="40"/>
            </w:pPr>
            <w:r>
              <w:rPr>
                <w:color w:val="4a4a4a"/>
                <w:sz w:val="20"/>
              </w:rPr>
              <w:t>Shortlisted</w:t>
            </w:r>
          </w:p>
        </w:tc>
        <w:tc>
          <w:tcPr>
            <w:tcW w:w="3000" w:type="dxa"/>
          </w:tcPr>
          <w:p>
            <w:pPr>
              <w:spacing w:before="40" w:after="40"/>
            </w:pPr>
            <w:r>
              <w:rPr>
                <w:color w:val="4a4a4a"/>
                <w:sz w:val="20"/>
              </w:rPr>
              <w:t>Passed initial screening</w:t>
            </w:r>
          </w:p>
        </w:tc>
        <w:tc>
          <w:tcPr>
            <w:tcW w:w="3000" w:type="dxa"/>
          </w:tcPr>
          <w:p>
            <w:pPr>
              <w:spacing w:before="40" w:after="40"/>
            </w:pPr>
            <w:r>
              <w:rPr>
                <w:color w:val="4a4a4a"/>
                <w:sz w:val="20"/>
              </w:rPr>
              <w:t>Awarded, Rejected</w:t>
            </w:r>
          </w:p>
        </w:tc>
      </w:tr>
      <w:tr>
        <w:tc>
          <w:tcPr>
            <w:tcW w:w="3000" w:type="dxa"/>
          </w:tcPr>
          <w:p>
            <w:pPr>
              <w:spacing w:before="40" w:after="40"/>
            </w:pPr>
            <w:r>
              <w:rPr>
                <w:color w:val="4a4a4a"/>
                <w:sz w:val="20"/>
              </w:rPr>
              <w:t>Awarded</w:t>
            </w:r>
          </w:p>
        </w:tc>
        <w:tc>
          <w:tcPr>
            <w:tcW w:w="3000" w:type="dxa"/>
          </w:tcPr>
          <w:p>
            <w:pPr>
              <w:spacing w:before="40" w:after="40"/>
            </w:pPr>
            <w:r>
              <w:rPr>
                <w:color w:val="4a4a4a"/>
                <w:sz w:val="20"/>
              </w:rPr>
              <w:t>Bid accepted, project initiated</w:t>
            </w:r>
          </w:p>
        </w:tc>
        <w:tc>
          <w:tcPr>
            <w:tcW w:w="3000" w:type="dxa"/>
          </w:tcPr>
          <w:p>
            <w:pPr>
              <w:spacing w:before="40" w:after="40"/>
            </w:pPr>
            <w:r>
              <w:rPr>
                <w:color w:val="4a4a4a"/>
                <w:sz w:val="20"/>
              </w:rPr>
              <w:t>Complete</w:t>
            </w:r>
          </w:p>
        </w:tc>
      </w:tr>
      <w:tr>
        <w:tc>
          <w:tcPr>
            <w:tcW w:w="3000" w:type="dxa"/>
          </w:tcPr>
          <w:p>
            <w:pPr>
              <w:spacing w:before="40" w:after="40"/>
            </w:pPr>
            <w:r>
              <w:rPr>
                <w:color w:val="4a4a4a"/>
                <w:sz w:val="20"/>
              </w:rPr>
              <w:t>Rejected</w:t>
            </w:r>
          </w:p>
        </w:tc>
        <w:tc>
          <w:tcPr>
            <w:tcW w:w="3000" w:type="dxa"/>
          </w:tcPr>
          <w:p>
            <w:pPr>
              <w:spacing w:before="40" w:after="40"/>
            </w:pPr>
            <w:r>
              <w:rPr>
                <w:color w:val="4a4a4a"/>
                <w:sz w:val="20"/>
              </w:rPr>
              <w:t>Bid not accepted</w:t>
            </w:r>
          </w:p>
        </w:tc>
        <w:tc>
          <w:tcPr>
            <w:tcW w:w="3000" w:type="dxa"/>
          </w:tcPr>
          <w:p>
            <w:pPr>
              <w:spacing w:before="40" w:after="40"/>
            </w:pPr>
            <w:r>
              <w:rPr>
                <w:color w:val="4a4a4a"/>
                <w:sz w:val="20"/>
              </w:rPr>
              <w:t>(terminal state)</w:t>
            </w:r>
          </w:p>
        </w:tc>
      </w:tr>
    </w:tbl>
    <w:p>
      <w:r>
        <w:t>When rejecting a bid, administrators can attach a private note explaining the rationale — budget exceeded limits, timeline incompatible, experience insufficient, etc. These notes are visible only to administrators and provide valuable feedback that improves future bid quality. Contractors are notified of status changes via email with the tender name and new status.</w:t>
      </w:r>
    </w:p>
    <w:p>
      <w:pPr>
        <w:pStyle w:val="Heading1"/>
      </w:pPr>
      <w:r>
        <w:t>7. Module 4: Project Workspace &amp; Task Workflow</w:t>
      </w:r>
      <w:bookmarkStart w:name="_Toc007" w:id="7"/>
      <w:bookmarkEnd w:id="7"/>
    </w:p>
    <w:p>
      <w:r>
        <w:t>When a bid is awarded, the tender transforms into an active project within the Project Workspace. This module provides the operational infrastructure for executing contracted work, tracking progress, and ensuring deliverables are completed on schedule. The workspace serves as the single source of truth for project status, accessible to both the contractor performing the work and the administrator overseeing delivery.</w:t>
      </w:r>
    </w:p>
    <w:p>
      <w:pPr>
        <w:pStyle w:val="Heading2"/>
      </w:pPr>
      <w:r>
        <w:t>7.1 Project Initialization</w:t>
      </w:r>
    </w:p>
    <w:p>
      <w:r>
        <w:t>Project creation is triggered automatically when a bid status changes to Awarded. The system generates a new project workspace linked to the original tender and winning bid. Initial project data is populated from the tender scope and bid proposal, including agreed timeline, budget, and deliverables. The contractor is notified and granted immediate access to the project workspace.</w:t>
      </w:r>
    </w:p>
    <w:p>
      <w:pPr>
        <w:pStyle w:val="Heading2"/>
      </w:pPr>
      <w:r>
        <w:t>7.2 Kanban Board</w:t>
      </w:r>
    </w:p>
    <w:p>
      <w:r>
        <w:t>Project work is organized on a three-column Kanban board that provides immediate visual status of all deliverables. Each card on the board represents a task defined by the administrator during project initialization or added dynamically as work progresses.</w:t>
      </w:r>
    </w:p>
    <w:tbl>
      <w:tblPr>
        <w:tblW w:w="5000" w:type="pct"/>
        <w:tblBorders>
          <w:top w:val="single" w:color="1a2a3a" w:sz="8"/>
          <w:bottom w:val="single" w:color="1a2a3a" w:sz="8"/>
          <w:insideH w:val="single" w:color="c8d0d8" w:sz="4"/>
        </w:tblBorders>
      </w:tblPr>
      <w:tblGrid>
        <w:gridCol w:w="3000"/>
        <w:gridCol w:w="3000"/>
        <w:gridCol w:w="3000"/>
      </w:tblGrid>
      <w:tr>
        <w:trPr>
          <w:tblHeader/>
        </w:trPr>
        <w:tc>
          <w:tcPr>
            <w:tcW w:w="3000" w:type="dxa"/>
            <w:shd w:val="clear" w:fill="eef1f4"/>
          </w:tcPr>
          <w:p>
            <w:pPr>
              <w:spacing w:before="60" w:after="60"/>
            </w:pPr>
            <w:r>
              <w:rPr>
                <w:b/>
                <w:color w:val="2a2a2a"/>
                <w:sz w:val="20"/>
              </w:rPr>
              <w:t>Column</w:t>
            </w:r>
          </w:p>
        </w:tc>
        <w:tc>
          <w:tcPr>
            <w:tcW w:w="3000" w:type="dxa"/>
            <w:shd w:val="clear" w:fill="eef1f4"/>
          </w:tcPr>
          <w:p>
            <w:pPr>
              <w:spacing w:before="60" w:after="60"/>
            </w:pPr>
            <w:r>
              <w:rPr>
                <w:b/>
                <w:color w:val="2a2a2a"/>
                <w:sz w:val="20"/>
              </w:rPr>
              <w:t>Description</w:t>
            </w:r>
          </w:p>
        </w:tc>
        <w:tc>
          <w:tcPr>
            <w:tcW w:w="3000" w:type="dxa"/>
            <w:shd w:val="clear" w:fill="eef1f4"/>
          </w:tcPr>
          <w:p>
            <w:pPr>
              <w:spacing w:before="60" w:after="60"/>
            </w:pPr>
            <w:r>
              <w:rPr>
                <w:b/>
                <w:color w:val="2a2a2a"/>
                <w:sz w:val="20"/>
              </w:rPr>
              <w:t>Card Actions</w:t>
            </w:r>
          </w:p>
        </w:tc>
      </w:tr>
      <w:tr>
        <w:tc>
          <w:tcPr>
            <w:tcW w:w="3000" w:type="dxa"/>
          </w:tcPr>
          <w:p>
            <w:pPr>
              <w:spacing w:before="40" w:after="40"/>
            </w:pPr>
            <w:r>
              <w:rPr>
                <w:color w:val="4a4a4a"/>
                <w:sz w:val="20"/>
              </w:rPr>
              <w:t>To Do</w:t>
            </w:r>
          </w:p>
        </w:tc>
        <w:tc>
          <w:tcPr>
            <w:tcW w:w="3000" w:type="dxa"/>
          </w:tcPr>
          <w:p>
            <w:pPr>
              <w:spacing w:before="40" w:after="40"/>
            </w:pPr>
            <w:r>
              <w:rPr>
                <w:color w:val="4a4a4a"/>
                <w:sz w:val="20"/>
              </w:rPr>
              <w:t>Tasks not yet started</w:t>
            </w:r>
          </w:p>
        </w:tc>
        <w:tc>
          <w:tcPr>
            <w:tcW w:w="3000" w:type="dxa"/>
          </w:tcPr>
          <w:p>
            <w:pPr>
              <w:spacing w:before="40" w:after="40"/>
            </w:pPr>
            <w:r>
              <w:rPr>
                <w:color w:val="4a4a4a"/>
                <w:sz w:val="20"/>
              </w:rPr>
              <w:t>Move to In Progress, Edit details</w:t>
            </w:r>
          </w:p>
        </w:tc>
      </w:tr>
      <w:tr>
        <w:tc>
          <w:tcPr>
            <w:tcW w:w="3000" w:type="dxa"/>
          </w:tcPr>
          <w:p>
            <w:pPr>
              <w:spacing w:before="40" w:after="40"/>
            </w:pPr>
            <w:r>
              <w:rPr>
                <w:color w:val="4a4a4a"/>
                <w:sz w:val="20"/>
              </w:rPr>
              <w:t>In Progress</w:t>
            </w:r>
          </w:p>
        </w:tc>
        <w:tc>
          <w:tcPr>
            <w:tcW w:w="3000" w:type="dxa"/>
          </w:tcPr>
          <w:p>
            <w:pPr>
              <w:spacing w:before="40" w:after="40"/>
            </w:pPr>
            <w:r>
              <w:rPr>
                <w:color w:val="4a4a4a"/>
                <w:sz w:val="20"/>
              </w:rPr>
              <w:t>Active work in execution</w:t>
            </w:r>
          </w:p>
        </w:tc>
        <w:tc>
          <w:tcPr>
            <w:tcW w:w="3000" w:type="dxa"/>
          </w:tcPr>
          <w:p>
            <w:pPr>
              <w:spacing w:before="40" w:after="40"/>
            </w:pPr>
            <w:r>
              <w:rPr>
                <w:color w:val="4a4a4a"/>
                <w:sz w:val="20"/>
              </w:rPr>
              <w:t>Move to Done, Add notes</w:t>
            </w:r>
          </w:p>
        </w:tc>
      </w:tr>
      <w:tr>
        <w:tc>
          <w:tcPr>
            <w:tcW w:w="3000" w:type="dxa"/>
          </w:tcPr>
          <w:p>
            <w:pPr>
              <w:spacing w:before="40" w:after="40"/>
            </w:pPr>
            <w:r>
              <w:rPr>
                <w:color w:val="4a4a4a"/>
                <w:sz w:val="20"/>
              </w:rPr>
              <w:t>Done</w:t>
            </w:r>
          </w:p>
        </w:tc>
        <w:tc>
          <w:tcPr>
            <w:tcW w:w="3000" w:type="dxa"/>
          </w:tcPr>
          <w:p>
            <w:pPr>
              <w:spacing w:before="40" w:after="40"/>
            </w:pPr>
            <w:r>
              <w:rPr>
                <w:color w:val="4a4a4a"/>
                <w:sz w:val="20"/>
              </w:rPr>
              <w:t>Completed, awaiting approval</w:t>
            </w:r>
          </w:p>
        </w:tc>
        <w:tc>
          <w:tcPr>
            <w:tcW w:w="3000" w:type="dxa"/>
          </w:tcPr>
          <w:p>
            <w:pPr>
              <w:spacing w:before="40" w:after="40"/>
            </w:pPr>
            <w:r>
              <w:rPr>
                <w:color w:val="4a4a4a"/>
                <w:sz w:val="20"/>
              </w:rPr>
              <w:t>Request approval, Reopen</w:t>
            </w:r>
          </w:p>
        </w:tc>
      </w:tr>
    </w:tbl>
    <w:p>
      <w:pPr>
        <w:pStyle w:val="Heading2"/>
      </w:pPr>
      <w:r>
        <w:t>7.3 Milestone Tracking</w:t>
      </w:r>
    </w:p>
    <w:p>
      <w:r>
        <w:t>Key project dates are highlighted as milestones within the workspace. Milestones are derived from the bid timeline and represent critical delivery checkpoints. The system monitors approaching deadlines and triggers visual indicators — dates within 48 hours turn amber, overdue dates turn red with an overdue badge. Contractors receive automated deadline reminders at 7 days, 3 days, and 24 hours before each milestone.</w:t>
      </w:r>
    </w:p>
    <w:p>
      <w:pPr>
        <w:pStyle w:val="Heading1"/>
      </w:pPr>
      <w:r>
        <w:t>8. Module 5: Communication Hub</w:t>
      </w:r>
      <w:bookmarkStart w:name="_Toc008" w:id="8"/>
      <w:bookmarkEnd w:id="8"/>
    </w:p>
    <w:p>
      <w:r>
        <w:t>The Communication Hub ensures all negotiation and project coordination occurs within the platform, creating an auditable record that protects all parties. Unlike generic messaging systems, every conversation thread is bound to a specific tender or project context — participants cannot send messages without an associated business context. This design prevents off-platform deal-making that would circumvent the platform's transparency and dispute resolution mechanisms.</w:t>
      </w:r>
    </w:p>
    <w:p>
      <w:pPr>
        <w:pStyle w:val="Heading2"/>
      </w:pPr>
      <w:r>
        <w:t>8.1 Context-Aware Chat</w:t>
      </w:r>
    </w:p>
    <w:p>
      <w:r>
        <w:t>Chat threads are automatically created when a tender is published and when a project workspace is initialized. Each thread is named and organized by its associated tender or project title. Participants include the relevant contractor and platform administrators. The interface displays message history in chronological order with timestamps and read receipts.</w:t>
      </w:r>
    </w:p>
    <w:p>
      <w:pPr>
        <w:pStyle w:val="Heading2"/>
      </w:pPr>
      <w:r>
        <w:t>8.2 Safety &amp; Monitoring</w:t>
      </w:r>
    </w:p>
    <w:p>
      <w:r>
        <w:t>The communication system includes monitoring capabilities that flag potentially problematic message content. A keyword detection system identifies messages containing phrases associated with off-platform payment requests or other fraud indicators. Flagged messages are brought to administrator attention for review. Future versions will implement natural language processing for more sophisticated threat detection.</w:t>
      </w:r>
    </w:p>
    <w:p>
      <w:pPr>
        <w:pStyle w:val="Heading1"/>
      </w:pPr>
      <w:r>
        <w:t>9. Module 6: Financial Tracking (Non-Custodial)</w:t>
      </w:r>
      <w:bookmarkStart w:name="_Toc009" w:id="9"/>
      <w:bookmarkEnd w:id="9"/>
    </w:p>
    <w:p>
      <w:r>
        <w:t>The Financial Tracking module implements a Non-Custodial model — the platform tracks financial agreements and payment history without ever holding funds directly. Payments are executed through external channels (bank transfer, CBE Birr, etc.) and subsequently logged on the platform. This design choice deliberately avoids financial services regulatory requirements while still providing contractors and tender owners with valuable financial management tools.</w:t>
      </w:r>
    </w:p>
    <w:p>
      <w:pPr>
        <w:pStyle w:val="Heading2"/>
      </w:pPr>
      <w:r>
        <w:t>9.1 Agreement Record</w:t>
      </w:r>
    </w:p>
    <w:p>
      <w:r>
        <w:t>When a bid is awarded, the financial proposal amount is locked as the Contract Value. This value becomes the baseline against which all payment tracking is measured. The contract value is immutable — any scope changes requiring budget modification must be handled through a formal contract amendment process documented in the project workspace.</w:t>
      </w:r>
    </w:p>
    <w:p>
      <w:pPr>
        <w:pStyle w:val="Heading2"/>
      </w:pPr>
      <w:r>
        <w:t>9.2 Payment Log</w:t>
      </w:r>
    </w:p>
    <w:p>
      <w:r>
        <w:t>Administrators and authorized tender owners record each payment made outside the platform into the Payment Log. Each entry captures the essential transaction details required for financial reconciliation.</w:t>
      </w:r>
    </w:p>
    <w:tbl>
      <w:tblPr>
        <w:tblW w:w="5000" w:type="pct"/>
        <w:tblBorders>
          <w:top w:val="single" w:color="1a2a3a" w:sz="8"/>
          <w:bottom w:val="single" w:color="1a2a3a" w:sz="8"/>
          <w:insideH w:val="single" w:color="c8d0d8" w:sz="4"/>
        </w:tblBorders>
      </w:tblPr>
      <w:tblGrid>
        <w:gridCol w:w="4500"/>
        <w:gridCol w:w="4500"/>
      </w:tblGrid>
      <w:tr>
        <w:trPr>
          <w:tblHeader/>
        </w:trPr>
        <w:tc>
          <w:tcPr>
            <w:tcW w:w="4500" w:type="dxa"/>
            <w:shd w:val="clear" w:fill="eef1f4"/>
          </w:tcPr>
          <w:p>
            <w:pPr>
              <w:spacing w:before="60" w:after="60"/>
            </w:pPr>
            <w:r>
              <w:rPr>
                <w:b/>
                <w:color w:val="2a2a2a"/>
                <w:sz w:val="20"/>
              </w:rPr>
              <w:t>Field</w:t>
            </w:r>
          </w:p>
        </w:tc>
        <w:tc>
          <w:tcPr>
            <w:tcW w:w="4500" w:type="dxa"/>
            <w:shd w:val="clear" w:fill="eef1f4"/>
          </w:tcPr>
          <w:p>
            <w:pPr>
              <w:spacing w:before="60" w:after="60"/>
            </w:pPr>
            <w:r>
              <w:rPr>
                <w:b/>
                <w:color w:val="2a2a2a"/>
                <w:sz w:val="20"/>
              </w:rPr>
              <w:t>Description</w:t>
            </w:r>
          </w:p>
        </w:tc>
      </w:tr>
      <w:tr>
        <w:tc>
          <w:tcPr>
            <w:tcW w:w="4500" w:type="dxa"/>
          </w:tcPr>
          <w:p>
            <w:pPr>
              <w:spacing w:before="40" w:after="40"/>
            </w:pPr>
            <w:r>
              <w:rPr>
                <w:color w:val="4a4a4a"/>
                <w:sz w:val="20"/>
              </w:rPr>
              <w:t>Date</w:t>
            </w:r>
          </w:p>
        </w:tc>
        <w:tc>
          <w:tcPr>
            <w:tcW w:w="4500" w:type="dxa"/>
          </w:tcPr>
          <w:p>
            <w:pPr>
              <w:spacing w:before="40" w:after="40"/>
            </w:pPr>
            <w:r>
              <w:rPr>
                <w:color w:val="4a4a4a"/>
                <w:sz w:val="20"/>
              </w:rPr>
              <w:t>Date the payment was made</w:t>
            </w:r>
          </w:p>
        </w:tc>
      </w:tr>
      <w:tr>
        <w:tc>
          <w:tcPr>
            <w:tcW w:w="4500" w:type="dxa"/>
          </w:tcPr>
          <w:p>
            <w:pPr>
              <w:spacing w:before="40" w:after="40"/>
            </w:pPr>
            <w:r>
              <w:rPr>
                <w:color w:val="4a4a4a"/>
                <w:sz w:val="20"/>
              </w:rPr>
              <w:t>Amount Paid (ETB)</w:t>
            </w:r>
          </w:p>
        </w:tc>
        <w:tc>
          <w:tcPr>
            <w:tcW w:w="4500" w:type="dxa"/>
          </w:tcPr>
          <w:p>
            <w:pPr>
              <w:spacing w:before="40" w:after="40"/>
            </w:pPr>
            <w:r>
              <w:rPr>
                <w:color w:val="4a4a4a"/>
                <w:sz w:val="20"/>
              </w:rPr>
              <w:t>Payment amount in Ethiopian Birr</w:t>
            </w:r>
          </w:p>
        </w:tc>
      </w:tr>
      <w:tr>
        <w:tc>
          <w:tcPr>
            <w:tcW w:w="4500" w:type="dxa"/>
          </w:tcPr>
          <w:p>
            <w:pPr>
              <w:spacing w:before="40" w:after="40"/>
            </w:pPr>
            <w:r>
              <w:rPr>
                <w:color w:val="4a4a4a"/>
                <w:sz w:val="20"/>
              </w:rPr>
              <w:t>Payment Method</w:t>
            </w:r>
          </w:p>
        </w:tc>
        <w:tc>
          <w:tcPr>
            <w:tcW w:w="4500" w:type="dxa"/>
          </w:tcPr>
          <w:p>
            <w:pPr>
              <w:spacing w:before="40" w:after="40"/>
            </w:pPr>
            <w:r>
              <w:rPr>
                <w:color w:val="4a4a4a"/>
                <w:sz w:val="20"/>
              </w:rPr>
              <w:t>Bank Transfer, CBE Birr, Cash, Check, etc.</w:t>
            </w:r>
          </w:p>
        </w:tc>
      </w:tr>
      <w:tr>
        <w:tc>
          <w:tcPr>
            <w:tcW w:w="4500" w:type="dxa"/>
          </w:tcPr>
          <w:p>
            <w:pPr>
              <w:spacing w:before="40" w:after="40"/>
            </w:pPr>
            <w:r>
              <w:rPr>
                <w:color w:val="4a4a4a"/>
                <w:sz w:val="20"/>
              </w:rPr>
              <w:t>Reference Number</w:t>
            </w:r>
          </w:p>
        </w:tc>
        <w:tc>
          <w:tcPr>
            <w:tcW w:w="4500" w:type="dxa"/>
          </w:tcPr>
          <w:p>
            <w:pPr>
              <w:spacing w:before="40" w:after="40"/>
            </w:pPr>
            <w:r>
              <w:rPr>
                <w:color w:val="4a4a4a"/>
                <w:sz w:val="20"/>
              </w:rPr>
              <w:t>Bank transaction ID or receipt number</w:t>
            </w:r>
          </w:p>
        </w:tc>
      </w:tr>
      <w:tr>
        <w:tc>
          <w:tcPr>
            <w:tcW w:w="4500" w:type="dxa"/>
          </w:tcPr>
          <w:p>
            <w:pPr>
              <w:spacing w:before="40" w:after="40"/>
            </w:pPr>
            <w:r>
              <w:rPr>
                <w:color w:val="4a4a4a"/>
                <w:sz w:val="20"/>
              </w:rPr>
              <w:t>Notes</w:t>
            </w:r>
          </w:p>
        </w:tc>
        <w:tc>
          <w:tcPr>
            <w:tcW w:w="4500" w:type="dxa"/>
          </w:tcPr>
          <w:p>
            <w:pPr>
              <w:spacing w:before="40" w:after="40"/>
            </w:pPr>
            <w:r>
              <w:rPr>
                <w:color w:val="4a4a4a"/>
                <w:sz w:val="20"/>
              </w:rPr>
              <w:t>Optional description or context</w:t>
            </w:r>
          </w:p>
        </w:tc>
      </w:tr>
    </w:tbl>
    <w:p>
      <w:pPr>
        <w:pStyle w:val="Heading2"/>
      </w:pPr>
      <w:r>
        <w:t>9.3 Visual Tracker</w:t>
      </w:r>
    </w:p>
    <w:p>
      <w:r>
        <w:t>A progress bar component displays the percentage of the contract value that has been paid versus the remaining balance. This visual tracker updates automatically with each payment log entry and is visible within the project workspace to all authorized participants. When payments are complete, the tracker displays a completion status badge.</w:t>
      </w:r>
    </w:p>
    <w:p>
      <w:pPr>
        <w:pStyle w:val="Heading2"/>
      </w:pPr>
      <w:r>
        <w:t>9.4 Invoicing</w:t>
      </w:r>
    </w:p>
    <w:p>
      <w:r>
        <w:t>Contractors can generate branded PDF invoices directly from the payment log with a single click. The invoice template incorporates the contractor's profile details, a breakdown of all logged payments, the contract value, and the remaining balance. Invoices are formatted for professional presentation and can be downloaded for external accounting purposes.</w:t>
      </w:r>
    </w:p>
    <w:p>
      <w:pPr>
        <w:pStyle w:val="Heading1"/>
      </w:pPr>
      <w:r>
        <w:t>10. Module 7: Capacity Building (Workshops)</w:t>
      </w:r>
      <w:bookmarkStart w:name="_Toc010" w:id="10"/>
      <w:bookmarkEnd w:id="10"/>
    </w:p>
    <w:p>
      <w:r>
        <w:t>The Capacity Building module extends the platform's value proposition beyond transaction facilitation into professional development and community building. By hosting workshops, training sessions, and educational events, the platform fosters loyalty among participants, improves bid quality by elevating contractor capabilities, and generates additional engagement touchpoints.</w:t>
      </w:r>
    </w:p>
    <w:p>
      <w:r>
        <w:t>Administrators create event listings with titles, descriptions, dates, times, locations, and capacity limits. Users browse available events and register with a single click, which adds their name to the participant list. Automated email reminders are dispatched 24 hours before each workshop. Post-event, administrators can mark attendance and upload presentation materials for registered participants.</w:t>
      </w:r>
    </w:p>
    <w:p>
      <w:pPr>
        <w:pStyle w:val="Heading1"/>
      </w:pPr>
      <w:r>
        <w:t>11. Data Model &amp; Entity Relationships</w:t>
      </w:r>
      <w:bookmarkStart w:name="_Toc011" w:id="11"/>
      <w:bookmarkEnd w:id="11"/>
    </w:p>
    <w:p>
      <w:r>
        <w:t>The data model underlying the Tender Ecosystem is designed around core entities that represent the key objects in the tender lifecycle. Relationships between entities are predominantly one-to-many, reflecting the hierarchical nature of procurement workflows. The model prioritizes referential integrity through foreign key constraints and implements soft deletion patterns to preserve audit history.</w:t>
      </w:r>
    </w:p>
    <w:tbl>
      <w:tblPr>
        <w:tblW w:w="5000" w:type="pct"/>
        <w:tblBorders>
          <w:top w:val="single" w:color="1a2a3a" w:sz="8"/>
          <w:left w:val="single" w:color="c8d0d8" w:sz="4"/>
          <w:bottom w:val="single" w:color="1a2a3a" w:sz="8"/>
          <w:right w:val="single" w:color="c8d0d8" w:sz="4"/>
          <w:insideH w:val="single" w:color="c8d0d8" w:sz="4"/>
          <w:insideV w:val="single" w:color="c8d0d8" w:sz="4"/>
        </w:tblBorders>
      </w:tblPr>
      <w:tblGrid>
        <w:gridCol w:w="3000"/>
        <w:gridCol w:w="3000"/>
        <w:gridCol w:w="3000"/>
      </w:tblGrid>
      <w:tr>
        <w:trPr>
          <w:tblHeader/>
        </w:trPr>
        <w:tc>
          <w:tcPr>
            <w:tcW w:w="3000" w:type="dxa"/>
            <w:shd w:val="clear" w:fill="eef1f4"/>
          </w:tcPr>
          <w:p>
            <w:pPr>
              <w:spacing w:before="60" w:after="60"/>
            </w:pPr>
            <w:r>
              <w:rPr>
                <w:b/>
                <w:color w:val="2a2a2a"/>
                <w:sz w:val="20"/>
              </w:rPr>
              <w:t>Entity</w:t>
            </w:r>
          </w:p>
        </w:tc>
        <w:tc>
          <w:tcPr>
            <w:tcW w:w="3000" w:type="dxa"/>
            <w:shd w:val="clear" w:fill="eef1f4"/>
          </w:tcPr>
          <w:p>
            <w:pPr>
              <w:spacing w:before="60" w:after="60"/>
            </w:pPr>
            <w:r>
              <w:rPr>
                <w:b/>
                <w:color w:val="2a2a2a"/>
                <w:sz w:val="20"/>
              </w:rPr>
              <w:t>Key Attributes</w:t>
            </w:r>
          </w:p>
        </w:tc>
        <w:tc>
          <w:tcPr>
            <w:tcW w:w="3000" w:type="dxa"/>
            <w:shd w:val="clear" w:fill="eef1f4"/>
          </w:tcPr>
          <w:p>
            <w:pPr>
              <w:spacing w:before="60" w:after="60"/>
            </w:pPr>
            <w:r>
              <w:rPr>
                <w:b/>
                <w:color w:val="2a2a2a"/>
                <w:sz w:val="20"/>
              </w:rPr>
              <w:t>Relationships</w:t>
            </w:r>
          </w:p>
        </w:tc>
      </w:tr>
      <w:tr>
        <w:tc>
          <w:tcPr>
            <w:tcW w:w="3000" w:type="dxa"/>
          </w:tcPr>
          <w:p>
            <w:pPr>
              <w:spacing w:before="40" w:after="40"/>
            </w:pPr>
            <w:r>
              <w:rPr>
                <w:color w:val="4a4a4a"/>
                <w:sz w:val="20"/>
              </w:rPr>
              <w:t>User</w:t>
            </w:r>
          </w:p>
        </w:tc>
        <w:tc>
          <w:tcPr>
            <w:tcW w:w="3000" w:type="dxa"/>
          </w:tcPr>
          <w:p>
            <w:pPr>
              <w:spacing w:before="40" w:after="40"/>
            </w:pPr>
            <w:r>
              <w:rPr>
                <w:color w:val="4a4a4a"/>
                <w:sz w:val="20"/>
              </w:rPr>
              <w:t>ID, email, password_hash, role, status, created_at</w:t>
            </w:r>
          </w:p>
        </w:tc>
        <w:tc>
          <w:tcPr>
            <w:tcW w:w="3000" w:type="dxa"/>
          </w:tcPr>
          <w:p>
            <w:pPr>
              <w:spacing w:before="40" w:after="40"/>
            </w:pPr>
            <w:r>
              <w:rPr>
                <w:color w:val="4a4a4a"/>
                <w:sz w:val="20"/>
              </w:rPr>
              <w:t>Has one Profile, has many Bids, has many Messages</w:t>
            </w:r>
          </w:p>
        </w:tc>
      </w:tr>
      <w:tr>
        <w:tc>
          <w:tcPr>
            <w:tcW w:w="3000" w:type="dxa"/>
          </w:tcPr>
          <w:p>
            <w:pPr>
              <w:spacing w:before="40" w:after="40"/>
            </w:pPr>
            <w:r>
              <w:rPr>
                <w:color w:val="4a4a4a"/>
                <w:sz w:val="20"/>
              </w:rPr>
              <w:t>Profile</w:t>
            </w:r>
          </w:p>
        </w:tc>
        <w:tc>
          <w:tcPr>
            <w:tcW w:w="3000" w:type="dxa"/>
          </w:tcPr>
          <w:p>
            <w:pPr>
              <w:spacing w:before="40" w:after="40"/>
            </w:pPr>
            <w:r>
              <w:rPr>
                <w:color w:val="4a4a4a"/>
                <w:sz w:val="20"/>
              </w:rPr>
              <w:t>ID, user_id, type, name, phone, location, skills</w:t>
            </w:r>
          </w:p>
        </w:tc>
        <w:tc>
          <w:tcPr>
            <w:tcW w:w="3000" w:type="dxa"/>
          </w:tcPr>
          <w:p>
            <w:pPr>
              <w:spacing w:before="40" w:after="40"/>
            </w:pPr>
            <w:r>
              <w:rPr>
                <w:color w:val="4a4a4a"/>
                <w:sz w:val="20"/>
              </w:rPr>
              <w:t>Belongs to User</w:t>
            </w:r>
          </w:p>
        </w:tc>
      </w:tr>
      <w:tr>
        <w:tc>
          <w:tcPr>
            <w:tcW w:w="3000" w:type="dxa"/>
          </w:tcPr>
          <w:p>
            <w:pPr>
              <w:spacing w:before="40" w:after="40"/>
            </w:pPr>
            <w:r>
              <w:rPr>
                <w:color w:val="4a4a4a"/>
                <w:sz w:val="20"/>
              </w:rPr>
              <w:t>Document</w:t>
            </w:r>
          </w:p>
        </w:tc>
        <w:tc>
          <w:tcPr>
            <w:tcW w:w="3000" w:type="dxa"/>
          </w:tcPr>
          <w:p>
            <w:pPr>
              <w:spacing w:before="40" w:after="40"/>
            </w:pPr>
            <w:r>
              <w:rPr>
                <w:color w:val="4a4a4a"/>
                <w:sz w:val="20"/>
              </w:rPr>
              <w:t>ID, user_id, type, file_url, status, uploaded_at</w:t>
            </w:r>
          </w:p>
        </w:tc>
        <w:tc>
          <w:tcPr>
            <w:tcW w:w="3000" w:type="dxa"/>
          </w:tcPr>
          <w:p>
            <w:pPr>
              <w:spacing w:before="40" w:after="40"/>
            </w:pPr>
            <w:r>
              <w:rPr>
                <w:color w:val="4a4a4a"/>
                <w:sz w:val="20"/>
              </w:rPr>
              <w:t>Belongs to User, reviewed by Admin</w:t>
            </w:r>
          </w:p>
        </w:tc>
      </w:tr>
      <w:tr>
        <w:tc>
          <w:tcPr>
            <w:tcW w:w="3000" w:type="dxa"/>
          </w:tcPr>
          <w:p>
            <w:pPr>
              <w:spacing w:before="40" w:after="40"/>
            </w:pPr>
            <w:r>
              <w:rPr>
                <w:color w:val="4a4a4a"/>
                <w:sz w:val="20"/>
              </w:rPr>
              <w:t>Tender</w:t>
            </w:r>
          </w:p>
        </w:tc>
        <w:tc>
          <w:tcPr>
            <w:tcW w:w="3000" w:type="dxa"/>
          </w:tcPr>
          <w:p>
            <w:pPr>
              <w:spacing w:before="40" w:after="40"/>
            </w:pPr>
            <w:r>
              <w:rPr>
                <w:color w:val="4a4a4a"/>
                <w:sz w:val="20"/>
              </w:rPr>
              <w:t>ID, title, scope, budget_min, budget_max, deadline, status</w:t>
            </w:r>
          </w:p>
        </w:tc>
        <w:tc>
          <w:tcPr>
            <w:tcW w:w="3000" w:type="dxa"/>
          </w:tcPr>
          <w:p>
            <w:pPr>
              <w:spacing w:before="40" w:after="40"/>
            </w:pPr>
            <w:r>
              <w:rPr>
                <w:color w:val="4a4a4a"/>
                <w:sz w:val="20"/>
              </w:rPr>
              <w:t>Has many Bids, has one Project</w:t>
            </w:r>
          </w:p>
        </w:tc>
      </w:tr>
      <w:tr>
        <w:tc>
          <w:tcPr>
            <w:tcW w:w="3000" w:type="dxa"/>
          </w:tcPr>
          <w:p>
            <w:pPr>
              <w:spacing w:before="40" w:after="40"/>
            </w:pPr>
            <w:r>
              <w:rPr>
                <w:color w:val="4a4a4a"/>
                <w:sz w:val="20"/>
              </w:rPr>
              <w:t>Bid</w:t>
            </w:r>
          </w:p>
        </w:tc>
        <w:tc>
          <w:tcPr>
            <w:tcW w:w="3000" w:type="dxa"/>
          </w:tcPr>
          <w:p>
            <w:pPr>
              <w:spacing w:before="40" w:after="40"/>
            </w:pPr>
            <w:r>
              <w:rPr>
                <w:color w:val="4a4a4a"/>
                <w:sz w:val="20"/>
              </w:rPr>
              <w:t>ID, tender_id, user_id, amount, timeline, status, created_at</w:t>
            </w:r>
          </w:p>
        </w:tc>
        <w:tc>
          <w:tcPr>
            <w:tcW w:w="3000" w:type="dxa"/>
          </w:tcPr>
          <w:p>
            <w:pPr>
              <w:spacing w:before="40" w:after="40"/>
            </w:pPr>
            <w:r>
              <w:rPr>
                <w:color w:val="4a4a4a"/>
                <w:sz w:val="20"/>
              </w:rPr>
              <w:t>Belongs to Tender and User</w:t>
            </w:r>
          </w:p>
        </w:tc>
      </w:tr>
      <w:tr>
        <w:tc>
          <w:tcPr>
            <w:tcW w:w="3000" w:type="dxa"/>
          </w:tcPr>
          <w:p>
            <w:pPr>
              <w:spacing w:before="40" w:after="40"/>
            </w:pPr>
            <w:r>
              <w:rPr>
                <w:color w:val="4a4a4a"/>
                <w:sz w:val="20"/>
              </w:rPr>
              <w:t>Project</w:t>
            </w:r>
          </w:p>
        </w:tc>
        <w:tc>
          <w:tcPr>
            <w:tcW w:w="3000" w:type="dxa"/>
          </w:tcPr>
          <w:p>
            <w:pPr>
              <w:spacing w:before="40" w:after="40"/>
            </w:pPr>
            <w:r>
              <w:rPr>
                <w:color w:val="4a4a4a"/>
                <w:sz w:val="20"/>
              </w:rPr>
              <w:t>ID, tender_id, bid_id, status, created_at</w:t>
            </w:r>
          </w:p>
        </w:tc>
        <w:tc>
          <w:tcPr>
            <w:tcW w:w="3000" w:type="dxa"/>
          </w:tcPr>
          <w:p>
            <w:pPr>
              <w:spacing w:before="40" w:after="40"/>
            </w:pPr>
            <w:r>
              <w:rPr>
                <w:color w:val="4a4a4a"/>
                <w:sz w:val="20"/>
              </w:rPr>
              <w:t>Has many Tasks, has one Chat</w:t>
            </w:r>
          </w:p>
        </w:tc>
      </w:tr>
      <w:tr>
        <w:tc>
          <w:tcPr>
            <w:tcW w:w="3000" w:type="dxa"/>
          </w:tcPr>
          <w:p>
            <w:pPr>
              <w:spacing w:before="40" w:after="40"/>
            </w:pPr>
            <w:r>
              <w:rPr>
                <w:color w:val="4a4a4a"/>
                <w:sz w:val="20"/>
              </w:rPr>
              <w:t>Task</w:t>
            </w:r>
          </w:p>
        </w:tc>
        <w:tc>
          <w:tcPr>
            <w:tcW w:w="3000" w:type="dxa"/>
          </w:tcPr>
          <w:p>
            <w:pPr>
              <w:spacing w:before="40" w:after="40"/>
            </w:pPr>
            <w:r>
              <w:rPr>
                <w:color w:val="4a4a4a"/>
                <w:sz w:val="20"/>
              </w:rPr>
              <w:t>ID, project_id, title, status, due_date</w:t>
            </w:r>
          </w:p>
        </w:tc>
        <w:tc>
          <w:tcPr>
            <w:tcW w:w="3000" w:type="dxa"/>
          </w:tcPr>
          <w:p>
            <w:pPr>
              <w:spacing w:before="40" w:after="40"/>
            </w:pPr>
            <w:r>
              <w:rPr>
                <w:color w:val="4a4a4a"/>
                <w:sz w:val="20"/>
              </w:rPr>
              <w:t>Belongs to Project</w:t>
            </w:r>
          </w:p>
        </w:tc>
      </w:tr>
      <w:tr>
        <w:tc>
          <w:tcPr>
            <w:tcW w:w="3000" w:type="dxa"/>
          </w:tcPr>
          <w:p>
            <w:pPr>
              <w:spacing w:before="40" w:after="40"/>
            </w:pPr>
            <w:r>
              <w:rPr>
                <w:color w:val="4a4a4a"/>
                <w:sz w:val="20"/>
              </w:rPr>
              <w:t>Payment</w:t>
            </w:r>
          </w:p>
        </w:tc>
        <w:tc>
          <w:tcPr>
            <w:tcW w:w="3000" w:type="dxa"/>
          </w:tcPr>
          <w:p>
            <w:pPr>
              <w:spacing w:before="40" w:after="40"/>
            </w:pPr>
            <w:r>
              <w:rPr>
                <w:color w:val="4a4a4a"/>
                <w:sz w:val="20"/>
              </w:rPr>
              <w:t>ID, project_id, amount, method, reference, date</w:t>
            </w:r>
          </w:p>
        </w:tc>
        <w:tc>
          <w:tcPr>
            <w:tcW w:w="3000" w:type="dxa"/>
          </w:tcPr>
          <w:p>
            <w:pPr>
              <w:spacing w:before="40" w:after="40"/>
            </w:pPr>
            <w:r>
              <w:rPr>
                <w:color w:val="4a4a4a"/>
                <w:sz w:val="20"/>
              </w:rPr>
              <w:t>Belongs to Project</w:t>
            </w:r>
          </w:p>
        </w:tc>
      </w:tr>
      <w:tr>
        <w:tc>
          <w:tcPr>
            <w:tcW w:w="3000" w:type="dxa"/>
          </w:tcPr>
          <w:p>
            <w:pPr>
              <w:spacing w:before="40" w:after="40"/>
            </w:pPr>
            <w:r>
              <w:rPr>
                <w:color w:val="4a4a4a"/>
                <w:sz w:val="20"/>
              </w:rPr>
              <w:t>Message</w:t>
            </w:r>
          </w:p>
        </w:tc>
        <w:tc>
          <w:tcPr>
            <w:tcW w:w="3000" w:type="dxa"/>
          </w:tcPr>
          <w:p>
            <w:pPr>
              <w:spacing w:before="40" w:after="40"/>
            </w:pPr>
            <w:r>
              <w:rPr>
                <w:color w:val="4a4a4a"/>
                <w:sz w:val="20"/>
              </w:rPr>
              <w:t>ID, chat_id, user_id, content, timestamp</w:t>
            </w:r>
          </w:p>
        </w:tc>
        <w:tc>
          <w:tcPr>
            <w:tcW w:w="3000" w:type="dxa"/>
          </w:tcPr>
          <w:p>
            <w:pPr>
              <w:spacing w:before="40" w:after="40"/>
            </w:pPr>
            <w:r>
              <w:rPr>
                <w:color w:val="4a4a4a"/>
                <w:sz w:val="20"/>
              </w:rPr>
              <w:t>Belongs to Chat</w:t>
            </w:r>
          </w:p>
        </w:tc>
      </w:tr>
      <w:tr>
        <w:tc>
          <w:tcPr>
            <w:tcW w:w="3000" w:type="dxa"/>
          </w:tcPr>
          <w:p>
            <w:pPr>
              <w:spacing w:before="40" w:after="40"/>
            </w:pPr>
            <w:r>
              <w:rPr>
                <w:color w:val="4a4a4a"/>
                <w:sz w:val="20"/>
              </w:rPr>
              <w:t>Event</w:t>
            </w:r>
          </w:p>
        </w:tc>
        <w:tc>
          <w:tcPr>
            <w:tcW w:w="3000" w:type="dxa"/>
          </w:tcPr>
          <w:p>
            <w:pPr>
              <w:spacing w:before="40" w:after="40"/>
            </w:pPr>
            <w:r>
              <w:rPr>
                <w:color w:val="4a4a4a"/>
                <w:sz w:val="20"/>
              </w:rPr>
              <w:t>ID, title, date, location, capacity, status</w:t>
            </w:r>
          </w:p>
        </w:tc>
        <w:tc>
          <w:tcPr>
            <w:tcW w:w="3000" w:type="dxa"/>
          </w:tcPr>
          <w:p>
            <w:pPr>
              <w:spacing w:before="40" w:after="40"/>
            </w:pPr>
            <w:r>
              <w:rPr>
                <w:color w:val="4a4a4a"/>
                <w:sz w:val="20"/>
              </w:rPr>
              <w:t>Has many Registrations</w:t>
            </w:r>
          </w:p>
        </w:tc>
      </w:tr>
    </w:tbl>
    <w:p>
      <w:pPr>
        <w:pStyle w:val="Heading1"/>
      </w:pPr>
      <w:r>
        <w:t>12. Security Framework</w:t>
      </w:r>
      <w:bookmarkStart w:name="_Toc012" w:id="12"/>
      <w:bookmarkEnd w:id="12"/>
    </w:p>
    <w:p>
      <w:r>
        <w:t>Security in the Tender Ecosystem is implemented across multiple layers — authentication, authorization, data protection, and operational monitoring. The framework follows defense-in-depth principles, ensuring that a compromise at one layer does not expose the entire system.</w:t>
      </w:r>
    </w:p>
    <w:p>
      <w:pPr>
        <w:pStyle w:val="Heading2"/>
      </w:pPr>
      <w:r>
        <w:t>12.1 Authentication Security</w:t>
      </w:r>
    </w:p>
    <w:p>
      <w:r>
        <w:t>User passwords are hashed using bcrypt with a cost factor of 12, making brute-force attacks computationally prohibitive. JWT access tokens expire after 15 minutes of inactivity, with refresh tokens valid for 7 days. All authentication endpoints implement rate limiting to prevent credential stuffing attacks. Failed login attempts are logged and trigger escalating lockout periods after 5 consecutive failures.</w:t>
      </w:r>
    </w:p>
    <w:p>
      <w:pPr>
        <w:pStyle w:val="Heading2"/>
      </w:pPr>
      <w:r>
        <w:t>12.2 Authorization</w:t>
      </w:r>
    </w:p>
    <w:p>
      <w:r>
        <w:t>Role-based access control (RBAC) governs all API endpoints. Each endpoint declares required roles, and middleware validates the authenticated user's role before processing requests. Ownership checks ensure users can only access their own data unless they hold an administrative role. API responses are filtered to exclude fields the requesting user is not authorized to view.</w:t>
      </w:r>
    </w:p>
    <w:p>
      <w:pPr>
        <w:pStyle w:val="Heading2"/>
      </w:pPr>
      <w:r>
        <w:t>12.3 Data Protection</w:t>
      </w:r>
    </w:p>
    <w:p>
      <w:r>
        <w:t>All data in transit is encrypted using TLS 1.3. Document vault files are encrypted at rest using AES-256 with keys managed through a secure key management service. Database connections use SSL with certificate verification. Personally identifiable information is pseudonymized in analytics and logging systems.</w:t>
      </w:r>
    </w:p>
    <w:p>
      <w:pPr>
        <w:pStyle w:val="Heading2"/>
      </w:pPr>
      <w:r>
        <w:t>12.4 Fraud Prevention</w:t>
      </w:r>
    </w:p>
    <w:p>
      <w:r>
        <w:t>Beyond communication monitoring, the fraud prevention system implements profile verification requirements before bid eligibility, flags duplicate accounts through email and phone correlation, and maintains a reputation score derived from completion rates, on-time delivery, and dispute history. Suspicious patterns are escalated to administrators for manual review.</w:t>
      </w:r>
    </w:p>
    <w:p>
      <w:pPr>
        <w:pStyle w:val="Heading1"/>
      </w:pPr>
      <w:r>
        <w:t>13. Implementation Roadmap</w:t>
      </w:r>
      <w:bookmarkStart w:name="_Toc013" w:id="13"/>
      <w:bookmarkEnd w:id="13"/>
    </w:p>
    <w:p>
      <w:r>
        <w:t>The MVP release is organized into three development phases that deliver incremental functionality. Each phase concludes with a deployable milestone that provides user-visible value, enabling early feedback collection and course correction.</w:t>
      </w:r>
    </w:p>
    <w:tbl>
      <w:tblPr>
        <w:tblW w:w="5000" w:type="pct"/>
        <w:tblBorders>
          <w:top w:val="single" w:color="1a2a3a" w:sz="8"/>
          <w:left w:val="single" w:color="c8d0d8" w:sz="4"/>
          <w:bottom w:val="single" w:color="1a2a3a" w:sz="8"/>
          <w:right w:val="single" w:color="c8d0d8" w:sz="4"/>
          <w:insideH w:val="single" w:color="c8d0d8" w:sz="4"/>
          <w:insideV w:val="single" w:color="c8d0d8" w:sz="4"/>
        </w:tblBorders>
      </w:tblPr>
      <w:tblGrid>
        <w:gridCol w:w="3000"/>
        <w:gridCol w:w="3000"/>
        <w:gridCol w:w="3000"/>
      </w:tblGrid>
      <w:tr>
        <w:trPr>
          <w:tblHeader/>
        </w:trPr>
        <w:tc>
          <w:tcPr>
            <w:tcW w:w="3000" w:type="dxa"/>
            <w:shd w:val="clear" w:fill="eef1f4"/>
          </w:tcPr>
          <w:p>
            <w:pPr>
              <w:spacing w:before="60" w:after="60"/>
            </w:pPr>
            <w:r>
              <w:rPr>
                <w:b/>
                <w:color w:val="2a2a2a"/>
                <w:sz w:val="20"/>
              </w:rPr>
              <w:t>Phase</w:t>
            </w:r>
          </w:p>
        </w:tc>
        <w:tc>
          <w:tcPr>
            <w:tcW w:w="3000" w:type="dxa"/>
            <w:shd w:val="clear" w:fill="eef1f4"/>
          </w:tcPr>
          <w:p>
            <w:pPr>
              <w:spacing w:before="60" w:after="60"/>
            </w:pPr>
            <w:r>
              <w:rPr>
                <w:b/>
                <w:color w:val="2a2a2a"/>
                <w:sz w:val="20"/>
              </w:rPr>
              <w:t>Duration</w:t>
            </w:r>
          </w:p>
        </w:tc>
        <w:tc>
          <w:tcPr>
            <w:tcW w:w="3000" w:type="dxa"/>
            <w:shd w:val="clear" w:fill="eef1f4"/>
          </w:tcPr>
          <w:p>
            <w:pPr>
              <w:spacing w:before="60" w:after="60"/>
            </w:pPr>
            <w:r>
              <w:rPr>
                <w:b/>
                <w:color w:val="2a2a2a"/>
                <w:sz w:val="20"/>
              </w:rPr>
              <w:t>Deliverables</w:t>
            </w:r>
          </w:p>
        </w:tc>
      </w:tr>
      <w:tr>
        <w:tc>
          <w:tcPr>
            <w:tcW w:w="3000" w:type="dxa"/>
          </w:tcPr>
          <w:p>
            <w:pPr>
              <w:spacing w:before="40" w:after="40"/>
            </w:pPr>
            <w:r>
              <w:rPr>
                <w:color w:val="4a4a4a"/>
                <w:sz w:val="20"/>
              </w:rPr>
              <w:t>Phase 1: Foundation</w:t>
            </w:r>
          </w:p>
        </w:tc>
        <w:tc>
          <w:tcPr>
            <w:tcW w:w="3000" w:type="dxa"/>
          </w:tcPr>
          <w:p>
            <w:pPr>
              <w:spacing w:before="40" w:after="40"/>
            </w:pPr>
            <w:r>
              <w:rPr>
                <w:color w:val="4a4a4a"/>
                <w:sz w:val="20"/>
              </w:rPr>
              <w:t>6 weeks</w:t>
            </w:r>
          </w:p>
        </w:tc>
        <w:tc>
          <w:tcPr>
            <w:tcW w:w="3000" w:type="dxa"/>
          </w:tcPr>
          <w:p>
            <w:pPr>
              <w:spacing w:before="40" w:after="40"/>
            </w:pPr>
            <w:r>
              <w:rPr>
                <w:color w:val="4a4a4a"/>
                <w:sz w:val="20"/>
              </w:rPr>
              <w:t>Authentication, Profile Management, Document Vault, Admin Dashboard</w:t>
            </w:r>
          </w:p>
        </w:tc>
      </w:tr>
      <w:tr>
        <w:tc>
          <w:tcPr>
            <w:tcW w:w="3000" w:type="dxa"/>
          </w:tcPr>
          <w:p>
            <w:pPr>
              <w:spacing w:before="40" w:after="40"/>
            </w:pPr>
            <w:r>
              <w:rPr>
                <w:color w:val="4a4a4a"/>
                <w:sz w:val="20"/>
              </w:rPr>
              <w:t>Phase 2: Core Loop</w:t>
            </w:r>
          </w:p>
        </w:tc>
        <w:tc>
          <w:tcPr>
            <w:tcW w:w="3000" w:type="dxa"/>
          </w:tcPr>
          <w:p>
            <w:pPr>
              <w:spacing w:before="40" w:after="40"/>
            </w:pPr>
            <w:r>
              <w:rPr>
                <w:color w:val="4a4a4a"/>
                <w:sz w:val="20"/>
              </w:rPr>
              <w:t>8 weeks</w:t>
            </w:r>
          </w:p>
        </w:tc>
        <w:tc>
          <w:tcPr>
            <w:tcW w:w="3000" w:type="dxa"/>
          </w:tcPr>
          <w:p>
            <w:pPr>
              <w:spacing w:before="40" w:after="40"/>
            </w:pPr>
            <w:r>
              <w:rPr>
                <w:color w:val="4a4a4a"/>
                <w:sz w:val="20"/>
              </w:rPr>
              <w:t>Tender Creation, Smart Matching, Bidding Engine, Project Workspace</w:t>
            </w:r>
          </w:p>
        </w:tc>
      </w:tr>
      <w:tr>
        <w:tc>
          <w:tcPr>
            <w:tcW w:w="3000" w:type="dxa"/>
          </w:tcPr>
          <w:p>
            <w:pPr>
              <w:spacing w:before="40" w:after="40"/>
            </w:pPr>
            <w:r>
              <w:rPr>
                <w:color w:val="4a4a4a"/>
                <w:sz w:val="20"/>
              </w:rPr>
              <w:t>Phase 3: Enhancement</w:t>
            </w:r>
          </w:p>
        </w:tc>
        <w:tc>
          <w:tcPr>
            <w:tcW w:w="3000" w:type="dxa"/>
          </w:tcPr>
          <w:p>
            <w:pPr>
              <w:spacing w:before="40" w:after="40"/>
            </w:pPr>
            <w:r>
              <w:rPr>
                <w:color w:val="4a4a4a"/>
                <w:sz w:val="20"/>
              </w:rPr>
              <w:t>4 weeks</w:t>
            </w:r>
          </w:p>
        </w:tc>
        <w:tc>
          <w:tcPr>
            <w:tcW w:w="3000" w:type="dxa"/>
          </w:tcPr>
          <w:p>
            <w:pPr>
              <w:spacing w:before="40" w:after="40"/>
            </w:pPr>
            <w:r>
              <w:rPr>
                <w:color w:val="4a4a4a"/>
                <w:sz w:val="20"/>
              </w:rPr>
              <w:t>Communication Hub, Financial Tracking, Invoicing, Capacity Building</w:t>
            </w:r>
          </w:p>
        </w:tc>
      </w:tr>
    </w:tbl>
    <w:p>
      <w:r>
        <w:t>Following MVP launch, the product roadmap includes: dedicated Tender Owner dashboards with analytics, social login integration, mobile-responsive optimization, advanced matching algorithms incorporating machine learning, escrow payment integration (pending regulatory assessment), multi-language support (Amharic, Oromo, Tigrigna), and API access for enterprise integrations.</w:t>
      </w:r>
    </w:p>
    <w:p>
      <w:pPr>
        <w:pStyle w:val="Heading1"/>
      </w:pPr>
      <w:r>
        <w:t>14. Appendices</w:t>
      </w:r>
      <w:bookmarkStart w:name="_Toc014" w:id="14"/>
      <w:bookmarkEnd w:id="14"/>
    </w:p>
    <w:p>
      <w:pPr>
        <w:pStyle w:val="Heading2"/>
      </w:pPr>
      <w:r>
        <w:t>14.1 Glossary</w:t>
      </w:r>
    </w:p>
    <w:tbl>
      <w:tblPr>
        <w:tblW w:w="5000" w:type="pct"/>
        <w:tblBorders>
          <w:top w:val="single" w:color="1a2a3a" w:sz="8"/>
          <w:bottom w:val="single" w:color="1a2a3a" w:sz="8"/>
          <w:insideH w:val="single" w:color="c8d0d8" w:sz="4"/>
        </w:tblBorders>
      </w:tblPr>
      <w:tblGrid>
        <w:gridCol w:w="4500"/>
        <w:gridCol w:w="4500"/>
      </w:tblGrid>
      <w:tr>
        <w:trPr>
          <w:tblHeader/>
        </w:trPr>
        <w:tc>
          <w:tcPr>
            <w:tcW w:w="4500" w:type="dxa"/>
            <w:shd w:val="clear" w:fill="eef1f4"/>
          </w:tcPr>
          <w:p>
            <w:pPr>
              <w:spacing w:before="60" w:after="60"/>
            </w:pPr>
            <w:r>
              <w:rPr>
                <w:b/>
                <w:color w:val="2a2a2a"/>
                <w:sz w:val="20"/>
              </w:rPr>
              <w:t>Term</w:t>
            </w:r>
          </w:p>
        </w:tc>
        <w:tc>
          <w:tcPr>
            <w:tcW w:w="4500" w:type="dxa"/>
            <w:shd w:val="clear" w:fill="eef1f4"/>
          </w:tcPr>
          <w:p>
            <w:pPr>
              <w:spacing w:before="60" w:after="60"/>
            </w:pPr>
            <w:r>
              <w:rPr>
                <w:b/>
                <w:color w:val="2a2a2a"/>
                <w:sz w:val="20"/>
              </w:rPr>
              <w:t>Definition</w:t>
            </w:r>
          </w:p>
        </w:tc>
      </w:tr>
      <w:tr>
        <w:tc>
          <w:tcPr>
            <w:tcW w:w="4500" w:type="dxa"/>
          </w:tcPr>
          <w:p>
            <w:pPr>
              <w:spacing w:before="40" w:after="40"/>
            </w:pPr>
            <w:r>
              <w:rPr>
                <w:color w:val="4a4a4a"/>
                <w:sz w:val="20"/>
              </w:rPr>
              <w:t>Tender</w:t>
            </w:r>
          </w:p>
        </w:tc>
        <w:tc>
          <w:tcPr>
            <w:tcW w:w="4500" w:type="dxa"/>
          </w:tcPr>
          <w:p>
            <w:pPr>
              <w:spacing w:before="40" w:after="40"/>
            </w:pPr>
            <w:r>
              <w:rPr>
                <w:color w:val="4a4a4a"/>
                <w:sz w:val="20"/>
              </w:rPr>
              <w:t>A formal invitation to bid on a project or supply contract</w:t>
            </w:r>
          </w:p>
        </w:tc>
      </w:tr>
      <w:tr>
        <w:tc>
          <w:tcPr>
            <w:tcW w:w="4500" w:type="dxa"/>
          </w:tcPr>
          <w:p>
            <w:pPr>
              <w:spacing w:before="40" w:after="40"/>
            </w:pPr>
            <w:r>
              <w:rPr>
                <w:color w:val="4a4a4a"/>
                <w:sz w:val="20"/>
              </w:rPr>
              <w:t>Bid</w:t>
            </w:r>
          </w:p>
        </w:tc>
        <w:tc>
          <w:tcPr>
            <w:tcW w:w="4500" w:type="dxa"/>
          </w:tcPr>
          <w:p>
            <w:pPr>
              <w:spacing w:before="40" w:after="40"/>
            </w:pPr>
            <w:r>
              <w:rPr>
                <w:color w:val="4a4a4a"/>
                <w:sz w:val="20"/>
              </w:rPr>
              <w:t>A contractor's formal proposal in response to a tender</w:t>
            </w:r>
          </w:p>
        </w:tc>
      </w:tr>
      <w:tr>
        <w:tc>
          <w:tcPr>
            <w:tcW w:w="4500" w:type="dxa"/>
          </w:tcPr>
          <w:p>
            <w:pPr>
              <w:spacing w:before="40" w:after="40"/>
            </w:pPr>
            <w:r>
              <w:rPr>
                <w:color w:val="4a4a4a"/>
                <w:sz w:val="20"/>
              </w:rPr>
              <w:t>KYC</w:t>
            </w:r>
          </w:p>
        </w:tc>
        <w:tc>
          <w:tcPr>
            <w:tcW w:w="4500" w:type="dxa"/>
          </w:tcPr>
          <w:p>
            <w:pPr>
              <w:spacing w:before="40" w:after="40"/>
            </w:pPr>
            <w:r>
              <w:rPr>
                <w:color w:val="4a4a4a"/>
                <w:sz w:val="20"/>
              </w:rPr>
              <w:t>Know Your Customer — identity verification process</w:t>
            </w:r>
          </w:p>
        </w:tc>
      </w:tr>
      <w:tr>
        <w:tc>
          <w:tcPr>
            <w:tcW w:w="4500" w:type="dxa"/>
          </w:tcPr>
          <w:p>
            <w:pPr>
              <w:spacing w:before="40" w:after="40"/>
            </w:pPr>
            <w:r>
              <w:rPr>
                <w:color w:val="4a4a4a"/>
                <w:sz w:val="20"/>
              </w:rPr>
              <w:t>Non-Custodial</w:t>
            </w:r>
          </w:p>
        </w:tc>
        <w:tc>
          <w:tcPr>
            <w:tcW w:w="4500" w:type="dxa"/>
          </w:tcPr>
          <w:p>
            <w:pPr>
              <w:spacing w:before="40" w:after="40"/>
            </w:pPr>
            <w:r>
              <w:rPr>
                <w:color w:val="4a4a4a"/>
                <w:sz w:val="20"/>
              </w:rPr>
              <w:t>Financial model where the platform does not hold funds</w:t>
            </w:r>
          </w:p>
        </w:tc>
      </w:tr>
      <w:tr>
        <w:tc>
          <w:tcPr>
            <w:tcW w:w="4500" w:type="dxa"/>
          </w:tcPr>
          <w:p>
            <w:pPr>
              <w:spacing w:before="40" w:after="40"/>
            </w:pPr>
            <w:r>
              <w:rPr>
                <w:color w:val="4a4a4a"/>
                <w:sz w:val="20"/>
              </w:rPr>
              <w:t>Kanban</w:t>
            </w:r>
          </w:p>
        </w:tc>
        <w:tc>
          <w:tcPr>
            <w:tcW w:w="4500" w:type="dxa"/>
          </w:tcPr>
          <w:p>
            <w:pPr>
              <w:spacing w:before="40" w:after="40"/>
            </w:pPr>
            <w:r>
              <w:rPr>
                <w:color w:val="4a4a4a"/>
                <w:sz w:val="20"/>
              </w:rPr>
              <w:t>Visual workflow management using cards on columns</w:t>
            </w:r>
          </w:p>
        </w:tc>
      </w:tr>
      <w:tr>
        <w:tc>
          <w:tcPr>
            <w:tcW w:w="4500" w:type="dxa"/>
          </w:tcPr>
          <w:p>
            <w:pPr>
              <w:spacing w:before="40" w:after="40"/>
            </w:pPr>
            <w:r>
              <w:rPr>
                <w:color w:val="4a4a4a"/>
                <w:sz w:val="20"/>
              </w:rPr>
              <w:t>ETB</w:t>
            </w:r>
          </w:p>
        </w:tc>
        <w:tc>
          <w:tcPr>
            <w:tcW w:w="4500" w:type="dxa"/>
          </w:tcPr>
          <w:p>
            <w:pPr>
              <w:spacing w:before="40" w:after="40"/>
            </w:pPr>
            <w:r>
              <w:rPr>
                <w:color w:val="4a4a4a"/>
                <w:sz w:val="20"/>
              </w:rPr>
              <w:t>Ethiopian Birr — national currency</w:t>
            </w:r>
          </w:p>
        </w:tc>
      </w:tr>
      <w:tr>
        <w:tc>
          <w:tcPr>
            <w:tcW w:w="4500" w:type="dxa"/>
          </w:tcPr>
          <w:p>
            <w:pPr>
              <w:spacing w:before="40" w:after="40"/>
            </w:pPr>
            <w:r>
              <w:rPr>
                <w:color w:val="4a4a4a"/>
                <w:sz w:val="20"/>
              </w:rPr>
              <w:t>TIN</w:t>
            </w:r>
          </w:p>
        </w:tc>
        <w:tc>
          <w:tcPr>
            <w:tcW w:w="4500" w:type="dxa"/>
          </w:tcPr>
          <w:p>
            <w:pPr>
              <w:spacing w:before="40" w:after="40"/>
            </w:pPr>
            <w:r>
              <w:rPr>
                <w:color w:val="4a4a4a"/>
                <w:sz w:val="20"/>
              </w:rPr>
              <w:t>Tax Identification Number</w:t>
            </w:r>
          </w:p>
        </w:tc>
      </w:tr>
      <w:tr>
        <w:tc>
          <w:tcPr>
            <w:tcW w:w="4500" w:type="dxa"/>
          </w:tcPr>
          <w:p>
            <w:pPr>
              <w:spacing w:before="40" w:after="40"/>
            </w:pPr>
            <w:r>
              <w:rPr>
                <w:color w:val="4a4a4a"/>
                <w:sz w:val="20"/>
              </w:rPr>
              <w:t>BOQ</w:t>
            </w:r>
          </w:p>
        </w:tc>
        <w:tc>
          <w:tcPr>
            <w:tcW w:w="4500" w:type="dxa"/>
          </w:tcPr>
          <w:p>
            <w:pPr>
              <w:spacing w:before="40" w:after="40"/>
            </w:pPr>
            <w:r>
              <w:rPr>
                <w:color w:val="4a4a4a"/>
                <w:sz w:val="20"/>
              </w:rPr>
              <w:t>Bill of Quantities — detailed cost breakdown</w:t>
            </w:r>
          </w:p>
        </w:tc>
      </w:tr>
      <w:tr>
        <w:tc>
          <w:tcPr>
            <w:tcW w:w="4500" w:type="dxa"/>
          </w:tcPr>
          <w:p>
            <w:pPr>
              <w:spacing w:before="40" w:after="40"/>
            </w:pPr>
            <w:r>
              <w:rPr>
                <w:color w:val="4a4a4a"/>
                <w:sz w:val="20"/>
              </w:rPr>
              <w:t>TOR</w:t>
            </w:r>
          </w:p>
        </w:tc>
        <w:tc>
          <w:tcPr>
            <w:tcW w:w="4500" w:type="dxa"/>
          </w:tcPr>
          <w:p>
            <w:pPr>
              <w:spacing w:before="40" w:after="40"/>
            </w:pPr>
            <w:r>
              <w:rPr>
                <w:color w:val="4a4a4a"/>
                <w:sz w:val="20"/>
              </w:rPr>
              <w:t>Terms of Reference — project requirement specification</w:t>
            </w:r>
          </w:p>
        </w:tc>
      </w:tr>
    </w:tbl>
    <w:p>
      <w:pPr>
        <w:pStyle w:val="Heading2"/>
      </w:pPr>
      <w:r>
        <w:t>14.2 Document Conventions</w:t>
      </w:r>
    </w:p>
    <w:p>
      <w:r>
        <w:t>This document uses consistent formatting conventions throughout. Module sections are numbered sequentially and correspond to the system's functional architecture. Tables present structured data with header rows shaded for visual distinction. Status values and system-generated text are presented in monospace formatting. Cross-references between sections are provided to highlight dependencies and relationships spanning multiple modules.</w:t>
      </w:r>
    </w:p>
    <w:p>
      <w:pPr>
        <w:sectPr>
          <w:headerReference w:type="default" r:id="R8ac55bd90b29494b"/>
          <w:footerReference w:type="default" r:id="R28874dfe331b4544"/>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4844f8ce0a114dee"/>
                    <a:stretch>
                      <a:fillRect/>
                    </a:stretch>
                  </pic:blipFill>
                  <pic:spPr>
                    <a:xfrm>
                      <a:off x="0" y="0"/>
                      <a:ext cx="7560000" cy="10692000"/>
                    </a:xfrm>
                    <a:prstGeom prst="rect"/>
                  </pic:spPr>
                </pic:pic>
              </a:graphicData>
            </a:graphic>
          </wp:anchor>
        </w:drawing>
      </w:r>
    </w:p>
    <w:p>
      <w:pPr>
        <w:spacing w:before="6500"/>
        <w:jc w:val="center"/>
      </w:pPr>
      <w:r>
        <w:rPr>
          <w:b/>
          <w:color w:val="1a2a3a"/>
          <w:sz w:val="44"/>
        </w:rPr>
        <w:t>Tender Ecosystem</w:t>
      </w:r>
    </w:p>
    <w:p>
      <w:pPr>
        <w:spacing w:before="200"/>
        <w:jc w:val="center"/>
      </w:pPr>
      <w:r>
        <w:rPr>
          <w:color w:val="3d5a6e"/>
          <w:sz w:val="22"/>
        </w:rPr>
        <w:t>Transforming Procurement Through Technology</w:t>
      </w:r>
    </w:p>
    <w:p>
      <w:pPr>
        <w:spacing w:before="600"/>
        <w:jc w:val="center"/>
      </w:pPr>
      <w:r>
        <w:rPr>
          <w:color w:val="7a7a7a"/>
          <w:sz w:val="20"/>
        </w:rPr>
        <w:t>Afomiya Platform  |  afomiya.com</w:t>
      </w:r>
    </w:p>
    <w:p>
      <w:pPr>
        <w:spacing w:before="100"/>
        <w:jc w:val="center"/>
      </w:pPr>
      <w:r>
        <w:rPr>
          <w:color w:val="7a7a7a"/>
          <w:sz w:val="18"/>
        </w:rPr>
        <w:t>Version 1.0  |  May 2026</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a7a7a"/>
        <w:sz w:val="18"/>
      </w:rPr>
      <w:t xml:space="preserve">Page </w:t>
    </w:r>
    <w:r>
      <w:rPr>
        <w:color w:val="7a7a7a"/>
        <w:sz w:val="18"/>
      </w:rPr>
      <w:fldChar w:fldCharType="begin"/>
    </w:r>
    <w:r>
      <w:rPr>
        <w:color w:val="7a7a7a"/>
        <w:sz w:val="18"/>
      </w:rPr>
      <w:instrText xml:space="preserve"> PAGE </w:instrText>
    </w:r>
    <w:r>
      <w:rPr>
        <w:color w:val="7a7a7a"/>
        <w:sz w:val="18"/>
      </w:rPr>
      <w:fldChar w:fldCharType="separate"/>
    </w:r>
    <w:r>
      <w:rPr>
        <w:color w:val="7a7a7a"/>
        <w:sz w:val="18"/>
      </w:rPr>
      <w:t>1</w:t>
    </w:r>
    <w:r>
      <w:rPr>
        <w:color w:val="7a7a7a"/>
        <w:sz w:val="18"/>
      </w:rPr>
      <w:fldChar w:fldCharType="end"/>
    </w:r>
    <w:r>
      <w:rPr>
        <w:color w:val="7a7a7a"/>
        <w:sz w:val="18"/>
      </w:rPr>
      <w:t xml:space="preserve"> of </w:t>
    </w:r>
    <w:r>
      <w:rPr>
        <w:color w:val="7a7a7a"/>
        <w:sz w:val="18"/>
      </w:rPr>
      <w:fldChar w:fldCharType="begin"/>
    </w:r>
    <w:r>
      <w:rPr>
        <w:color w:val="7a7a7a"/>
        <w:sz w:val="18"/>
      </w:rPr>
      <w:instrText xml:space="preserve"> NUMPAGES </w:instrText>
    </w:r>
    <w:r>
      <w:rPr>
        <w:color w:val="7a7a7a"/>
        <w:sz w:val="18"/>
      </w:rPr>
      <w:fldChar w:fldCharType="separate"/>
    </w:r>
    <w:r>
      <w:rPr>
        <w:color w:val="7a7a7a"/>
        <w:sz w:val="18"/>
      </w:rPr>
      <w:t>1</w:t>
    </w:r>
    <w:r>
      <w:rPr>
        <w:color w:val="7a7a7a"/>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da8a4119c6f14e88"/>
                  <a:stretch>
                    <a:fillRect/>
                  </a:stretch>
                </pic:blipFill>
                <pic:spPr>
                  <a:xfrm>
                    <a:off x="0" y="0"/>
                    <a:ext cx="7560000" cy="10692000"/>
                  </a:xfrm>
                  <a:prstGeom prst="rect"/>
                </pic:spPr>
              </pic:pic>
            </a:graphicData>
          </a:graphic>
        </wp:anchor>
      </w:drawing>
    </w:r>
  </w:p>
  <w:p>
    <w:pPr>
      <w:jc w:val="right"/>
    </w:pPr>
    <w:r>
      <w:rPr>
        <w:color w:val="7a7a7a"/>
        <w:sz w:val="18"/>
      </w:rPr>
      <w:t>Tender Ecosystem | Deep Documentation</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300" w:lineRule="auto"/>
    </w:pPr>
    <w:rPr>
      <w:rFonts w:ascii="Calibri" w:hAnsi="Calibri" w:eastAsia="Microsoft YaHei"/>
      <w:color w:val="2a2a2a"/>
      <w:sz w:val="22"/>
    </w:rPr>
  </w:style>
  <w:style w:type="paragraph" w:styleId="Heading1">
    <w:name w:val="heading 1"/>
    <w:basedOn w:val="Normal"/>
    <w:pPr>
      <w:keepNext/>
      <w:keepLines/>
      <w:spacing w:before="480" w:after="200"/>
      <w:outlineLvl w:val="0"/>
    </w:pPr>
    <w:rPr>
      <w:rFonts w:ascii="Calibri" w:hAnsi="Calibri" w:eastAsia="Microsoft YaHei"/>
      <w:b/>
      <w:color w:val="1a2a3a"/>
      <w:sz w:val="40"/>
    </w:rPr>
  </w:style>
  <w:style w:type="paragraph" w:styleId="Heading2">
    <w:name w:val="heading 2"/>
    <w:basedOn w:val="Normal"/>
    <w:pPr>
      <w:keepNext/>
      <w:keepLines/>
      <w:spacing w:before="360" w:after="160"/>
      <w:outlineLvl w:val="1"/>
    </w:pPr>
    <w:rPr>
      <w:rFonts w:ascii="Calibri" w:hAnsi="Calibri" w:eastAsia="Microsoft YaHei"/>
      <w:b/>
      <w:color w:val="3d5a6e"/>
      <w:sz w:val="28"/>
    </w:rPr>
  </w:style>
  <w:style w:type="paragraph" w:styleId="Heading3">
    <w:name w:val="heading 3"/>
    <w:basedOn w:val="Normal"/>
    <w:pPr>
      <w:keepNext/>
      <w:keepLines/>
      <w:spacing w:before="280" w:after="120"/>
      <w:outlineLvl w:val="2"/>
    </w:pPr>
    <w:rPr>
      <w:rFonts w:ascii="Calibri" w:hAnsi="Calibri" w:eastAsia="Microsoft YaHei"/>
      <w:b/>
      <w:color w:val="6b8a9e"/>
      <w:sz w:val="24"/>
    </w:rPr>
  </w:style>
  <w:style w:type="paragraph" w:styleId="Caption">
    <w:name w:val="Caption"/>
    <w:basedOn w:val="Normal"/>
    <w:pPr>
      <w:spacing w:before="60" w:after="280"/>
      <w:jc w:val="center"/>
    </w:pPr>
    <w:rPr>
      <w:color w:val="7a7a7a"/>
      <w:sz w:val="20"/>
    </w:rPr>
  </w:style>
  <w:style w:type="paragraph" w:styleId="TOC1">
    <w:name w:val="toc 1"/>
    <w:basedOn w:val="Normal"/>
    <w:pPr>
      <w:tabs>
        <w:tab w:val="right" w:leader="dot" w:pos="9350"/>
      </w:tabs>
      <w:spacing w:before="200" w:after="60"/>
      <w:ind w:left="0"/>
    </w:pPr>
    <w:rPr>
      <w:b/>
      <w:color w:val="2a2a2a"/>
    </w:rPr>
  </w:style>
  <w:style w:type="paragraph" w:styleId="TOC2">
    <w:name w:val="toc 2"/>
    <w:basedOn w:val="Normal"/>
    <w:pPr>
      <w:tabs>
        <w:tab w:val="right" w:leader="dot" w:pos="9350"/>
      </w:tabs>
      <w:spacing w:before="60" w:after="60"/>
      <w:ind w:left="360"/>
    </w:pPr>
    <w:rPr>
      <w:color w:val="4a4a4a"/>
    </w:rPr>
  </w:style>
  <w:style w:type="paragraph" w:styleId="TOC3">
    <w:name w:val="toc 3"/>
    <w:basedOn w:val="Normal"/>
    <w:pPr>
      <w:tabs>
        <w:tab w:val="right" w:leader="dot" w:pos="9350"/>
      </w:tabs>
      <w:spacing w:before="40" w:after="60"/>
      <w:ind w:left="720"/>
    </w:pPr>
    <w:rPr>
      <w:color w:val="4a4a4a"/>
    </w:rPr>
  </w:style>
</w:styles>
</file>

<file path=word/_rels/document.xml.rels><?xml version='1.0' encoding='UTF-8'?>
<Relationships xmlns="http://schemas.openxmlformats.org/package/2006/relationships"><Relationship Type="http://schemas.openxmlformats.org/officeDocument/2006/relationships/styles" Target="styles.xml" Id="R01f25e51a0d14e61" /><Relationship Type="http://schemas.openxmlformats.org/officeDocument/2006/relationships/numbering" Target="numbering.xml" Id="R7df06c9b48b04062" /><Relationship Type="http://schemas.openxmlformats.org/officeDocument/2006/relationships/image" Target="media/image.png" Id="R5ece949c2c8a468f" /><Relationship Type="http://schemas.openxmlformats.org/officeDocument/2006/relationships/image" Target="media/image2.png" Id="R4844f8ce0a114dee" /><Relationship Type="http://schemas.openxmlformats.org/officeDocument/2006/relationships/header" Target="header1.xml" Id="R8ac55bd90b29494b" /><Relationship Type="http://schemas.openxmlformats.org/officeDocument/2006/relationships/footer" Target="footer1.xml" Id="R28874dfe331b4544" /><Relationship Type="http://schemas.openxmlformats.org/officeDocument/2006/relationships/settings" Target="settings.xml" Id="R3ac7dd41a4ca4db0" /></Relationships>
</file>

<file path=word/_rels/header1.xml.rels><?xml version='1.0' encoding='UTF-8'?>
<Relationships xmlns="http://schemas.openxmlformats.org/package/2006/relationships"><Relationship Type="http://schemas.openxmlformats.org/officeDocument/2006/relationships/image" Target="media/image3.png" Id="Rda8a4119c6f14e88" /></Relationships>
</file>