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spacing w:after="100"/>
        <w:jc w:val="center"/>
      </w:pPr>
      <w:r>
        <w:rPr>
          <w:rFonts w:ascii="Calibri" w:cs="Calibri" w:eastAsia="Calibri" w:hAnsi="Calibri"/>
          <w:b/>
          <w:bCs/>
          <w:color w:val="0f766e"/>
          <w:sz w:val="44"/>
          <w:szCs w:val="44"/>
        </w:rPr>
        <w:t xml:space="preserve">COMPLIANCE &amp; APPLICATION DOCUMENT</w:t>
      </w:r>
    </w:p>
    <w:p>
      <w:pPr>
        <w:spacing w:after="0" w:before="200"/>
      </w:pPr>
    </w:p>
    <w:p>
      <w:pPr>
        <w:pBdr>
          <w:bottom w:val="single" w:color="0f766e" w:sz="6"/>
        </w:pBdr>
        <w:spacing w:after="200" w:before="0"/>
        <w:jc w:val="center"/>
      </w:pPr>
    </w:p>
    <w:p>
      <w:pPr>
        <w:spacing w:after="0" w:before="100"/>
      </w:pPr>
    </w:p>
    <w:p>
      <w:pPr>
        <w:jc w:val="center"/>
      </w:pPr>
      <w:r>
        <w:rPr>
          <w:rFonts w:ascii="Calibri" w:cs="Calibri" w:eastAsia="Calibri" w:hAnsi="Calibri"/>
          <w:b/>
          <w:bCs/>
          <w:color w:val="1f2937"/>
          <w:sz w:val="32"/>
          <w:szCs w:val="32"/>
        </w:rPr>
        <w:t xml:space="preserve">tenet</w:t>
      </w:r>
    </w:p>
    <w:p>
      <w:pPr>
        <w:spacing w:after="0" w:before="100"/>
      </w:pPr>
    </w:p>
    <w:p>
      <w:pPr>
        <w:spacing w:after="0" w:before="400"/>
      </w:pPr>
    </w:p>
    <w:p>
      <w:pPr>
        <w:jc w:val="center"/>
      </w:pPr>
      <w:r>
        <w:rPr>
          <w:rFonts w:ascii="Calibri" w:cs="Calibri" w:eastAsia="Calibri" w:hAnsi="Calibri"/>
          <w:b/>
          <w:bCs/>
          <w:color w:val="0f766e"/>
          <w:sz w:val="24"/>
          <w:szCs w:val="24"/>
        </w:rPr>
        <w:t xml:space="preserve">Tender: Tender Analysis</w:t>
      </w:r>
    </w:p>
    <w:p>
      <w:pPr>
        <w:jc w:val="center"/>
      </w:pPr>
      <w:r>
        <w:rPr>
          <w:rFonts w:ascii="Calibri" w:cs="Calibri" w:eastAsia="Calibri" w:hAnsi="Calibri"/>
          <w:b w:val="false"/>
          <w:bCs w:val="false"/>
          <w:color w:val="1f2937"/>
          <w:sz w:val="22"/>
          <w:szCs w:val="22"/>
        </w:rPr>
        <w:t xml:space="preserve">Issuing Authority: BlockLens Security Technologies</w:t>
      </w:r>
    </w:p>
    <w:p>
      <w:pPr>
        <w:spacing w:after="0" w:before="400"/>
      </w:pPr>
    </w:p>
    <w:p>
      <w:pPr>
        <w:jc w:val="center"/>
      </w:pPr>
      <w:r>
        <w:rPr>
          <w:rFonts w:ascii="Calibri" w:cs="Calibri" w:eastAsia="Calibri" w:hAnsi="Calibri"/>
          <w:b w:val="false"/>
          <w:bCs w:val="false"/>
          <w:color w:val="1f2937"/>
          <w:sz w:val="22"/>
          <w:szCs w:val="22"/>
        </w:rPr>
        <w:t xml:space="preserve">Date: August 26, 2026</w:t>
      </w:r>
    </w:p>
    <w:p>
      <w:r>
        <w:br w:type="page"/>
      </w:r>
    </w:p>
    <w:p>
      <w:pPr>
        <w:pStyle w:val="Heading1"/>
        <w:spacing w:after="120" w:before="240"/>
      </w:pPr>
      <w:r>
        <w:rPr>
          <w:rFonts w:ascii="Calibri" w:cs="Calibri" w:eastAsia="Calibri" w:hAnsi="Calibri"/>
          <w:b/>
          <w:bCs/>
          <w:color w:val="0f766e"/>
          <w:sz w:val="28"/>
          <w:szCs w:val="28"/>
        </w:rPr>
        <w:t xml:space="preserve">1. Executive Summary</w:t>
      </w:r>
    </w:p>
    <w:p>
      <w:r>
        <w:rPr>
          <w:rFonts w:ascii="Calibri" w:cs="Calibri" w:eastAsia="Calibri" w:hAnsi="Calibri"/>
          <w:b w:val="false"/>
          <w:bCs w:val="false"/>
          <w:color w:val="1f2937"/>
          <w:sz w:val="22"/>
          <w:szCs w:val="22"/>
        </w:rPr>
        <w:t xml:space="preserve">This document provides a comprehensive compliance assessment against the specified tender requirements. Of the 10 requirements evaluated, 2 are fully compliant, 0 are partially compliant, and 8 are non-compliant, yielding an overall compliance rate of 20.0%.</w:t>
      </w:r>
    </w:p>
    <w:p>
      <w:pPr>
        <w:spacing w:after="0" w:before="80"/>
      </w:pPr>
    </w:p>
    <w:p>
      <w:r>
        <w:rPr>
          <w:rFonts w:ascii="Calibri" w:cs="Calibri" w:eastAsia="Calibri" w:hAnsi="Calibri"/>
          <w:b/>
          <w:bCs/>
          <w:color w:val="1f2937"/>
          <w:sz w:val="22"/>
          <w:szCs w:val="22"/>
        </w:rPr>
        <w:t xml:space="preserve">Compliance Overview:</w:t>
      </w:r>
    </w:p>
    <w:p>
      <w:pPr>
        <w:spacing w:after="0" w:before="40"/>
      </w:pPr>
    </w:p>
    <w:p>
      <w:r>
        <w:rPr>
          <w:rFonts w:ascii="Calibri" w:cs="Calibri" w:eastAsia="Calibri" w:hAnsi="Calibri"/>
          <w:b w:val="false"/>
          <w:bCs w:val="false"/>
          <w:color w:val="16a34a"/>
          <w:sz w:val="22"/>
          <w:szCs w:val="22"/>
        </w:rPr>
        <w:t xml:space="preserve">  •  Compliant:         2 requirement(s)</w:t>
      </w:r>
    </w:p>
    <w:p>
      <w:r>
        <w:rPr>
          <w:rFonts w:ascii="Calibri" w:cs="Calibri" w:eastAsia="Calibri" w:hAnsi="Calibri"/>
          <w:b w:val="false"/>
          <w:bCs w:val="false"/>
          <w:color w:val="ca8a04"/>
          <w:sz w:val="22"/>
          <w:szCs w:val="22"/>
        </w:rPr>
        <w:t xml:space="preserve">  •  Partial:           0 requirement(s)</w:t>
      </w:r>
    </w:p>
    <w:p>
      <w:r>
        <w:rPr>
          <w:rFonts w:ascii="Calibri" w:cs="Calibri" w:eastAsia="Calibri" w:hAnsi="Calibri"/>
          <w:b w:val="false"/>
          <w:bCs w:val="false"/>
          <w:color w:val="dc2626"/>
          <w:sz w:val="22"/>
          <w:szCs w:val="22"/>
        </w:rPr>
        <w:t xml:space="preserve">  •  Non-Compliant:     8 requirement(s)</w:t>
      </w:r>
    </w:p>
    <w:p>
      <w:r>
        <w:rPr>
          <w:rFonts w:ascii="Calibri" w:cs="Calibri" w:eastAsia="Calibri" w:hAnsi="Calibri"/>
          <w:b/>
          <w:bCs/>
          <w:color w:val="1f2937"/>
          <w:sz w:val="22"/>
          <w:szCs w:val="22"/>
        </w:rPr>
        <w:t xml:space="preserve">  •  Compliance Rate:   20.0%</w:t>
      </w:r>
    </w:p>
    <w:p>
      <w:pPr>
        <w:spacing w:after="0" w:before="80"/>
      </w:pPr>
    </w:p>
    <w:p>
      <w:r>
        <w:rPr>
          <w:rFonts w:ascii="Calibri" w:cs="Calibri" w:eastAsia="Calibri" w:hAnsi="Calibri"/>
          <w:b/>
          <w:bCs/>
          <w:color w:val="dc2626"/>
          <w:sz w:val="22"/>
          <w:szCs w:val="22"/>
        </w:rPr>
        <w:t xml:space="preserve">⚠ Attention: There are non-compliant items that require mitigation strategies before submission. Please review Section 5 (Compliance Gaps) for details.</w:t>
      </w:r>
    </w:p>
    <w:p>
      <w:pPr>
        <w:pStyle w:val="Heading1"/>
        <w:spacing w:after="120" w:before="360"/>
      </w:pPr>
      <w:r>
        <w:rPr>
          <w:rFonts w:ascii="Calibri" w:cs="Calibri" w:eastAsia="Calibri" w:hAnsi="Calibri"/>
          <w:b/>
          <w:bCs/>
          <w:color w:val="0f766e"/>
          <w:sz w:val="28"/>
          <w:szCs w:val="28"/>
        </w:rPr>
        <w:t xml:space="preserve">2. Compliance Summary</w:t>
      </w:r>
    </w:p>
    <w:p>
      <w:r>
        <w:rPr>
          <w:rFonts w:ascii="Calibri" w:cs="Calibri" w:eastAsia="Calibri" w:hAnsi="Calibri"/>
          <w:b w:val="false"/>
          <w:bCs w:val="false"/>
          <w:color w:val="1f2937"/>
          <w:sz w:val="22"/>
          <w:szCs w:val="22"/>
        </w:rPr>
        <w:t xml:space="preserve">The following table summarises the overall compliance status:</w:t>
      </w:r>
    </w:p>
    <w:p>
      <w:pPr>
        <w:spacing w:after="0"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auto" w:w="0"/>
            <w:tcBorders>
              <w:top w:val="single" w:color="d1d5db" w:sz="1"/>
              <w:left w:val="single" w:color="d1d5db" w:sz="1"/>
              <w:bottom w:val="single" w:color="d1d5db" w:sz="1"/>
              <w:right w:val="single" w:color="d1d5db" w:sz="1"/>
            </w:tcBorders>
            <w:shd w:fill="0f766e" w:val="clear"/>
          </w:tcPr>
          <w:p>
            <w:pPr>
              <w:spacing w:after="40" w:before="40"/>
              <w:jc w:val="center"/>
            </w:pPr>
            <w:r>
              <w:rPr>
                <w:rFonts w:ascii="Calibri" w:cs="Calibri" w:eastAsia="Calibri" w:hAnsi="Calibri"/>
                <w:b/>
                <w:bCs/>
                <w:color w:val="ffffff"/>
                <w:sz w:val="20"/>
                <w:szCs w:val="20"/>
              </w:rPr>
              <w:t xml:space="preserve">Status</w:t>
            </w:r>
          </w:p>
        </w:tc>
        <w:tc>
          <w:tcPr>
            <w:tcW w:type="auto" w:w="0"/>
            <w:tcBorders>
              <w:top w:val="single" w:color="d1d5db" w:sz="1"/>
              <w:left w:val="single" w:color="d1d5db" w:sz="1"/>
              <w:bottom w:val="single" w:color="d1d5db" w:sz="1"/>
              <w:right w:val="single" w:color="d1d5db" w:sz="1"/>
            </w:tcBorders>
            <w:shd w:fill="0f766e" w:val="clear"/>
          </w:tcPr>
          <w:p>
            <w:pPr>
              <w:spacing w:after="40" w:before="40"/>
              <w:jc w:val="center"/>
            </w:pPr>
            <w:r>
              <w:rPr>
                <w:rFonts w:ascii="Calibri" w:cs="Calibri" w:eastAsia="Calibri" w:hAnsi="Calibri"/>
                <w:b/>
                <w:bCs/>
                <w:color w:val="ffffff"/>
                <w:sz w:val="20"/>
                <w:szCs w:val="20"/>
              </w:rPr>
              <w:t xml:space="preserve">Count</w:t>
            </w:r>
          </w:p>
        </w:tc>
        <w:tc>
          <w:tcPr>
            <w:tcW w:type="auto" w:w="0"/>
            <w:tcBorders>
              <w:top w:val="single" w:color="d1d5db" w:sz="1"/>
              <w:left w:val="single" w:color="d1d5db" w:sz="1"/>
              <w:bottom w:val="single" w:color="d1d5db" w:sz="1"/>
              <w:right w:val="single" w:color="d1d5db" w:sz="1"/>
            </w:tcBorders>
            <w:shd w:fill="0f766e" w:val="clear"/>
          </w:tcPr>
          <w:p>
            <w:pPr>
              <w:spacing w:after="40" w:before="40"/>
              <w:jc w:val="center"/>
            </w:pPr>
            <w:r>
              <w:rPr>
                <w:rFonts w:ascii="Calibri" w:cs="Calibri" w:eastAsia="Calibri" w:hAnsi="Calibri"/>
                <w:b/>
                <w:bCs/>
                <w:color w:val="ffffff"/>
                <w:sz w:val="20"/>
                <w:szCs w:val="20"/>
              </w:rPr>
              <w:t xml:space="preserve">Percentage</w:t>
            </w:r>
          </w:p>
        </w:tc>
      </w:tr>
      <w:tr>
        <w:tc>
          <w:tcPr>
            <w:tcBorders>
              <w:top w:val="single" w:color="d1d5db" w:sz="1"/>
              <w:left w:val="single" w:color="d1d5db" w:sz="1"/>
              <w:bottom w:val="single" w:color="d1d5db" w:sz="1"/>
              <w:right w:val="single" w:color="d1d5db" w:sz="1"/>
            </w:tcBorders>
            <w:shd w:fill="f0fdf4" w:val="clear"/>
          </w:tcPr>
          <w:p>
            <w:pPr>
              <w:spacing w:after="30" w:before="30"/>
              <w:jc w:val="center"/>
            </w:pPr>
            <w:r>
              <w:rPr>
                <w:rFonts w:ascii="Calibri" w:cs="Calibri" w:eastAsia="Calibri" w:hAnsi="Calibri"/>
                <w:b/>
                <w:bCs/>
                <w:color w:val="16a34a"/>
                <w:sz w:val="20"/>
                <w:szCs w:val="20"/>
              </w:rPr>
              <w:t xml:space="preserve">Compliant</w:t>
            </w:r>
          </w:p>
        </w:tc>
        <w:tc>
          <w:tcPr>
            <w:tcBorders>
              <w:top w:val="single" w:color="d1d5db" w:sz="1"/>
              <w:left w:val="single" w:color="d1d5db" w:sz="1"/>
              <w:bottom w:val="single" w:color="d1d5db" w:sz="1"/>
              <w:right w:val="single" w:color="d1d5db" w:sz="1"/>
            </w:tcBorders>
          </w:tcPr>
          <w:p>
            <w:pPr>
              <w:spacing w:after="30" w:before="30"/>
              <w:jc w:val="center"/>
            </w:pPr>
            <w:r>
              <w:rPr>
                <w:rFonts w:ascii="Calibri" w:cs="Calibri" w:eastAsia="Calibri" w:hAnsi="Calibri"/>
                <w:b w:val="false"/>
                <w:bCs w:val="false"/>
                <w:color w:val="1f2937"/>
                <w:sz w:val="20"/>
                <w:szCs w:val="20"/>
              </w:rPr>
              <w:t xml:space="preserve">2</w:t>
            </w:r>
          </w:p>
        </w:tc>
        <w:tc>
          <w:tcPr>
            <w:tcBorders>
              <w:top w:val="single" w:color="d1d5db" w:sz="1"/>
              <w:left w:val="single" w:color="d1d5db" w:sz="1"/>
              <w:bottom w:val="single" w:color="d1d5db" w:sz="1"/>
              <w:right w:val="single" w:color="d1d5db" w:sz="1"/>
            </w:tcBorders>
          </w:tcPr>
          <w:p>
            <w:pPr>
              <w:spacing w:after="30" w:before="30"/>
              <w:jc w:val="center"/>
            </w:pPr>
            <w:r>
              <w:rPr>
                <w:rFonts w:ascii="Calibri" w:cs="Calibri" w:eastAsia="Calibri" w:hAnsi="Calibri"/>
                <w:b w:val="false"/>
                <w:bCs w:val="false"/>
                <w:color w:val="1f2937"/>
                <w:sz w:val="20"/>
                <w:szCs w:val="20"/>
              </w:rPr>
              <w:t xml:space="preserve">20.0%</w:t>
            </w:r>
          </w:p>
        </w:tc>
      </w:tr>
      <w:tr>
        <w:tc>
          <w:tcPr>
            <w:tcBorders>
              <w:top w:val="single" w:color="d1d5db" w:sz="1"/>
              <w:left w:val="single" w:color="d1d5db" w:sz="1"/>
              <w:bottom w:val="single" w:color="d1d5db" w:sz="1"/>
              <w:right w:val="single" w:color="d1d5db" w:sz="1"/>
            </w:tcBorders>
            <w:shd w:fill="fefce8" w:val="clear"/>
          </w:tcPr>
          <w:p>
            <w:pPr>
              <w:spacing w:after="30" w:before="30"/>
              <w:jc w:val="center"/>
            </w:pPr>
            <w:r>
              <w:rPr>
                <w:rFonts w:ascii="Calibri" w:cs="Calibri" w:eastAsia="Calibri" w:hAnsi="Calibri"/>
                <w:b/>
                <w:bCs/>
                <w:color w:val="ca8a04"/>
                <w:sz w:val="20"/>
                <w:szCs w:val="20"/>
              </w:rPr>
              <w:t xml:space="preserve">Partial</w:t>
            </w:r>
          </w:p>
        </w:tc>
        <w:tc>
          <w:tcPr>
            <w:tcBorders>
              <w:top w:val="single" w:color="d1d5db" w:sz="1"/>
              <w:left w:val="single" w:color="d1d5db" w:sz="1"/>
              <w:bottom w:val="single" w:color="d1d5db" w:sz="1"/>
              <w:right w:val="single" w:color="d1d5db" w:sz="1"/>
            </w:tcBorders>
          </w:tcPr>
          <w:p>
            <w:pPr>
              <w:spacing w:after="30" w:before="30"/>
              <w:jc w:val="center"/>
            </w:pPr>
            <w:r>
              <w:rPr>
                <w:rFonts w:ascii="Calibri" w:cs="Calibri" w:eastAsia="Calibri" w:hAnsi="Calibri"/>
                <w:b w:val="false"/>
                <w:bCs w:val="false"/>
                <w:color w:val="1f2937"/>
                <w:sz w:val="20"/>
                <w:szCs w:val="20"/>
              </w:rPr>
              <w:t xml:space="preserve">0</w:t>
            </w:r>
          </w:p>
        </w:tc>
        <w:tc>
          <w:tcPr>
            <w:tcBorders>
              <w:top w:val="single" w:color="d1d5db" w:sz="1"/>
              <w:left w:val="single" w:color="d1d5db" w:sz="1"/>
              <w:bottom w:val="single" w:color="d1d5db" w:sz="1"/>
              <w:right w:val="single" w:color="d1d5db" w:sz="1"/>
            </w:tcBorders>
          </w:tcPr>
          <w:p>
            <w:pPr>
              <w:spacing w:after="30" w:before="30"/>
              <w:jc w:val="center"/>
            </w:pPr>
            <w:r>
              <w:rPr>
                <w:rFonts w:ascii="Calibri" w:cs="Calibri" w:eastAsia="Calibri" w:hAnsi="Calibri"/>
                <w:b w:val="false"/>
                <w:bCs w:val="false"/>
                <w:color w:val="1f2937"/>
                <w:sz w:val="20"/>
                <w:szCs w:val="20"/>
              </w:rPr>
              <w:t xml:space="preserve">0.0%</w:t>
            </w:r>
          </w:p>
        </w:tc>
      </w:tr>
      <w:tr>
        <w:tc>
          <w:tcPr>
            <w:tcBorders>
              <w:top w:val="single" w:color="d1d5db" w:sz="1"/>
              <w:left w:val="single" w:color="d1d5db" w:sz="1"/>
              <w:bottom w:val="single" w:color="d1d5db" w:sz="1"/>
              <w:right w:val="single" w:color="d1d5db" w:sz="1"/>
            </w:tcBorders>
            <w:shd w:fill="fef2f2" w:val="clear"/>
          </w:tcPr>
          <w:p>
            <w:pPr>
              <w:spacing w:after="30" w:before="30"/>
              <w:jc w:val="center"/>
            </w:pPr>
            <w:r>
              <w:rPr>
                <w:rFonts w:ascii="Calibri" w:cs="Calibri" w:eastAsia="Calibri" w:hAnsi="Calibri"/>
                <w:b/>
                <w:bCs/>
                <w:color w:val="dc2626"/>
                <w:sz w:val="20"/>
                <w:szCs w:val="20"/>
              </w:rPr>
              <w:t xml:space="preserve">Non-Compliant</w:t>
            </w:r>
          </w:p>
        </w:tc>
        <w:tc>
          <w:tcPr>
            <w:tcBorders>
              <w:top w:val="single" w:color="d1d5db" w:sz="1"/>
              <w:left w:val="single" w:color="d1d5db" w:sz="1"/>
              <w:bottom w:val="single" w:color="d1d5db" w:sz="1"/>
              <w:right w:val="single" w:color="d1d5db" w:sz="1"/>
            </w:tcBorders>
          </w:tcPr>
          <w:p>
            <w:pPr>
              <w:spacing w:after="30" w:before="30"/>
              <w:jc w:val="center"/>
            </w:pPr>
            <w:r>
              <w:rPr>
                <w:rFonts w:ascii="Calibri" w:cs="Calibri" w:eastAsia="Calibri" w:hAnsi="Calibri"/>
                <w:b w:val="false"/>
                <w:bCs w:val="false"/>
                <w:color w:val="1f2937"/>
                <w:sz w:val="20"/>
                <w:szCs w:val="20"/>
              </w:rPr>
              <w:t xml:space="preserve">8</w:t>
            </w:r>
          </w:p>
        </w:tc>
        <w:tc>
          <w:tcPr>
            <w:tcBorders>
              <w:top w:val="single" w:color="d1d5db" w:sz="1"/>
              <w:left w:val="single" w:color="d1d5db" w:sz="1"/>
              <w:bottom w:val="single" w:color="d1d5db" w:sz="1"/>
              <w:right w:val="single" w:color="d1d5db" w:sz="1"/>
            </w:tcBorders>
          </w:tcPr>
          <w:p>
            <w:pPr>
              <w:spacing w:after="30" w:before="30"/>
              <w:jc w:val="center"/>
            </w:pPr>
            <w:r>
              <w:rPr>
                <w:rFonts w:ascii="Calibri" w:cs="Calibri" w:eastAsia="Calibri" w:hAnsi="Calibri"/>
                <w:b w:val="false"/>
                <w:bCs w:val="false"/>
                <w:color w:val="1f2937"/>
                <w:sz w:val="20"/>
                <w:szCs w:val="20"/>
              </w:rPr>
              <w:t xml:space="preserve">80.0%</w:t>
            </w:r>
          </w:p>
        </w:tc>
      </w:tr>
      <w:tr>
        <w:tc>
          <w:tcPr>
            <w:tcBorders>
              <w:top w:val="single" w:color="d1d5db" w:sz="1"/>
              <w:left w:val="single" w:color="d1d5db" w:sz="1"/>
              <w:bottom w:val="single" w:color="d1d5db" w:sz="1"/>
              <w:right w:val="single" w:color="d1d5db" w:sz="1"/>
            </w:tcBorders>
          </w:tcPr>
          <w:p>
            <w:pPr>
              <w:spacing w:after="30" w:before="30"/>
              <w:jc w:val="center"/>
            </w:pPr>
            <w:r>
              <w:rPr>
                <w:rFonts w:ascii="Calibri" w:cs="Calibri" w:eastAsia="Calibri" w:hAnsi="Calibri"/>
                <w:b/>
                <w:bCs/>
                <w:color w:val="1f2937"/>
                <w:sz w:val="20"/>
                <w:szCs w:val="20"/>
              </w:rPr>
              <w:t xml:space="preserve">Total</w:t>
            </w:r>
          </w:p>
        </w:tc>
        <w:tc>
          <w:tcPr>
            <w:tcBorders>
              <w:top w:val="single" w:color="d1d5db" w:sz="1"/>
              <w:left w:val="single" w:color="d1d5db" w:sz="1"/>
              <w:bottom w:val="single" w:color="d1d5db" w:sz="1"/>
              <w:right w:val="single" w:color="d1d5db" w:sz="1"/>
            </w:tcBorders>
          </w:tcPr>
          <w:p>
            <w:pPr>
              <w:spacing w:after="30" w:before="30"/>
              <w:jc w:val="center"/>
            </w:pPr>
            <w:r>
              <w:rPr>
                <w:rFonts w:ascii="Calibri" w:cs="Calibri" w:eastAsia="Calibri" w:hAnsi="Calibri"/>
                <w:b/>
                <w:bCs/>
                <w:color w:val="1f2937"/>
                <w:sz w:val="20"/>
                <w:szCs w:val="20"/>
              </w:rPr>
              <w:t xml:space="preserve">10</w:t>
            </w:r>
          </w:p>
        </w:tc>
        <w:tc>
          <w:tcPr>
            <w:tcBorders>
              <w:top w:val="single" w:color="d1d5db" w:sz="1"/>
              <w:left w:val="single" w:color="d1d5db" w:sz="1"/>
              <w:bottom w:val="single" w:color="d1d5db" w:sz="1"/>
              <w:right w:val="single" w:color="d1d5db" w:sz="1"/>
            </w:tcBorders>
          </w:tcPr>
          <w:p>
            <w:pPr>
              <w:spacing w:after="30" w:before="30"/>
              <w:jc w:val="center"/>
            </w:pPr>
            <w:r>
              <w:rPr>
                <w:rFonts w:ascii="Calibri" w:cs="Calibri" w:eastAsia="Calibri" w:hAnsi="Calibri"/>
                <w:b/>
                <w:bCs/>
                <w:color w:val="1f2937"/>
                <w:sz w:val="20"/>
                <w:szCs w:val="20"/>
              </w:rPr>
              <w:t xml:space="preserve">100.0%</w:t>
            </w:r>
          </w:p>
        </w:tc>
      </w:tr>
    </w:tbl>
    <w:p>
      <w:pPr>
        <w:pStyle w:val="Heading1"/>
        <w:spacing w:after="120" w:before="360"/>
      </w:pPr>
      <w:r>
        <w:rPr>
          <w:rFonts w:ascii="Calibri" w:cs="Calibri" w:eastAsia="Calibri" w:hAnsi="Calibri"/>
          <w:b/>
          <w:bCs/>
          <w:color w:val="0f766e"/>
          <w:sz w:val="28"/>
          <w:szCs w:val="28"/>
        </w:rPr>
        <w:t xml:space="preserve">3. Requirements Compliance Matrix</w:t>
      </w:r>
    </w:p>
    <w:p>
      <w:r>
        <w:rPr>
          <w:rFonts w:ascii="Calibri" w:cs="Calibri" w:eastAsia="Calibri" w:hAnsi="Calibri"/>
          <w:b w:val="false"/>
          <w:bCs w:val="false"/>
          <w:color w:val="1f2937"/>
          <w:sz w:val="22"/>
          <w:szCs w:val="22"/>
        </w:rPr>
        <w:t xml:space="preserve">The matrix below details each requirement alongside our response, supporting evidence, and compliance status.</w:t>
      </w:r>
    </w:p>
    <w:p>
      <w:pPr>
        <w:spacing w:after="0"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auto" w:w="0"/>
            <w:tcBorders>
              <w:top w:val="single" w:color="d1d5db" w:sz="1"/>
              <w:left w:val="single" w:color="d1d5db" w:sz="1"/>
              <w:bottom w:val="single" w:color="d1d5db" w:sz="1"/>
              <w:right w:val="single" w:color="d1d5db" w:sz="1"/>
            </w:tcBorders>
            <w:shd w:fill="0f766e" w:val="clear"/>
          </w:tcPr>
          <w:p>
            <w:pPr>
              <w:spacing w:after="40" w:before="40"/>
              <w:jc w:val="center"/>
            </w:pPr>
            <w:r>
              <w:rPr>
                <w:rFonts w:ascii="Calibri" w:cs="Calibri" w:eastAsia="Calibri" w:hAnsi="Calibri"/>
                <w:b/>
                <w:bCs/>
                <w:color w:val="ffffff"/>
                <w:sz w:val="20"/>
                <w:szCs w:val="20"/>
              </w:rPr>
              <w:t xml:space="preserve">Requirement</w:t>
            </w:r>
          </w:p>
        </w:tc>
        <w:tc>
          <w:tcPr>
            <w:tcW w:type="auto" w:w="0"/>
            <w:tcBorders>
              <w:top w:val="single" w:color="d1d5db" w:sz="1"/>
              <w:left w:val="single" w:color="d1d5db" w:sz="1"/>
              <w:bottom w:val="single" w:color="d1d5db" w:sz="1"/>
              <w:right w:val="single" w:color="d1d5db" w:sz="1"/>
            </w:tcBorders>
            <w:shd w:fill="0f766e" w:val="clear"/>
          </w:tcPr>
          <w:p>
            <w:pPr>
              <w:spacing w:after="40" w:before="40"/>
              <w:jc w:val="center"/>
            </w:pPr>
            <w:r>
              <w:rPr>
                <w:rFonts w:ascii="Calibri" w:cs="Calibri" w:eastAsia="Calibri" w:hAnsi="Calibri"/>
                <w:b/>
                <w:bCs/>
                <w:color w:val="ffffff"/>
                <w:sz w:val="20"/>
                <w:szCs w:val="20"/>
              </w:rPr>
              <w:t xml:space="preserve">Category</w:t>
            </w:r>
          </w:p>
        </w:tc>
        <w:tc>
          <w:tcPr>
            <w:tcW w:type="auto" w:w="0"/>
            <w:tcBorders>
              <w:top w:val="single" w:color="d1d5db" w:sz="1"/>
              <w:left w:val="single" w:color="d1d5db" w:sz="1"/>
              <w:bottom w:val="single" w:color="d1d5db" w:sz="1"/>
              <w:right w:val="single" w:color="d1d5db" w:sz="1"/>
            </w:tcBorders>
            <w:shd w:fill="0f766e" w:val="clear"/>
          </w:tcPr>
          <w:p>
            <w:pPr>
              <w:spacing w:after="40" w:before="40"/>
              <w:jc w:val="center"/>
            </w:pPr>
            <w:r>
              <w:rPr>
                <w:rFonts w:ascii="Calibri" w:cs="Calibri" w:eastAsia="Calibri" w:hAnsi="Calibri"/>
                <w:b/>
                <w:bCs/>
                <w:color w:val="ffffff"/>
                <w:sz w:val="20"/>
                <w:szCs w:val="20"/>
              </w:rPr>
              <w:t xml:space="preserve">Our Response</w:t>
            </w:r>
          </w:p>
        </w:tc>
        <w:tc>
          <w:tcPr>
            <w:tcW w:type="auto" w:w="0"/>
            <w:tcBorders>
              <w:top w:val="single" w:color="d1d5db" w:sz="1"/>
              <w:left w:val="single" w:color="d1d5db" w:sz="1"/>
              <w:bottom w:val="single" w:color="d1d5db" w:sz="1"/>
              <w:right w:val="single" w:color="d1d5db" w:sz="1"/>
            </w:tcBorders>
            <w:shd w:fill="0f766e" w:val="clear"/>
          </w:tcPr>
          <w:p>
            <w:pPr>
              <w:spacing w:after="40" w:before="40"/>
              <w:jc w:val="center"/>
            </w:pPr>
            <w:r>
              <w:rPr>
                <w:rFonts w:ascii="Calibri" w:cs="Calibri" w:eastAsia="Calibri" w:hAnsi="Calibri"/>
                <w:b/>
                <w:bCs/>
                <w:color w:val="ffffff"/>
                <w:sz w:val="20"/>
                <w:szCs w:val="20"/>
              </w:rPr>
              <w:t xml:space="preserve">Evidence</w:t>
            </w:r>
          </w:p>
        </w:tc>
        <w:tc>
          <w:tcPr>
            <w:tcW w:type="auto" w:w="0"/>
            <w:tcBorders>
              <w:top w:val="single" w:color="d1d5db" w:sz="1"/>
              <w:left w:val="single" w:color="d1d5db" w:sz="1"/>
              <w:bottom w:val="single" w:color="d1d5db" w:sz="1"/>
              <w:right w:val="single" w:color="d1d5db" w:sz="1"/>
            </w:tcBorders>
            <w:shd w:fill="0f766e" w:val="clear"/>
          </w:tcPr>
          <w:p>
            <w:pPr>
              <w:spacing w:after="40" w:before="40"/>
              <w:jc w:val="center"/>
            </w:pPr>
            <w:r>
              <w:rPr>
                <w:rFonts w:ascii="Calibri" w:cs="Calibri" w:eastAsia="Calibri" w:hAnsi="Calibri"/>
                <w:b/>
                <w:bCs/>
                <w:color w:val="ffffff"/>
                <w:sz w:val="20"/>
                <w:szCs w:val="20"/>
              </w:rPr>
              <w:t xml:space="preserve">Status</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val="false"/>
                <w:bCs w:val="false"/>
                <w:color w:val="1f2937"/>
                <w:sz w:val="20"/>
                <w:szCs w:val="20"/>
              </w:rPr>
              <w:t xml:space="preserve">AI Protection Confidence Score</w:t>
            </w:r>
          </w:p>
        </w:tc>
        <w:tc>
          <w:tcPr>
            <w:tcBorders>
              <w:top w:val="single" w:color="d1d5db" w:sz="1"/>
              <w:left w:val="single" w:color="d1d5db" w:sz="1"/>
              <w:bottom w:val="single" w:color="d1d5db" w:sz="1"/>
              <w:right w:val="single" w:color="d1d5db" w:sz="1"/>
            </w:tcBorders>
          </w:tcPr>
          <w:p>
            <w:pPr>
              <w:spacing w:after="30" w:before="30"/>
              <w:jc w:val="center"/>
            </w:pPr>
            <w:r>
              <w:rPr>
                <w:rFonts w:ascii="Calibri" w:cs="Calibri" w:eastAsia="Calibri" w:hAnsi="Calibri"/>
                <w:b w:val="false"/>
                <w:bCs w:val="false"/>
                <w:color w:val="1f2937"/>
                <w:sz w:val="20"/>
                <w:szCs w:val="20"/>
              </w:rPr>
              <w:t xml:space="preserve">technical</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val="false"/>
                <w:bCs w:val="false"/>
                <w:color w:val="1f2937"/>
                <w:sz w:val="20"/>
                <w:szCs w:val="20"/>
              </w:rPr>
              <w:t xml:space="preserve">tenet has not provided any data or evidence demonstrating the percentage of users who correctly understand how BlockLens prevents AI misuse. Without this specific metric, we cannot determine if the target of &gt;80% user understanding has been met.</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val="false"/>
                <w:bCs w:val="false"/>
                <w:color w:val="1f2937"/>
                <w:sz w:val="20"/>
                <w:szCs w:val="20"/>
              </w:rPr>
              <w:t xml:space="preserve">No documentation provided by tenet that includes user understanding metrics or surveys related to BlockLens' AI misuse prevention capabilities.</w:t>
            </w:r>
          </w:p>
        </w:tc>
        <w:tc>
          <w:tcPr>
            <w:tcBorders>
              <w:top w:val="single" w:color="d1d5db" w:sz="1"/>
              <w:left w:val="single" w:color="d1d5db" w:sz="1"/>
              <w:bottom w:val="single" w:color="d1d5db" w:sz="1"/>
              <w:right w:val="single" w:color="d1d5db" w:sz="1"/>
            </w:tcBorders>
            <w:shd w:fill="fef2f2" w:val="clear"/>
          </w:tcPr>
          <w:p>
            <w:pPr>
              <w:spacing w:after="30" w:before="30"/>
              <w:jc w:val="center"/>
            </w:pPr>
            <w:r>
              <w:rPr>
                <w:rFonts w:ascii="Calibri" w:cs="Calibri" w:eastAsia="Calibri" w:hAnsi="Calibri"/>
                <w:b/>
                <w:bCs/>
                <w:color w:val="dc2626"/>
                <w:sz w:val="20"/>
                <w:szCs w:val="20"/>
              </w:rPr>
              <w:t xml:space="preserve">Non-Compliant</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val="false"/>
                <w:bCs w:val="false"/>
                <w:color w:val="1f2937"/>
                <w:sz w:val="20"/>
                <w:szCs w:val="20"/>
              </w:rPr>
              <w:t xml:space="preserve">Invisible AI Watermark</w:t>
            </w:r>
          </w:p>
        </w:tc>
        <w:tc>
          <w:tcPr>
            <w:tcBorders>
              <w:top w:val="single" w:color="d1d5db" w:sz="1"/>
              <w:left w:val="single" w:color="d1d5db" w:sz="1"/>
              <w:bottom w:val="single" w:color="d1d5db" w:sz="1"/>
              <w:right w:val="single" w:color="d1d5db" w:sz="1"/>
            </w:tcBorders>
          </w:tcPr>
          <w:p>
            <w:pPr>
              <w:spacing w:after="30" w:before="30"/>
              <w:jc w:val="center"/>
            </w:pPr>
            <w:r>
              <w:rPr>
                <w:rFonts w:ascii="Calibri" w:cs="Calibri" w:eastAsia="Calibri" w:hAnsi="Calibri"/>
                <w:b w:val="false"/>
                <w:bCs w:val="false"/>
                <w:color w:val="1f2937"/>
                <w:sz w:val="20"/>
                <w:szCs w:val="20"/>
              </w:rPr>
              <w:t xml:space="preserve">technical</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val="false"/>
                <w:bCs w:val="false"/>
                <w:color w:val="1f2937"/>
                <w:sz w:val="20"/>
                <w:szCs w:val="20"/>
              </w:rPr>
              <w:t xml:space="preserve">The applicant does not provide sufficient information about implementing an invisible AI watermark that survives regeneration attempts. No specific technical details or capabilities are mentioned regarding this requirement.</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val="false"/>
                <w:bCs w:val="false"/>
                <w:color w:val="1f2937"/>
                <w:sz w:val="20"/>
                <w:szCs w:val="20"/>
              </w:rPr>
              <w:t xml:space="preserve">No evidence provided in the application materials regarding invisible AI watermark technology or its implementation.</w:t>
            </w:r>
          </w:p>
        </w:tc>
        <w:tc>
          <w:tcPr>
            <w:tcBorders>
              <w:top w:val="single" w:color="d1d5db" w:sz="1"/>
              <w:left w:val="single" w:color="d1d5db" w:sz="1"/>
              <w:bottom w:val="single" w:color="d1d5db" w:sz="1"/>
              <w:right w:val="single" w:color="d1d5db" w:sz="1"/>
            </w:tcBorders>
            <w:shd w:fill="fef2f2" w:val="clear"/>
          </w:tcPr>
          <w:p>
            <w:pPr>
              <w:spacing w:after="30" w:before="30"/>
              <w:jc w:val="center"/>
            </w:pPr>
            <w:r>
              <w:rPr>
                <w:rFonts w:ascii="Calibri" w:cs="Calibri" w:eastAsia="Calibri" w:hAnsi="Calibri"/>
                <w:b/>
                <w:bCs/>
                <w:color w:val="dc2626"/>
                <w:sz w:val="20"/>
                <w:szCs w:val="20"/>
              </w:rPr>
              <w:t xml:space="preserve">Non-Compliant</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val="false"/>
                <w:bCs w:val="false"/>
                <w:color w:val="1f2937"/>
                <w:sz w:val="20"/>
                <w:szCs w:val="20"/>
              </w:rPr>
              <w:t xml:space="preserve">Opt-Out Signals</w:t>
            </w:r>
          </w:p>
        </w:tc>
        <w:tc>
          <w:tcPr>
            <w:tcBorders>
              <w:top w:val="single" w:color="d1d5db" w:sz="1"/>
              <w:left w:val="single" w:color="d1d5db" w:sz="1"/>
              <w:bottom w:val="single" w:color="d1d5db" w:sz="1"/>
              <w:right w:val="single" w:color="d1d5db" w:sz="1"/>
            </w:tcBorders>
          </w:tcPr>
          <w:p>
            <w:pPr>
              <w:spacing w:after="30" w:before="30"/>
              <w:jc w:val="center"/>
            </w:pPr>
            <w:r>
              <w:rPr>
                <w:rFonts w:ascii="Calibri" w:cs="Calibri" w:eastAsia="Calibri" w:hAnsi="Calibri"/>
                <w:b w:val="false"/>
                <w:bCs w:val="false"/>
                <w:color w:val="1f2937"/>
                <w:sz w:val="20"/>
                <w:szCs w:val="20"/>
              </w:rPr>
              <w:t xml:space="preserve">technical</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val="false"/>
                <w:bCs w:val="false"/>
                <w:color w:val="1f2937"/>
                <w:sz w:val="20"/>
                <w:szCs w:val="20"/>
              </w:rPr>
              <w:t xml:space="preserve">tenet implements opt-out signals to block ethical AI scrapers such as LAION from indexing content. The platform incorporates standard robots.txt directives and meta tag protocols specifically designed to prevent AI training data collection.</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val="false"/>
                <w:bCs w:val="false"/>
                <w:color w:val="1f2937"/>
                <w:sz w:val="20"/>
                <w:szCs w:val="20"/>
              </w:rPr>
              <w:t xml:space="preserve">tenet's technical documentation confirms implementation of robots.txt files with 'Disallow: /ai-training' directives and includes noindex meta tags in page headers. The platform's privacy policy explicitly mentions AI scraper blocking measures and provides documentation on how content owners can verify their opt-out status.</w:t>
            </w:r>
          </w:p>
        </w:tc>
        <w:tc>
          <w:tcPr>
            <w:tcBorders>
              <w:top w:val="single" w:color="d1d5db" w:sz="1"/>
              <w:left w:val="single" w:color="d1d5db" w:sz="1"/>
              <w:bottom w:val="single" w:color="d1d5db" w:sz="1"/>
              <w:right w:val="single" w:color="d1d5db" w:sz="1"/>
            </w:tcBorders>
            <w:shd w:fill="f0fdf4" w:val="clear"/>
          </w:tcPr>
          <w:p>
            <w:pPr>
              <w:spacing w:after="30" w:before="30"/>
              <w:jc w:val="center"/>
            </w:pPr>
            <w:r>
              <w:rPr>
                <w:rFonts w:ascii="Calibri" w:cs="Calibri" w:eastAsia="Calibri" w:hAnsi="Calibri"/>
                <w:b/>
                <w:bCs/>
                <w:color w:val="16a34a"/>
                <w:sz w:val="20"/>
                <w:szCs w:val="20"/>
              </w:rPr>
              <w:t xml:space="preserve">Compliant</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val="false"/>
                <w:bCs w:val="false"/>
                <w:color w:val="1f2937"/>
                <w:sz w:val="20"/>
                <w:szCs w:val="20"/>
              </w:rPr>
              <w:t xml:space="preserve">Style Fingerprinting</w:t>
            </w:r>
          </w:p>
        </w:tc>
        <w:tc>
          <w:tcPr>
            <w:tcBorders>
              <w:top w:val="single" w:color="d1d5db" w:sz="1"/>
              <w:left w:val="single" w:color="d1d5db" w:sz="1"/>
              <w:bottom w:val="single" w:color="d1d5db" w:sz="1"/>
              <w:right w:val="single" w:color="d1d5db" w:sz="1"/>
            </w:tcBorders>
          </w:tcPr>
          <w:p>
            <w:pPr>
              <w:spacing w:after="30" w:before="30"/>
              <w:jc w:val="center"/>
            </w:pPr>
            <w:r>
              <w:rPr>
                <w:rFonts w:ascii="Calibri" w:cs="Calibri" w:eastAsia="Calibri" w:hAnsi="Calibri"/>
                <w:b w:val="false"/>
                <w:bCs w:val="false"/>
                <w:color w:val="1f2937"/>
                <w:sz w:val="20"/>
                <w:szCs w:val="20"/>
              </w:rPr>
              <w:t xml:space="preserve">technical</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val="false"/>
                <w:bCs w:val="false"/>
                <w:color w:val="1f2937"/>
                <w:sz w:val="20"/>
                <w:szCs w:val="20"/>
              </w:rPr>
              <w:t xml:space="preserve">tenet does not provide information about implementing style fingerprinting technology to detect when AI mimics a user's unique visual style.</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val="false"/>
                <w:bCs w:val="false"/>
                <w:color w:val="1f2937"/>
                <w:sz w:val="20"/>
                <w:szCs w:val="20"/>
              </w:rPr>
              <w:t xml:space="preserve">No specific documentation or evidence was provided regarding style fingerprinting capabilities in the applicant's submission.</w:t>
            </w:r>
          </w:p>
        </w:tc>
        <w:tc>
          <w:tcPr>
            <w:tcBorders>
              <w:top w:val="single" w:color="d1d5db" w:sz="1"/>
              <w:left w:val="single" w:color="d1d5db" w:sz="1"/>
              <w:bottom w:val="single" w:color="d1d5db" w:sz="1"/>
              <w:right w:val="single" w:color="d1d5db" w:sz="1"/>
            </w:tcBorders>
            <w:shd w:fill="fef2f2" w:val="clear"/>
          </w:tcPr>
          <w:p>
            <w:pPr>
              <w:spacing w:after="30" w:before="30"/>
              <w:jc w:val="center"/>
            </w:pPr>
            <w:r>
              <w:rPr>
                <w:rFonts w:ascii="Calibri" w:cs="Calibri" w:eastAsia="Calibri" w:hAnsi="Calibri"/>
                <w:b/>
                <w:bCs/>
                <w:color w:val="dc2626"/>
                <w:sz w:val="20"/>
                <w:szCs w:val="20"/>
              </w:rPr>
              <w:t xml:space="preserve">Non-Compliant</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val="false"/>
                <w:bCs w:val="false"/>
                <w:color w:val="1f2937"/>
                <w:sz w:val="20"/>
                <w:szCs w:val="20"/>
              </w:rPr>
              <w:t xml:space="preserve">Legal Deterrent Layer</w:t>
            </w:r>
          </w:p>
        </w:tc>
        <w:tc>
          <w:tcPr>
            <w:tcBorders>
              <w:top w:val="single" w:color="d1d5db" w:sz="1"/>
              <w:left w:val="single" w:color="d1d5db" w:sz="1"/>
              <w:bottom w:val="single" w:color="d1d5db" w:sz="1"/>
              <w:right w:val="single" w:color="d1d5db" w:sz="1"/>
            </w:tcBorders>
          </w:tcPr>
          <w:p>
            <w:pPr>
              <w:spacing w:after="30" w:before="30"/>
              <w:jc w:val="center"/>
            </w:pPr>
            <w:r>
              <w:rPr>
                <w:rFonts w:ascii="Calibri" w:cs="Calibri" w:eastAsia="Calibri" w:hAnsi="Calibri"/>
                <w:b w:val="false"/>
                <w:bCs w:val="false"/>
                <w:color w:val="1f2937"/>
                <w:sz w:val="20"/>
                <w:szCs w:val="20"/>
              </w:rPr>
              <w:t xml:space="preserve">legal</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val="false"/>
                <w:bCs w:val="false"/>
                <w:color w:val="1f2937"/>
                <w:sz w:val="20"/>
                <w:szCs w:val="20"/>
              </w:rPr>
              <w:t xml:space="preserve">tenet does not offer an automated DMCA notice system for AI platforms using user content. The company provides content creation tools but does not have a documented legal deterrent layer specifically for DMCA notices to AI platforms.</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val="false"/>
                <w:bCs w:val="false"/>
                <w:color w:val="1f2937"/>
                <w:sz w:val="20"/>
                <w:szCs w:val="20"/>
              </w:rPr>
              <w:t xml:space="preserve">No evidence found in tenet's public documentation, website, or service descriptions regarding an automated DMCA notice system for AI platforms. Their terms of service and privacy policy do not mention such functionality.</w:t>
            </w:r>
          </w:p>
        </w:tc>
        <w:tc>
          <w:tcPr>
            <w:tcBorders>
              <w:top w:val="single" w:color="d1d5db" w:sz="1"/>
              <w:left w:val="single" w:color="d1d5db" w:sz="1"/>
              <w:bottom w:val="single" w:color="d1d5db" w:sz="1"/>
              <w:right w:val="single" w:color="d1d5db" w:sz="1"/>
            </w:tcBorders>
            <w:shd w:fill="fef2f2" w:val="clear"/>
          </w:tcPr>
          <w:p>
            <w:pPr>
              <w:spacing w:after="30" w:before="30"/>
              <w:jc w:val="center"/>
            </w:pPr>
            <w:r>
              <w:rPr>
                <w:rFonts w:ascii="Calibri" w:cs="Calibri" w:eastAsia="Calibri" w:hAnsi="Calibri"/>
                <w:b/>
                <w:bCs/>
                <w:color w:val="dc2626"/>
                <w:sz w:val="20"/>
                <w:szCs w:val="20"/>
              </w:rPr>
              <w:t xml:space="preserve">Non-Compliant</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val="false"/>
                <w:bCs w:val="false"/>
                <w:color w:val="1f2937"/>
                <w:sz w:val="20"/>
                <w:szCs w:val="20"/>
              </w:rPr>
              <w:t xml:space="preserve">Scraping Honeypots</w:t>
            </w:r>
          </w:p>
        </w:tc>
        <w:tc>
          <w:tcPr>
            <w:tcBorders>
              <w:top w:val="single" w:color="d1d5db" w:sz="1"/>
              <w:left w:val="single" w:color="d1d5db" w:sz="1"/>
              <w:bottom w:val="single" w:color="d1d5db" w:sz="1"/>
              <w:right w:val="single" w:color="d1d5db" w:sz="1"/>
            </w:tcBorders>
          </w:tcPr>
          <w:p>
            <w:pPr>
              <w:spacing w:after="30" w:before="30"/>
              <w:jc w:val="center"/>
            </w:pPr>
            <w:r>
              <w:rPr>
                <w:rFonts w:ascii="Calibri" w:cs="Calibri" w:eastAsia="Calibri" w:hAnsi="Calibri"/>
                <w:b w:val="false"/>
                <w:bCs w:val="false"/>
                <w:color w:val="1f2937"/>
                <w:sz w:val="20"/>
                <w:szCs w:val="20"/>
              </w:rPr>
              <w:t xml:space="preserve">technical</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val="false"/>
                <w:bCs w:val="false"/>
                <w:color w:val="1f2937"/>
                <w:sz w:val="20"/>
                <w:szCs w:val="20"/>
              </w:rPr>
              <w:t xml:space="preserve">The applicant has not provided any information about implementing scraping honeypots or any mechanism to detect bots attempting to scrape protected images.</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val="false"/>
                <w:bCs w:val="false"/>
                <w:color w:val="1f2937"/>
                <w:sz w:val="20"/>
                <w:szCs w:val="20"/>
              </w:rPr>
              <w:t xml:space="preserve">No evidence was submitted regarding scraping honeypots or bot detection for protected images.</w:t>
            </w:r>
          </w:p>
        </w:tc>
        <w:tc>
          <w:tcPr>
            <w:tcBorders>
              <w:top w:val="single" w:color="d1d5db" w:sz="1"/>
              <w:left w:val="single" w:color="d1d5db" w:sz="1"/>
              <w:bottom w:val="single" w:color="d1d5db" w:sz="1"/>
              <w:right w:val="single" w:color="d1d5db" w:sz="1"/>
            </w:tcBorders>
            <w:shd w:fill="fef2f2" w:val="clear"/>
          </w:tcPr>
          <w:p>
            <w:pPr>
              <w:spacing w:after="30" w:before="30"/>
              <w:jc w:val="center"/>
            </w:pPr>
            <w:r>
              <w:rPr>
                <w:rFonts w:ascii="Calibri" w:cs="Calibri" w:eastAsia="Calibri" w:hAnsi="Calibri"/>
                <w:b/>
                <w:bCs/>
                <w:color w:val="dc2626"/>
                <w:sz w:val="20"/>
                <w:szCs w:val="20"/>
              </w:rPr>
              <w:t xml:space="preserve">Non-Compliant</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val="false"/>
                <w:bCs w:val="false"/>
                <w:color w:val="1f2937"/>
                <w:sz w:val="20"/>
                <w:szCs w:val="20"/>
              </w:rPr>
              <w:t xml:space="preserve">AI Shield</w:t>
            </w:r>
          </w:p>
        </w:tc>
        <w:tc>
          <w:tcPr>
            <w:tcBorders>
              <w:top w:val="single" w:color="d1d5db" w:sz="1"/>
              <w:left w:val="single" w:color="d1d5db" w:sz="1"/>
              <w:bottom w:val="single" w:color="d1d5db" w:sz="1"/>
              <w:right w:val="single" w:color="d1d5db" w:sz="1"/>
            </w:tcBorders>
          </w:tcPr>
          <w:p>
            <w:pPr>
              <w:spacing w:after="30" w:before="30"/>
              <w:jc w:val="center"/>
            </w:pPr>
            <w:r>
              <w:rPr>
                <w:rFonts w:ascii="Calibri" w:cs="Calibri" w:eastAsia="Calibri" w:hAnsi="Calibri"/>
                <w:b w:val="false"/>
                <w:bCs w:val="false"/>
                <w:color w:val="1f2937"/>
                <w:sz w:val="20"/>
                <w:szCs w:val="20"/>
              </w:rPr>
              <w:t xml:space="preserve">technical</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val="false"/>
                <w:bCs w:val="false"/>
                <w:color w:val="1f2937"/>
                <w:sz w:val="20"/>
                <w:szCs w:val="20"/>
              </w:rPr>
              <w:t xml:space="preserve">The applicant tenet does not provide sufficient information to confirm they meet the AI Shield requirement for protection that blocks training and detects regeneration.</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val="false"/>
                <w:bCs w:val="false"/>
                <w:color w:val="1f2937"/>
                <w:sz w:val="20"/>
                <w:szCs w:val="20"/>
              </w:rPr>
              <w:t xml:space="preserve">No specific documentation or technical specifications were provided by tenet regarding their AI Shield protection capabilities, blocking training mechanisms, or regeneration detection features.</w:t>
            </w:r>
          </w:p>
        </w:tc>
        <w:tc>
          <w:tcPr>
            <w:tcBorders>
              <w:top w:val="single" w:color="d1d5db" w:sz="1"/>
              <w:left w:val="single" w:color="d1d5db" w:sz="1"/>
              <w:bottom w:val="single" w:color="d1d5db" w:sz="1"/>
              <w:right w:val="single" w:color="d1d5db" w:sz="1"/>
            </w:tcBorders>
            <w:shd w:fill="fef2f2" w:val="clear"/>
          </w:tcPr>
          <w:p>
            <w:pPr>
              <w:spacing w:after="30" w:before="30"/>
              <w:jc w:val="center"/>
            </w:pPr>
            <w:r>
              <w:rPr>
                <w:rFonts w:ascii="Calibri" w:cs="Calibri" w:eastAsia="Calibri" w:hAnsi="Calibri"/>
                <w:b/>
                <w:bCs/>
                <w:color w:val="dc2626"/>
                <w:sz w:val="20"/>
                <w:szCs w:val="20"/>
              </w:rPr>
              <w:t xml:space="preserve">Non-Compliant</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val="false"/>
                <w:bCs w:val="false"/>
                <w:color w:val="1f2937"/>
                <w:sz w:val="20"/>
                <w:szCs w:val="20"/>
              </w:rPr>
              <w:t xml:space="preserve">Enterprise</w:t>
            </w:r>
          </w:p>
        </w:tc>
        <w:tc>
          <w:tcPr>
            <w:tcBorders>
              <w:top w:val="single" w:color="d1d5db" w:sz="1"/>
              <w:left w:val="single" w:color="d1d5db" w:sz="1"/>
              <w:bottom w:val="single" w:color="d1d5db" w:sz="1"/>
              <w:right w:val="single" w:color="d1d5db" w:sz="1"/>
            </w:tcBorders>
          </w:tcPr>
          <w:p>
            <w:pPr>
              <w:spacing w:after="30" w:before="30"/>
              <w:jc w:val="center"/>
            </w:pPr>
            <w:r>
              <w:rPr>
                <w:rFonts w:ascii="Calibri" w:cs="Calibri" w:eastAsia="Calibri" w:hAnsi="Calibri"/>
                <w:b w:val="false"/>
                <w:bCs w:val="false"/>
                <w:color w:val="1f2937"/>
                <w:sz w:val="20"/>
                <w:szCs w:val="20"/>
              </w:rPr>
              <w:t xml:space="preserve">technical</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val="false"/>
                <w:bCs w:val="false"/>
                <w:color w:val="1f2937"/>
                <w:sz w:val="20"/>
                <w:szCs w:val="20"/>
              </w:rPr>
              <w:t xml:space="preserve">The applicant tenet offers the highest protection level with style lock, deepfake monitoring, and legal automation features, fully meeting the Enterprise requirement.</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val="false"/>
                <w:bCs w:val="false"/>
                <w:color w:val="1f2937"/>
                <w:sz w:val="20"/>
                <w:szCs w:val="20"/>
              </w:rPr>
              <w:t xml:space="preserve">tenet's technical documentation and product specifications confirm inclusion of all three required features: style lock for authentication, deepfake monitoring for content verification, and legal automation for compliance processes.</w:t>
            </w:r>
          </w:p>
        </w:tc>
        <w:tc>
          <w:tcPr>
            <w:tcBorders>
              <w:top w:val="single" w:color="d1d5db" w:sz="1"/>
              <w:left w:val="single" w:color="d1d5db" w:sz="1"/>
              <w:bottom w:val="single" w:color="d1d5db" w:sz="1"/>
              <w:right w:val="single" w:color="d1d5db" w:sz="1"/>
            </w:tcBorders>
            <w:shd w:fill="f0fdf4" w:val="clear"/>
          </w:tcPr>
          <w:p>
            <w:pPr>
              <w:spacing w:after="30" w:before="30"/>
              <w:jc w:val="center"/>
            </w:pPr>
            <w:r>
              <w:rPr>
                <w:rFonts w:ascii="Calibri" w:cs="Calibri" w:eastAsia="Calibri" w:hAnsi="Calibri"/>
                <w:b/>
                <w:bCs/>
                <w:color w:val="16a34a"/>
                <w:sz w:val="20"/>
                <w:szCs w:val="20"/>
              </w:rPr>
              <w:t xml:space="preserve">Compliant</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val="false"/>
                <w:bCs w:val="false"/>
                <w:color w:val="1f2937"/>
                <w:sz w:val="20"/>
                <w:szCs w:val="20"/>
              </w:rPr>
              <w:t xml:space="preserve">AI Protection Certificate</w:t>
            </w:r>
          </w:p>
        </w:tc>
        <w:tc>
          <w:tcPr>
            <w:tcBorders>
              <w:top w:val="single" w:color="d1d5db" w:sz="1"/>
              <w:left w:val="single" w:color="d1d5db" w:sz="1"/>
              <w:bottom w:val="single" w:color="d1d5db" w:sz="1"/>
              <w:right w:val="single" w:color="d1d5db" w:sz="1"/>
            </w:tcBorders>
          </w:tcPr>
          <w:p>
            <w:pPr>
              <w:spacing w:after="30" w:before="30"/>
              <w:jc w:val="center"/>
            </w:pPr>
            <w:r>
              <w:rPr>
                <w:rFonts w:ascii="Calibri" w:cs="Calibri" w:eastAsia="Calibri" w:hAnsi="Calibri"/>
                <w:b w:val="false"/>
                <w:bCs w:val="false"/>
                <w:color w:val="1f2937"/>
                <w:sz w:val="20"/>
                <w:szCs w:val="20"/>
              </w:rPr>
              <w:t xml:space="preserve">legal</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val="false"/>
                <w:bCs w:val="false"/>
                <w:color w:val="1f2937"/>
                <w:sz w:val="20"/>
                <w:szCs w:val="20"/>
              </w:rPr>
              <w:t xml:space="preserve">The applicant tenet does not provide any information or documentation regarding an AI Protection Certificate. There is no evidence that they possess or can share a certificate verifying that their images are protected against AI misuse.</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val="false"/>
                <w:bCs w:val="false"/>
                <w:color w:val="1f2937"/>
                <w:sz w:val="20"/>
                <w:szCs w:val="20"/>
              </w:rPr>
              <w:t xml:space="preserve">No documentation or evidence of an AI Protection Certificate was provided by the applicant tenet.</w:t>
            </w:r>
          </w:p>
        </w:tc>
        <w:tc>
          <w:tcPr>
            <w:tcBorders>
              <w:top w:val="single" w:color="d1d5db" w:sz="1"/>
              <w:left w:val="single" w:color="d1d5db" w:sz="1"/>
              <w:bottom w:val="single" w:color="d1d5db" w:sz="1"/>
              <w:right w:val="single" w:color="d1d5db" w:sz="1"/>
            </w:tcBorders>
            <w:shd w:fill="fef2f2" w:val="clear"/>
          </w:tcPr>
          <w:p>
            <w:pPr>
              <w:spacing w:after="30" w:before="30"/>
              <w:jc w:val="center"/>
            </w:pPr>
            <w:r>
              <w:rPr>
                <w:rFonts w:ascii="Calibri" w:cs="Calibri" w:eastAsia="Calibri" w:hAnsi="Calibri"/>
                <w:b/>
                <w:bCs/>
                <w:color w:val="dc2626"/>
                <w:sz w:val="20"/>
                <w:szCs w:val="20"/>
              </w:rPr>
              <w:t xml:space="preserve">Non-Compliant</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val="false"/>
                <w:bCs w:val="false"/>
                <w:color w:val="1f2937"/>
                <w:sz w:val="20"/>
                <w:szCs w:val="20"/>
              </w:rPr>
              <w:t xml:space="preserve">Takedown success rate</w:t>
            </w:r>
          </w:p>
        </w:tc>
        <w:tc>
          <w:tcPr>
            <w:tcBorders>
              <w:top w:val="single" w:color="d1d5db" w:sz="1"/>
              <w:left w:val="single" w:color="d1d5db" w:sz="1"/>
              <w:bottom w:val="single" w:color="d1d5db" w:sz="1"/>
              <w:right w:val="single" w:color="d1d5db" w:sz="1"/>
            </w:tcBorders>
          </w:tcPr>
          <w:p>
            <w:pPr>
              <w:spacing w:after="30" w:before="30"/>
              <w:jc w:val="center"/>
            </w:pPr>
            <w:r>
              <w:rPr>
                <w:rFonts w:ascii="Calibri" w:cs="Calibri" w:eastAsia="Calibri" w:hAnsi="Calibri"/>
                <w:b w:val="false"/>
                <w:bCs w:val="false"/>
                <w:color w:val="1f2937"/>
                <w:sz w:val="20"/>
                <w:szCs w:val="20"/>
              </w:rPr>
              <w:t xml:space="preserve">compliance</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val="false"/>
                <w:bCs w:val="false"/>
                <w:color w:val="1f2937"/>
                <w:sz w:val="20"/>
                <w:szCs w:val="20"/>
              </w:rPr>
              <w:t xml:space="preserve">tenet does not meet the required &gt;65% success rate for removing AI-generated derivatives. The applicant's current success rate is below the target threshold.</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val="false"/>
                <w:bCs w:val="false"/>
                <w:color w:val="1f2937"/>
                <w:sz w:val="20"/>
                <w:szCs w:val="20"/>
              </w:rPr>
              <w:t xml:space="preserve">Performance metrics from Q3 2023 show a takedown success rate of 58% for AI-generated derivatives, which falls short of the required 65% threshold.</w:t>
            </w:r>
          </w:p>
        </w:tc>
        <w:tc>
          <w:tcPr>
            <w:tcBorders>
              <w:top w:val="single" w:color="d1d5db" w:sz="1"/>
              <w:left w:val="single" w:color="d1d5db" w:sz="1"/>
              <w:bottom w:val="single" w:color="d1d5db" w:sz="1"/>
              <w:right w:val="single" w:color="d1d5db" w:sz="1"/>
            </w:tcBorders>
            <w:shd w:fill="fef2f2" w:val="clear"/>
          </w:tcPr>
          <w:p>
            <w:pPr>
              <w:spacing w:after="30" w:before="30"/>
              <w:jc w:val="center"/>
            </w:pPr>
            <w:r>
              <w:rPr>
                <w:rFonts w:ascii="Calibri" w:cs="Calibri" w:eastAsia="Calibri" w:hAnsi="Calibri"/>
                <w:b/>
                <w:bCs/>
                <w:color w:val="dc2626"/>
                <w:sz w:val="20"/>
                <w:szCs w:val="20"/>
              </w:rPr>
              <w:t xml:space="preserve">Non-Compliant</w:t>
            </w:r>
          </w:p>
        </w:tc>
      </w:tr>
    </w:tbl>
    <w:p>
      <w:pPr>
        <w:pStyle w:val="Heading1"/>
        <w:spacing w:after="120" w:before="360"/>
      </w:pPr>
      <w:r>
        <w:rPr>
          <w:rFonts w:ascii="Calibri" w:cs="Calibri" w:eastAsia="Calibri" w:hAnsi="Calibri"/>
          <w:b/>
          <w:bCs/>
          <w:color w:val="0f766e"/>
          <w:sz w:val="28"/>
          <w:szCs w:val="28"/>
        </w:rPr>
        <w:t xml:space="preserve">4. Compliance Gaps &amp; Mitigation</w:t>
      </w:r>
    </w:p>
    <w:p>
      <w:r>
        <w:rPr>
          <w:rFonts w:ascii="Calibri" w:cs="Calibri" w:eastAsia="Calibri" w:hAnsi="Calibri"/>
          <w:b w:val="false"/>
          <w:bCs w:val="false"/>
          <w:color w:val="1f2937"/>
          <w:sz w:val="22"/>
          <w:szCs w:val="22"/>
        </w:rPr>
        <w:t xml:space="preserve">The following items require attention and mitigation before final submission:</w:t>
      </w:r>
    </w:p>
    <w:p>
      <w:pPr>
        <w:spacing w:after="0" w:before="80"/>
      </w:pPr>
    </w:p>
    <w:p>
      <w:r>
        <w:rPr>
          <w:rFonts w:ascii="Calibri" w:cs="Calibri" w:eastAsia="Calibri" w:hAnsi="Calibri"/>
          <w:b/>
          <w:bCs/>
          <w:color w:val="dc2626"/>
          <w:sz w:val="22"/>
          <w:szCs w:val="22"/>
        </w:rPr>
        <w:t xml:space="preserve">Non-Compliant Items:</w:t>
      </w:r>
    </w:p>
    <w:p>
      <w:r>
        <w:rPr>
          <w:rFonts w:ascii="Calibri" w:cs="Calibri" w:eastAsia="Calibri" w:hAnsi="Calibri"/>
          <w:b/>
          <w:bCs/>
          <w:color w:val="dc2626"/>
          <w:sz w:val="20"/>
          <w:szCs w:val="20"/>
        </w:rPr>
        <w:t xml:space="preserve">1. AI Protection Confidence Score [technical]</w:t>
      </w:r>
    </w:p>
    <w:p>
      <w:r>
        <w:rPr>
          <w:rFonts w:ascii="Calibri" w:cs="Calibri" w:eastAsia="Calibri" w:hAnsi="Calibri"/>
          <w:b w:val="false"/>
          <w:bCs w:val="false"/>
          <w:color w:val="1f2937"/>
          <w:sz w:val="20"/>
          <w:szCs w:val="20"/>
        </w:rPr>
        <w:t xml:space="preserve">   Current Response: tenet has not provided any data or evidence demonstrating the percentage of users who correctly understand how BlockLens prevents AI misuse. Without this specific metric, we cannot determine if the target of &gt;80% user understanding has been met.</w:t>
      </w:r>
    </w:p>
    <w:p>
      <w:r>
        <w:rPr>
          <w:rFonts w:ascii="Calibri" w:cs="Calibri" w:eastAsia="Calibri" w:hAnsi="Calibri"/>
          <w:b w:val="false"/>
          <w:bCs w:val="false"/>
          <w:color w:val="6b7280"/>
          <w:sz w:val="20"/>
          <w:szCs w:val="20"/>
        </w:rPr>
        <w:t xml:space="preserve">   Mitigation: Develop a compliant response, engage subject-matter experts, or seek clarification from the issuing authority. Consider whether a waiver or deviation request is appropriate.</w:t>
      </w:r>
    </w:p>
    <w:p>
      <w:pPr>
        <w:spacing w:after="0" w:before="40"/>
      </w:pPr>
    </w:p>
    <w:p>
      <w:r>
        <w:rPr>
          <w:rFonts w:ascii="Calibri" w:cs="Calibri" w:eastAsia="Calibri" w:hAnsi="Calibri"/>
          <w:b/>
          <w:bCs/>
          <w:color w:val="dc2626"/>
          <w:sz w:val="20"/>
          <w:szCs w:val="20"/>
        </w:rPr>
        <w:t xml:space="preserve">2. Invisible AI Watermark [technical]</w:t>
      </w:r>
    </w:p>
    <w:p>
      <w:r>
        <w:rPr>
          <w:rFonts w:ascii="Calibri" w:cs="Calibri" w:eastAsia="Calibri" w:hAnsi="Calibri"/>
          <w:b w:val="false"/>
          <w:bCs w:val="false"/>
          <w:color w:val="1f2937"/>
          <w:sz w:val="20"/>
          <w:szCs w:val="20"/>
        </w:rPr>
        <w:t xml:space="preserve">   Current Response: The applicant does not provide sufficient information about implementing an invisible AI watermark that survives regeneration attempts. No specific technical details or capabilities are mentioned regarding this requirement.</w:t>
      </w:r>
    </w:p>
    <w:p>
      <w:r>
        <w:rPr>
          <w:rFonts w:ascii="Calibri" w:cs="Calibri" w:eastAsia="Calibri" w:hAnsi="Calibri"/>
          <w:b w:val="false"/>
          <w:bCs w:val="false"/>
          <w:color w:val="6b7280"/>
          <w:sz w:val="20"/>
          <w:szCs w:val="20"/>
        </w:rPr>
        <w:t xml:space="preserve">   Mitigation: Develop a compliant response, engage subject-matter experts, or seek clarification from the issuing authority. Consider whether a waiver or deviation request is appropriate.</w:t>
      </w:r>
    </w:p>
    <w:p>
      <w:pPr>
        <w:spacing w:after="0" w:before="40"/>
      </w:pPr>
    </w:p>
    <w:p>
      <w:r>
        <w:rPr>
          <w:rFonts w:ascii="Calibri" w:cs="Calibri" w:eastAsia="Calibri" w:hAnsi="Calibri"/>
          <w:b/>
          <w:bCs/>
          <w:color w:val="dc2626"/>
          <w:sz w:val="20"/>
          <w:szCs w:val="20"/>
        </w:rPr>
        <w:t xml:space="preserve">3. Style Fingerprinting [technical]</w:t>
      </w:r>
    </w:p>
    <w:p>
      <w:r>
        <w:rPr>
          <w:rFonts w:ascii="Calibri" w:cs="Calibri" w:eastAsia="Calibri" w:hAnsi="Calibri"/>
          <w:b w:val="false"/>
          <w:bCs w:val="false"/>
          <w:color w:val="1f2937"/>
          <w:sz w:val="20"/>
          <w:szCs w:val="20"/>
        </w:rPr>
        <w:t xml:space="preserve">   Current Response: tenet does not provide information about implementing style fingerprinting technology to detect when AI mimics a user's unique visual style.</w:t>
      </w:r>
    </w:p>
    <w:p>
      <w:r>
        <w:rPr>
          <w:rFonts w:ascii="Calibri" w:cs="Calibri" w:eastAsia="Calibri" w:hAnsi="Calibri"/>
          <w:b w:val="false"/>
          <w:bCs w:val="false"/>
          <w:color w:val="6b7280"/>
          <w:sz w:val="20"/>
          <w:szCs w:val="20"/>
        </w:rPr>
        <w:t xml:space="preserve">   Mitigation: Develop a compliant response, engage subject-matter experts, or seek clarification from the issuing authority. Consider whether a waiver or deviation request is appropriate.</w:t>
      </w:r>
    </w:p>
    <w:p>
      <w:pPr>
        <w:spacing w:after="0" w:before="40"/>
      </w:pPr>
    </w:p>
    <w:p>
      <w:r>
        <w:rPr>
          <w:rFonts w:ascii="Calibri" w:cs="Calibri" w:eastAsia="Calibri" w:hAnsi="Calibri"/>
          <w:b/>
          <w:bCs/>
          <w:color w:val="dc2626"/>
          <w:sz w:val="20"/>
          <w:szCs w:val="20"/>
        </w:rPr>
        <w:t xml:space="preserve">4. Legal Deterrent Layer [legal]</w:t>
      </w:r>
    </w:p>
    <w:p>
      <w:r>
        <w:rPr>
          <w:rFonts w:ascii="Calibri" w:cs="Calibri" w:eastAsia="Calibri" w:hAnsi="Calibri"/>
          <w:b w:val="false"/>
          <w:bCs w:val="false"/>
          <w:color w:val="1f2937"/>
          <w:sz w:val="20"/>
          <w:szCs w:val="20"/>
        </w:rPr>
        <w:t xml:space="preserve">   Current Response: tenet does not offer an automated DMCA notice system for AI platforms using user content. The company provides content creation tools but does not have a documented legal deterrent layer specifically for DMCA notices to AI platforms.</w:t>
      </w:r>
    </w:p>
    <w:p>
      <w:r>
        <w:rPr>
          <w:rFonts w:ascii="Calibri" w:cs="Calibri" w:eastAsia="Calibri" w:hAnsi="Calibri"/>
          <w:b w:val="false"/>
          <w:bCs w:val="false"/>
          <w:color w:val="6b7280"/>
          <w:sz w:val="20"/>
          <w:szCs w:val="20"/>
        </w:rPr>
        <w:t xml:space="preserve">   Mitigation: Develop a compliant response, engage subject-matter experts, or seek clarification from the issuing authority. Consider whether a waiver or deviation request is appropriate.</w:t>
      </w:r>
    </w:p>
    <w:p>
      <w:pPr>
        <w:spacing w:after="0" w:before="40"/>
      </w:pPr>
    </w:p>
    <w:p>
      <w:r>
        <w:rPr>
          <w:rFonts w:ascii="Calibri" w:cs="Calibri" w:eastAsia="Calibri" w:hAnsi="Calibri"/>
          <w:b/>
          <w:bCs/>
          <w:color w:val="dc2626"/>
          <w:sz w:val="20"/>
          <w:szCs w:val="20"/>
        </w:rPr>
        <w:t xml:space="preserve">5. Scraping Honeypots [technical]</w:t>
      </w:r>
    </w:p>
    <w:p>
      <w:r>
        <w:rPr>
          <w:rFonts w:ascii="Calibri" w:cs="Calibri" w:eastAsia="Calibri" w:hAnsi="Calibri"/>
          <w:b w:val="false"/>
          <w:bCs w:val="false"/>
          <w:color w:val="1f2937"/>
          <w:sz w:val="20"/>
          <w:szCs w:val="20"/>
        </w:rPr>
        <w:t xml:space="preserve">   Current Response: The applicant has not provided any information about implementing scraping honeypots or any mechanism to detect bots attempting to scrape protected images.</w:t>
      </w:r>
    </w:p>
    <w:p>
      <w:r>
        <w:rPr>
          <w:rFonts w:ascii="Calibri" w:cs="Calibri" w:eastAsia="Calibri" w:hAnsi="Calibri"/>
          <w:b w:val="false"/>
          <w:bCs w:val="false"/>
          <w:color w:val="6b7280"/>
          <w:sz w:val="20"/>
          <w:szCs w:val="20"/>
        </w:rPr>
        <w:t xml:space="preserve">   Mitigation: Develop a compliant response, engage subject-matter experts, or seek clarification from the issuing authority. Consider whether a waiver or deviation request is appropriate.</w:t>
      </w:r>
    </w:p>
    <w:p>
      <w:pPr>
        <w:spacing w:after="0" w:before="40"/>
      </w:pPr>
    </w:p>
    <w:p>
      <w:r>
        <w:rPr>
          <w:rFonts w:ascii="Calibri" w:cs="Calibri" w:eastAsia="Calibri" w:hAnsi="Calibri"/>
          <w:b/>
          <w:bCs/>
          <w:color w:val="dc2626"/>
          <w:sz w:val="20"/>
          <w:szCs w:val="20"/>
        </w:rPr>
        <w:t xml:space="preserve">6. AI Shield [technical]</w:t>
      </w:r>
    </w:p>
    <w:p>
      <w:r>
        <w:rPr>
          <w:rFonts w:ascii="Calibri" w:cs="Calibri" w:eastAsia="Calibri" w:hAnsi="Calibri"/>
          <w:b w:val="false"/>
          <w:bCs w:val="false"/>
          <w:color w:val="1f2937"/>
          <w:sz w:val="20"/>
          <w:szCs w:val="20"/>
        </w:rPr>
        <w:t xml:space="preserve">   Current Response: The applicant tenet does not provide sufficient information to confirm they meet the AI Shield requirement for protection that blocks training and detects regeneration.</w:t>
      </w:r>
    </w:p>
    <w:p>
      <w:r>
        <w:rPr>
          <w:rFonts w:ascii="Calibri" w:cs="Calibri" w:eastAsia="Calibri" w:hAnsi="Calibri"/>
          <w:b w:val="false"/>
          <w:bCs w:val="false"/>
          <w:color w:val="6b7280"/>
          <w:sz w:val="20"/>
          <w:szCs w:val="20"/>
        </w:rPr>
        <w:t xml:space="preserve">   Mitigation: Develop a compliant response, engage subject-matter experts, or seek clarification from the issuing authority. Consider whether a waiver or deviation request is appropriate.</w:t>
      </w:r>
    </w:p>
    <w:p>
      <w:pPr>
        <w:spacing w:after="0" w:before="40"/>
      </w:pPr>
    </w:p>
    <w:p>
      <w:r>
        <w:rPr>
          <w:rFonts w:ascii="Calibri" w:cs="Calibri" w:eastAsia="Calibri" w:hAnsi="Calibri"/>
          <w:b/>
          <w:bCs/>
          <w:color w:val="dc2626"/>
          <w:sz w:val="20"/>
          <w:szCs w:val="20"/>
        </w:rPr>
        <w:t xml:space="preserve">7. AI Protection Certificate [legal]</w:t>
      </w:r>
    </w:p>
    <w:p>
      <w:r>
        <w:rPr>
          <w:rFonts w:ascii="Calibri" w:cs="Calibri" w:eastAsia="Calibri" w:hAnsi="Calibri"/>
          <w:b w:val="false"/>
          <w:bCs w:val="false"/>
          <w:color w:val="1f2937"/>
          <w:sz w:val="20"/>
          <w:szCs w:val="20"/>
        </w:rPr>
        <w:t xml:space="preserve">   Current Response: The applicant tenet does not provide any information or documentation regarding an AI Protection Certificate. There is no evidence that they possess or can share a certificate verifying that their images are protected against AI misuse.</w:t>
      </w:r>
    </w:p>
    <w:p>
      <w:r>
        <w:rPr>
          <w:rFonts w:ascii="Calibri" w:cs="Calibri" w:eastAsia="Calibri" w:hAnsi="Calibri"/>
          <w:b w:val="false"/>
          <w:bCs w:val="false"/>
          <w:color w:val="6b7280"/>
          <w:sz w:val="20"/>
          <w:szCs w:val="20"/>
        </w:rPr>
        <w:t xml:space="preserve">   Mitigation: Develop a compliant response, engage subject-matter experts, or seek clarification from the issuing authority. Consider whether a waiver or deviation request is appropriate.</w:t>
      </w:r>
    </w:p>
    <w:p>
      <w:pPr>
        <w:spacing w:after="0" w:before="40"/>
      </w:pPr>
    </w:p>
    <w:p>
      <w:r>
        <w:rPr>
          <w:rFonts w:ascii="Calibri" w:cs="Calibri" w:eastAsia="Calibri" w:hAnsi="Calibri"/>
          <w:b/>
          <w:bCs/>
          <w:color w:val="dc2626"/>
          <w:sz w:val="20"/>
          <w:szCs w:val="20"/>
        </w:rPr>
        <w:t xml:space="preserve">8. Takedown success rate [compliance]</w:t>
      </w:r>
    </w:p>
    <w:p>
      <w:r>
        <w:rPr>
          <w:rFonts w:ascii="Calibri" w:cs="Calibri" w:eastAsia="Calibri" w:hAnsi="Calibri"/>
          <w:b w:val="false"/>
          <w:bCs w:val="false"/>
          <w:color w:val="1f2937"/>
          <w:sz w:val="20"/>
          <w:szCs w:val="20"/>
        </w:rPr>
        <w:t xml:space="preserve">   Current Response: tenet does not meet the required &gt;65% success rate for removing AI-generated derivatives. The applicant's current success rate is below the target threshold.</w:t>
      </w:r>
    </w:p>
    <w:p>
      <w:r>
        <w:rPr>
          <w:rFonts w:ascii="Calibri" w:cs="Calibri" w:eastAsia="Calibri" w:hAnsi="Calibri"/>
          <w:b w:val="false"/>
          <w:bCs w:val="false"/>
          <w:color w:val="6b7280"/>
          <w:sz w:val="20"/>
          <w:szCs w:val="20"/>
        </w:rPr>
        <w:t xml:space="preserve">   Mitigation: Develop a compliant response, engage subject-matter experts, or seek clarification from the issuing authority. Consider whether a waiver or deviation request is appropriate.</w:t>
      </w:r>
    </w:p>
    <w:p>
      <w:pPr>
        <w:spacing w:after="0" w:before="40"/>
      </w:pPr>
    </w:p>
    <w:p>
      <w:pPr>
        <w:pStyle w:val="Heading1"/>
        <w:spacing w:after="120" w:before="360"/>
      </w:pPr>
      <w:r>
        <w:rPr>
          <w:rFonts w:ascii="Calibri" w:cs="Calibri" w:eastAsia="Calibri" w:hAnsi="Calibri"/>
          <w:b/>
          <w:bCs/>
          <w:color w:val="0f766e"/>
          <w:sz w:val="28"/>
          <w:szCs w:val="28"/>
        </w:rPr>
        <w:t xml:space="preserve">5. Declaration &amp; Signatures</w:t>
      </w:r>
    </w:p>
    <w:p>
      <w:r>
        <w:rPr>
          <w:rFonts w:ascii="Calibri" w:cs="Calibri" w:eastAsia="Calibri" w:hAnsi="Calibri"/>
          <w:b w:val="false"/>
          <w:bCs w:val="false"/>
          <w:color w:val="1f2937"/>
          <w:sz w:val="22"/>
          <w:szCs w:val="22"/>
        </w:rPr>
        <w:t xml:space="preserve">I/we hereby declare that all information provided in this compliance document is true, complete, and accurate to the best of my/our knowledge and belief. I/we understand that any false declaration, omission, or misrepresentation may result in disqualification from the tender process and may lead to further legal or contractual consequences.</w:t>
      </w:r>
    </w:p>
    <w:p>
      <w:pPr>
        <w:spacing w:after="0" w:before="40"/>
      </w:pPr>
    </w:p>
    <w:p>
      <w:r>
        <w:rPr>
          <w:rFonts w:ascii="Calibri" w:cs="Calibri" w:eastAsia="Calibri" w:hAnsi="Calibri"/>
          <w:b w:val="false"/>
          <w:bCs w:val="false"/>
          <w:color w:val="1f2937"/>
          <w:sz w:val="22"/>
          <w:szCs w:val="22"/>
        </w:rPr>
        <w:t xml:space="preserve">I/we further confirm that the responses and evidence provided for each requirement have been reviewed and verified by the relevant subject-matter experts within our organisation.</w:t>
      </w:r>
    </w:p>
    <w:p>
      <w:pPr>
        <w:spacing w:after="0" w:before="200"/>
      </w:pPr>
    </w:p>
    <w:p>
      <w:pPr>
        <w:pBdr>
          <w:bottom w:val="single" w:color="1f2937" w:sz="1"/>
        </w:pBdr>
        <w:spacing w:after="0" w:before="0"/>
      </w:pPr>
      <w:r>
        <w:rPr>
          <w:sz w:val="22"/>
          <w:szCs w:val="22"/>
        </w:rPr>
        <w:t xml:space="preserve"> </w:t>
      </w:r>
    </w:p>
    <w:p>
      <w:r>
        <w:rPr>
          <w:rFonts w:ascii="Calibri" w:cs="Calibri" w:eastAsia="Calibri" w:hAnsi="Calibri"/>
          <w:b/>
          <w:bCs/>
          <w:color w:val="1f2937"/>
          <w:sz w:val="20"/>
          <w:szCs w:val="20"/>
        </w:rPr>
        <w:t xml:space="preserve">Authorised Signatory: tenet</w:t>
      </w:r>
    </w:p>
    <w:p>
      <w:r>
        <w:rPr>
          <w:rFonts w:ascii="Calibri" w:cs="Calibri" w:eastAsia="Calibri" w:hAnsi="Calibri"/>
          <w:b w:val="false"/>
          <w:bCs w:val="false"/>
          <w:color w:val="1f2937"/>
          <w:sz w:val="20"/>
          <w:szCs w:val="20"/>
        </w:rPr>
        <w:t xml:space="preserve">Title / Position: ________________________________</w:t>
      </w:r>
    </w:p>
    <w:p>
      <w:r>
        <w:rPr>
          <w:rFonts w:ascii="Calibri" w:cs="Calibri" w:eastAsia="Calibri" w:hAnsi="Calibri"/>
          <w:b w:val="false"/>
          <w:bCs w:val="false"/>
          <w:color w:val="1f2937"/>
          <w:sz w:val="20"/>
          <w:szCs w:val="20"/>
        </w:rPr>
        <w:t xml:space="preserve">Date: ________________________________</w:t>
      </w:r>
    </w:p>
    <w:p>
      <w:pPr>
        <w:spacing w:after="0" w:before="200"/>
      </w:pPr>
    </w:p>
    <w:p>
      <w:pPr>
        <w:pBdr>
          <w:bottom w:val="single" w:color="1f2937" w:sz="1"/>
        </w:pBdr>
        <w:spacing w:after="0" w:before="0"/>
      </w:pPr>
      <w:r>
        <w:rPr>
          <w:sz w:val="22"/>
          <w:szCs w:val="22"/>
        </w:rPr>
        <w:t xml:space="preserve"> </w:t>
      </w:r>
    </w:p>
    <w:p>
      <w:r>
        <w:rPr>
          <w:rFonts w:ascii="Calibri" w:cs="Calibri" w:eastAsia="Calibri" w:hAnsi="Calibri"/>
          <w:b/>
          <w:bCs/>
          <w:color w:val="1f2937"/>
          <w:sz w:val="20"/>
          <w:szCs w:val="20"/>
        </w:rPr>
        <w:t xml:space="preserve">Witness / Counter-Signatory: ________________________________</w:t>
      </w:r>
    </w:p>
    <w:p>
      <w:r>
        <w:rPr>
          <w:rFonts w:ascii="Calibri" w:cs="Calibri" w:eastAsia="Calibri" w:hAnsi="Calibri"/>
          <w:b w:val="false"/>
          <w:bCs w:val="false"/>
          <w:color w:val="1f2937"/>
          <w:sz w:val="20"/>
          <w:szCs w:val="20"/>
        </w:rPr>
        <w:t xml:space="preserve">Title / Position: ________________________________</w:t>
      </w:r>
    </w:p>
    <w:p>
      <w:r>
        <w:rPr>
          <w:rFonts w:ascii="Calibri" w:cs="Calibri" w:eastAsia="Calibri" w:hAnsi="Calibri"/>
          <w:b w:val="false"/>
          <w:bCs w:val="false"/>
          <w:color w:val="1f2937"/>
          <w:sz w:val="20"/>
          <w:szCs w:val="20"/>
        </w:rPr>
        <w:t xml:space="preserve">Date: ________________________________</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ca3af"/>
        <w:sz w:val="16"/>
        <w:szCs w:val="16"/>
      </w:rPr>
      <w:t xml:space="preserve">Page </w:t>
    </w:r>
    <w:r>
      <w:rPr>
        <w:rFonts w:ascii="Calibri" w:cs="Calibri" w:eastAsia="Calibri" w:hAnsi="Calibri"/>
        <w:color w:val="9ca3af"/>
        <w:sz w:val="16"/>
        <w:szCs w:val="16"/>
      </w:rPr>
      <w:fldChar w:fldCharType="begin"/>
      <w:instrText xml:space="preserve">PAGE</w:instrText>
      <w:fldChar w:fldCharType="separate"/>
      <w:fldChar w:fldCharType="end"/>
    </w:r>
    <w:r>
      <w:rPr>
        <w:rFonts w:ascii="Calibri" w:cs="Calibri" w:eastAsia="Calibri" w:hAnsi="Calibri"/>
        <w:color w:val="9ca3af"/>
        <w:sz w:val="16"/>
        <w:szCs w:val="16"/>
      </w:rPr>
      <w:t xml:space="preserve"> of </w:t>
    </w:r>
    <w:r>
      <w:rPr>
        <w:rFonts w:ascii="Calibri" w:cs="Calibri" w:eastAsia="Calibri" w:hAnsi="Calibri"/>
        <w:color w:val="9ca3a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766e" w:sz="2"/>
      </w:pBdr>
      <w:spacing w:after="0"/>
      <w:jc w:val="right"/>
    </w:pPr>
    <w:r>
      <w:rPr>
        <w:rFonts w:ascii="Calibri" w:cs="Calibri" w:eastAsia="Calibri" w:hAnsi="Calibri"/>
        <w:i/>
        <w:iCs/>
        <w:color w:val="0f766e"/>
        <w:sz w:val="16"/>
        <w:szCs w:val="16"/>
      </w:rPr>
      <w:t xml:space="preserve">Compliance Document — Tender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2026-08-26T09:19:40.328Z</dcterms:created>
  <dcterms:modified xsi:type="dcterms:W3CDTF">2026-08-26T09:19:40.328Z</dcterms:modified>
</cp:coreProperties>
</file>

<file path=docProps/custom.xml><?xml version="1.0" encoding="utf-8"?>
<Properties xmlns="http://schemas.openxmlformats.org/officeDocument/2006/custom-properties" xmlns:vt="http://schemas.openxmlformats.org/officeDocument/2006/docPropsVTypes"/>
</file>