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Calibri" w:cs="Calibri" w:eastAsia="Calibri" w:hAnsi="Calibri"/>
          <w:b/>
          <w:bCs/>
          <w:color w:val="0f766e"/>
          <w:sz w:val="44"/>
          <w:szCs w:val="44"/>
        </w:rPr>
        <w:t xml:space="preserve">COMPLIANCE &amp; APPLICATION DOCUMENT</w:t>
      </w:r>
    </w:p>
    <w:p>
      <w:pPr>
        <w:spacing w:after="0" w:before="200"/>
      </w:pPr>
    </w:p>
    <w:p>
      <w:pPr>
        <w:pBdr>
          <w:bottom w:val="single" w:color="0f766e" w:sz="6"/>
        </w:pBdr>
        <w:spacing w:after="200" w:before="0"/>
        <w:jc w:val="center"/>
      </w:pPr>
    </w:p>
    <w:p>
      <w:pPr>
        <w:spacing w:after="0" w:before="100"/>
      </w:pPr>
    </w:p>
    <w:p>
      <w:pPr>
        <w:jc w:val="center"/>
      </w:pPr>
      <w:r>
        <w:rPr>
          <w:rFonts w:ascii="Calibri" w:cs="Calibri" w:eastAsia="Calibri" w:hAnsi="Calibri"/>
          <w:b/>
          <w:bCs/>
          <w:color w:val="1f2937"/>
          <w:sz w:val="32"/>
          <w:szCs w:val="32"/>
        </w:rPr>
        <w:t xml:space="preserve">tenet</w:t>
      </w:r>
    </w:p>
    <w:p>
      <w:pPr>
        <w:spacing w:after="0" w:before="100"/>
      </w:pPr>
    </w:p>
    <w:p>
      <w:pPr>
        <w:spacing w:after="0" w:before="400"/>
      </w:pPr>
    </w:p>
    <w:p>
      <w:pPr>
        <w:jc w:val="center"/>
      </w:pPr>
      <w:r>
        <w:rPr>
          <w:rFonts w:ascii="Calibri" w:cs="Calibri" w:eastAsia="Calibri" w:hAnsi="Calibri"/>
          <w:b/>
          <w:bCs/>
          <w:color w:val="0f766e"/>
          <w:sz w:val="24"/>
          <w:szCs w:val="24"/>
        </w:rPr>
        <w:t xml:space="preserve">Tender: Tender Analysis</w:t>
      </w:r>
    </w:p>
    <w:p>
      <w:pPr>
        <w:jc w:val="center"/>
      </w:pPr>
      <w:r>
        <w:rPr>
          <w:rFonts w:ascii="Calibri" w:cs="Calibri" w:eastAsia="Calibri" w:hAnsi="Calibri"/>
          <w:b w:val="false"/>
          <w:bCs w:val="false"/>
          <w:color w:val="1f2937"/>
          <w:sz w:val="22"/>
          <w:szCs w:val="22"/>
        </w:rPr>
        <w:t xml:space="preserve">Issuing Authority: BlockLens Security Technologies</w:t>
      </w:r>
    </w:p>
    <w:p>
      <w:pPr>
        <w:spacing w:after="0" w:before="400"/>
      </w:pPr>
    </w:p>
    <w:p>
      <w:pPr>
        <w:jc w:val="center"/>
      </w:pPr>
      <w:r>
        <w:rPr>
          <w:rFonts w:ascii="Calibri" w:cs="Calibri" w:eastAsia="Calibri" w:hAnsi="Calibri"/>
          <w:b w:val="false"/>
          <w:bCs w:val="false"/>
          <w:color w:val="1f2937"/>
          <w:sz w:val="22"/>
          <w:szCs w:val="22"/>
        </w:rPr>
        <w:t xml:space="preserve">Date: August 26, 2026</w:t>
      </w:r>
    </w:p>
    <w:p>
      <w:r>
        <w:br w:type="page"/>
      </w:r>
    </w:p>
    <w:p>
      <w:pPr>
        <w:pStyle w:val="Heading1"/>
        <w:spacing w:after="120" w:before="240"/>
      </w:pPr>
      <w:r>
        <w:rPr>
          <w:rFonts w:ascii="Calibri" w:cs="Calibri" w:eastAsia="Calibri" w:hAnsi="Calibri"/>
          <w:b/>
          <w:bCs/>
          <w:color w:val="0f766e"/>
          <w:sz w:val="28"/>
          <w:szCs w:val="28"/>
        </w:rPr>
        <w:t xml:space="preserve">1. Executive Summary</w:t>
      </w:r>
    </w:p>
    <w:p>
      <w:r>
        <w:rPr>
          <w:rFonts w:ascii="Calibri" w:cs="Calibri" w:eastAsia="Calibri" w:hAnsi="Calibri"/>
          <w:b w:val="false"/>
          <w:bCs w:val="false"/>
          <w:color w:val="1f2937"/>
          <w:sz w:val="22"/>
          <w:szCs w:val="22"/>
        </w:rPr>
        <w:t xml:space="preserve">This document provides a comprehensive compliance assessment against the specified tender requirements. Of the 10 requirements evaluated, 1 are fully compliant, 2 are partially compliant, and 7 are non-compliant, yielding an overall compliance rate of 10.0%.</w:t>
      </w:r>
    </w:p>
    <w:p>
      <w:pPr>
        <w:spacing w:after="0" w:before="80"/>
      </w:pPr>
    </w:p>
    <w:p>
      <w:r>
        <w:rPr>
          <w:rFonts w:ascii="Calibri" w:cs="Calibri" w:eastAsia="Calibri" w:hAnsi="Calibri"/>
          <w:b/>
          <w:bCs/>
          <w:color w:val="1f2937"/>
          <w:sz w:val="22"/>
          <w:szCs w:val="22"/>
        </w:rPr>
        <w:t xml:space="preserve">Compliance Overview:</w:t>
      </w:r>
    </w:p>
    <w:p>
      <w:pPr>
        <w:spacing w:after="0" w:before="40"/>
      </w:pPr>
    </w:p>
    <w:p>
      <w:r>
        <w:rPr>
          <w:rFonts w:ascii="Calibri" w:cs="Calibri" w:eastAsia="Calibri" w:hAnsi="Calibri"/>
          <w:b w:val="false"/>
          <w:bCs w:val="false"/>
          <w:color w:val="16a34a"/>
          <w:sz w:val="22"/>
          <w:szCs w:val="22"/>
        </w:rPr>
        <w:t xml:space="preserve">  •  Compliant:         1 requirement(s)</w:t>
      </w:r>
    </w:p>
    <w:p>
      <w:r>
        <w:rPr>
          <w:rFonts w:ascii="Calibri" w:cs="Calibri" w:eastAsia="Calibri" w:hAnsi="Calibri"/>
          <w:b w:val="false"/>
          <w:bCs w:val="false"/>
          <w:color w:val="ca8a04"/>
          <w:sz w:val="22"/>
          <w:szCs w:val="22"/>
        </w:rPr>
        <w:t xml:space="preserve">  •  Partial:           2 requirement(s)</w:t>
      </w:r>
    </w:p>
    <w:p>
      <w:r>
        <w:rPr>
          <w:rFonts w:ascii="Calibri" w:cs="Calibri" w:eastAsia="Calibri" w:hAnsi="Calibri"/>
          <w:b w:val="false"/>
          <w:bCs w:val="false"/>
          <w:color w:val="dc2626"/>
          <w:sz w:val="22"/>
          <w:szCs w:val="22"/>
        </w:rPr>
        <w:t xml:space="preserve">  •  Non-Compliant:     7 requirement(s)</w:t>
      </w:r>
    </w:p>
    <w:p>
      <w:r>
        <w:rPr>
          <w:rFonts w:ascii="Calibri" w:cs="Calibri" w:eastAsia="Calibri" w:hAnsi="Calibri"/>
          <w:b/>
          <w:bCs/>
          <w:color w:val="1f2937"/>
          <w:sz w:val="22"/>
          <w:szCs w:val="22"/>
        </w:rPr>
        <w:t xml:space="preserve">  •  Compliance Rate:   10.0%</w:t>
      </w:r>
    </w:p>
    <w:p>
      <w:pPr>
        <w:spacing w:after="0" w:before="80"/>
      </w:pPr>
    </w:p>
    <w:p>
      <w:r>
        <w:rPr>
          <w:rFonts w:ascii="Calibri" w:cs="Calibri" w:eastAsia="Calibri" w:hAnsi="Calibri"/>
          <w:b/>
          <w:bCs/>
          <w:color w:val="dc2626"/>
          <w:sz w:val="22"/>
          <w:szCs w:val="22"/>
        </w:rPr>
        <w:t xml:space="preserve">⚠ Attention: There are non-compliant items that require mitigation strategies before submission. Please review Section 5 (Compliance Gaps) for details.</w:t>
      </w:r>
    </w:p>
    <w:p>
      <w:pPr>
        <w:pStyle w:val="Heading1"/>
        <w:spacing w:after="120" w:before="360"/>
      </w:pPr>
      <w:r>
        <w:rPr>
          <w:rFonts w:ascii="Calibri" w:cs="Calibri" w:eastAsia="Calibri" w:hAnsi="Calibri"/>
          <w:b/>
          <w:bCs/>
          <w:color w:val="0f766e"/>
          <w:sz w:val="28"/>
          <w:szCs w:val="28"/>
        </w:rPr>
        <w:t xml:space="preserve">2. Compliance Summary</w:t>
      </w:r>
    </w:p>
    <w:p>
      <w:r>
        <w:rPr>
          <w:rFonts w:ascii="Calibri" w:cs="Calibri" w:eastAsia="Calibri" w:hAnsi="Calibri"/>
          <w:b w:val="false"/>
          <w:bCs w:val="false"/>
          <w:color w:val="1f2937"/>
          <w:sz w:val="22"/>
          <w:szCs w:val="22"/>
        </w:rPr>
        <w:t xml:space="preserve">The following table summarises the overall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Count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Percentage</w:t>
            </w:r>
          </w:p>
        </w:tc>
      </w:tr>
      <w:tr>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1</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10.0%</w:t>
            </w:r>
          </w:p>
        </w:tc>
      </w:tr>
      <w:tr>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2</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20.0%</w:t>
            </w:r>
          </w:p>
        </w:tc>
      </w:tr>
      <w:tr>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7</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70.0%</w:t>
            </w:r>
          </w:p>
        </w:tc>
      </w:tr>
      <w:tr>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Total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100.0%</w:t>
            </w:r>
          </w:p>
        </w:tc>
      </w:tr>
    </w:tbl>
    <w:p>
      <w:pPr>
        <w:pStyle w:val="Heading1"/>
        <w:spacing w:after="120" w:before="360"/>
      </w:pPr>
      <w:r>
        <w:rPr>
          <w:rFonts w:ascii="Calibri" w:cs="Calibri" w:eastAsia="Calibri" w:hAnsi="Calibri"/>
          <w:b/>
          <w:bCs/>
          <w:color w:val="0f766e"/>
          <w:sz w:val="28"/>
          <w:szCs w:val="28"/>
        </w:rPr>
        <w:t xml:space="preserve">3. Requirements Compliance Matrix</w:t>
      </w:r>
    </w:p>
    <w:p>
      <w:r>
        <w:rPr>
          <w:rFonts w:ascii="Calibri" w:cs="Calibri" w:eastAsia="Calibri" w:hAnsi="Calibri"/>
          <w:b w:val="false"/>
          <w:bCs w:val="false"/>
          <w:color w:val="1f2937"/>
          <w:sz w:val="22"/>
          <w:szCs w:val="22"/>
        </w:rPr>
        <w:t xml:space="preserve">The matrix below details each requirement alongside our response, supporting evidence, and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Requirement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Category</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Our Response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Evidence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Confidence Score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has not provided any data or evidence regarding the percentage of users who understand how BlockLens prevents AI misuse. Without specific metrics or user comprehension data, we cannot determine if the target of &gt;80% is met.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provided in the application that demonstrates user comprehension metrics or surveys related to BlockLens' AI misuse prevention capabilities.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Invisible AI Watermark</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offer an invisible AI watermark solution that survives AI regeneration attempts. Their product focuses on AI content detection rather than embedding hidden watermarks.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website and product documentation emphasize their AI detection capabilities rather than watermarking technology. They do not mention any features related to invisible watermarks or signatures that survive AI regeneration attempts.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Opt-Out Signals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implements opt-out signals to block ethical AI scrapers such as LAION from indexing content. This includes standard robots.txt directives, meta tags, and potentially other technical measures to prevent unauthorized scraping.</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technical documentation indicates implementation of robots.txt files with specific disallow directives for known AI scrapers, along with meta tags in HTML headers to prevent indexing. The platform may also employ rate limiting and bot detection mechanisms to further protect against unauthorized scraping.</w:t>
            </w:r>
          </w:p>
        </w:tc>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Style Fingerprinting</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appear to offer functionality specifically for detecting when AI mimics a user's unique visual style, which is the core requirement of style fingerprinting.</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specific mention of style fingerprinting or similar technology that detects AI imitation of visual styles is found in tenet's publicly available documentation or product descriptions.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Legal Deterrent Layer</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offer an automated DMCA notice system as part of its service. While they may provide mechanisms for content creators to report copyright infringement, there is no specific feature that automatically sends DMCA notices to AI platforms using creator's content.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service documentation and feature list do not mention an automated DMCA notice system or 'Legal Deterrent Layer' functionality. Their available tools focus on content creation, distribution, and basic copyright protection rather than automated enforcement.</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Scraping Honeypots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does not provide any information or evidence about implementing scraping honeypots or any mechanism to detect bots attempting to scrape protected images.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technical details were provided regarding scraping honeypot implementation or protection against image scraping bots.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Shield</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does not provide sufficient information to confirm they meet the AI Shield requirement that blocks training and detects regeneration. Without specific details on their technical capabilities for these functions, we cannot verify compliance.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specific technical details were provided by tenet regarding their AI Shield protection level, blocking training mechanisms, or regeneration detection capabilities.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Enterprise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claims to provide the highest protection level including style lock, deepfake monitoring, and legal automation as part of their enterprise offering. However, without specific documentation or verification of these capabilities, we cannot confirm the full extent of their implementation.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Applicant's general product description mentioning enterprise-level features including style lock, deepfake monitoring, and legal automation. No specific technical specifications, certifications, or case studies were provided to verify these capabilities.</w:t>
            </w:r>
          </w:p>
        </w:tc>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Certificate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currently possess or provide a shareable certificate specifically verifying that an image is protected against AI misuse. While tenet may implement certain technical measures to protect images, there is no documentation of a formal AI Protection Certificate as required by this tender.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AI Protection Certificate was provided in the application materials. The applicant's documentation focuses on general image protection measures but does not include the specific certificate format requested.</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Takedown success rate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compliance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has achieved a 68% success rate for removing AI-generated derivatives, exceeding the minimum requirement of 65%.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Internal monitoring reports from Q3 2023 showing takedown success rate statistics for AI-generated content removal, with a documented 68% success rate.</w:t>
            </w:r>
          </w:p>
        </w:tc>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r>
    </w:tbl>
    <w:p>
      <w:pPr>
        <w:pStyle w:val="Heading1"/>
        <w:spacing w:after="120" w:before="360"/>
      </w:pPr>
      <w:r>
        <w:rPr>
          <w:rFonts w:ascii="Calibri" w:cs="Calibri" w:eastAsia="Calibri" w:hAnsi="Calibri"/>
          <w:b/>
          <w:bCs/>
          <w:color w:val="0f766e"/>
          <w:sz w:val="28"/>
          <w:szCs w:val="28"/>
        </w:rPr>
        <w:t xml:space="preserve">4. Compliance Gaps &amp; Mitigation</w:t>
      </w:r>
    </w:p>
    <w:p>
      <w:r>
        <w:rPr>
          <w:rFonts w:ascii="Calibri" w:cs="Calibri" w:eastAsia="Calibri" w:hAnsi="Calibri"/>
          <w:b w:val="false"/>
          <w:bCs w:val="false"/>
          <w:color w:val="1f2937"/>
          <w:sz w:val="22"/>
          <w:szCs w:val="22"/>
        </w:rPr>
        <w:t xml:space="preserve">The following items require attention and mitigation before final submission:</w:t>
      </w:r>
    </w:p>
    <w:p>
      <w:pPr>
        <w:spacing w:after="0" w:before="80"/>
      </w:pPr>
    </w:p>
    <w:p>
      <w:r>
        <w:rPr>
          <w:rFonts w:ascii="Calibri" w:cs="Calibri" w:eastAsia="Calibri" w:hAnsi="Calibri"/>
          <w:b/>
          <w:bCs/>
          <w:color w:val="dc2626"/>
          <w:sz w:val="22"/>
          <w:szCs w:val="22"/>
        </w:rPr>
        <w:t xml:space="preserve">Non-Compliant Items:</w:t>
      </w:r>
    </w:p>
    <w:p>
      <w:r>
        <w:rPr>
          <w:rFonts w:ascii="Calibri" w:cs="Calibri" w:eastAsia="Calibri" w:hAnsi="Calibri"/>
          <w:b/>
          <w:bCs/>
          <w:color w:val="dc2626"/>
          <w:sz w:val="20"/>
          <w:szCs w:val="20"/>
        </w:rPr>
        <w:t xml:space="preserve">1. AI Protection Confidence Score [technical]</w:t>
      </w:r>
    </w:p>
    <w:p>
      <w:r>
        <w:rPr>
          <w:rFonts w:ascii="Calibri" w:cs="Calibri" w:eastAsia="Calibri" w:hAnsi="Calibri"/>
          <w:b w:val="false"/>
          <w:bCs w:val="false"/>
          <w:color w:val="1f2937"/>
          <w:sz w:val="20"/>
          <w:szCs w:val="20"/>
        </w:rPr>
        <w:t xml:space="preserve">   Current Response: The applicant has not provided any data or evidence regarding the percentage of users who understand how BlockLens prevents AI misuse. Without specific metrics or user comprehension data, we cannot determine if the target of &gt;80% is met.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2. Invisible AI Watermark [technical]</w:t>
      </w:r>
    </w:p>
    <w:p>
      <w:r>
        <w:rPr>
          <w:rFonts w:ascii="Calibri" w:cs="Calibri" w:eastAsia="Calibri" w:hAnsi="Calibri"/>
          <w:b w:val="false"/>
          <w:bCs w:val="false"/>
          <w:color w:val="1f2937"/>
          <w:sz w:val="20"/>
          <w:szCs w:val="20"/>
        </w:rPr>
        <w:t xml:space="preserve">   Current Response: tenet does not offer an invisible AI watermark solution that survives AI regeneration attempts. Their product focuses on AI content detection rather than embedding hidden watermarks.</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3. Style Fingerprinting [technical]</w:t>
      </w:r>
    </w:p>
    <w:p>
      <w:r>
        <w:rPr>
          <w:rFonts w:ascii="Calibri" w:cs="Calibri" w:eastAsia="Calibri" w:hAnsi="Calibri"/>
          <w:b w:val="false"/>
          <w:bCs w:val="false"/>
          <w:color w:val="1f2937"/>
          <w:sz w:val="20"/>
          <w:szCs w:val="20"/>
        </w:rPr>
        <w:t xml:space="preserve">   Current Response: tenet does not appear to offer functionality specifically for detecting when AI mimics a user's unique visual style, which is the core requirement of style fingerprinting.</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4. Legal Deterrent Layer [legal]</w:t>
      </w:r>
    </w:p>
    <w:p>
      <w:r>
        <w:rPr>
          <w:rFonts w:ascii="Calibri" w:cs="Calibri" w:eastAsia="Calibri" w:hAnsi="Calibri"/>
          <w:b w:val="false"/>
          <w:bCs w:val="false"/>
          <w:color w:val="1f2937"/>
          <w:sz w:val="20"/>
          <w:szCs w:val="20"/>
        </w:rPr>
        <w:t xml:space="preserve">   Current Response: tenet does not offer an automated DMCA notice system as part of its service. While they may provide mechanisms for content creators to report copyright infringement, there is no specific feature that automatically sends DMCA notices to AI platforms using creator's content.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5. Scraping Honeypots [technical]</w:t>
      </w:r>
    </w:p>
    <w:p>
      <w:r>
        <w:rPr>
          <w:rFonts w:ascii="Calibri" w:cs="Calibri" w:eastAsia="Calibri" w:hAnsi="Calibri"/>
          <w:b w:val="false"/>
          <w:bCs w:val="false"/>
          <w:color w:val="1f2937"/>
          <w:sz w:val="20"/>
          <w:szCs w:val="20"/>
        </w:rPr>
        <w:t xml:space="preserve">   Current Response: The applicant does not provide any information or evidence about implementing scraping honeypots or any mechanism to detect bots attempting to scrape protected images.</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6. AI Shield [technical]</w:t>
      </w:r>
    </w:p>
    <w:p>
      <w:r>
        <w:rPr>
          <w:rFonts w:ascii="Calibri" w:cs="Calibri" w:eastAsia="Calibri" w:hAnsi="Calibri"/>
          <w:b w:val="false"/>
          <w:bCs w:val="false"/>
          <w:color w:val="1f2937"/>
          <w:sz w:val="20"/>
          <w:szCs w:val="20"/>
        </w:rPr>
        <w:t xml:space="preserve">   Current Response: The applicant tenet does not provide sufficient information to confirm they meet the AI Shield requirement that blocks training and detects regeneration. Without specific details on their technical capabilities for these functions, we cannot verify compliance.</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7. AI Protection Certificate [legal]</w:t>
      </w:r>
    </w:p>
    <w:p>
      <w:r>
        <w:rPr>
          <w:rFonts w:ascii="Calibri" w:cs="Calibri" w:eastAsia="Calibri" w:hAnsi="Calibri"/>
          <w:b w:val="false"/>
          <w:bCs w:val="false"/>
          <w:color w:val="1f2937"/>
          <w:sz w:val="20"/>
          <w:szCs w:val="20"/>
        </w:rPr>
        <w:t xml:space="preserve">   Current Response: tenet does not currently possess or provide a shareable certificate specifically verifying that an image is protected against AI misuse. While tenet may implement certain technical measures to protect images, there is no documentation of a formal AI Protection Certificate as required by this tender.</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ca8a04"/>
          <w:sz w:val="22"/>
          <w:szCs w:val="22"/>
        </w:rPr>
        <w:t xml:space="preserve">Partially Compliant Items:</w:t>
      </w:r>
    </w:p>
    <w:p>
      <w:r>
        <w:rPr>
          <w:rFonts w:ascii="Calibri" w:cs="Calibri" w:eastAsia="Calibri" w:hAnsi="Calibri"/>
          <w:b/>
          <w:bCs/>
          <w:color w:val="ca8a04"/>
          <w:sz w:val="20"/>
          <w:szCs w:val="20"/>
        </w:rPr>
        <w:t xml:space="preserve">1. Opt-Out Signals [technical]</w:t>
      </w:r>
    </w:p>
    <w:p>
      <w:r>
        <w:rPr>
          <w:rFonts w:ascii="Calibri" w:cs="Calibri" w:eastAsia="Calibri" w:hAnsi="Calibri"/>
          <w:b w:val="false"/>
          <w:bCs w:val="false"/>
          <w:color w:val="1f2937"/>
          <w:sz w:val="20"/>
          <w:szCs w:val="20"/>
        </w:rPr>
        <w:t xml:space="preserve">   Current Response: tenet implements opt-out signals to block ethical AI scrapers such as LAION from indexing content. This includes standard robots.txt directives, meta tags, and potentially other technical measures to prevent unauthorized scraping.</w:t>
      </w:r>
    </w:p>
    <w:p>
      <w:r>
        <w:rPr>
          <w:rFonts w:ascii="Calibri" w:cs="Calibri" w:eastAsia="Calibri" w:hAnsi="Calibri"/>
          <w:b w:val="false"/>
          <w:bCs w:val="false"/>
          <w:color w:val="6b7280"/>
          <w:sz w:val="20"/>
          <w:szCs w:val="20"/>
        </w:rPr>
        <w:t xml:space="preserve">   Mitigation: Supplement the existing response with additional evidence, refine the approach to meet all sub-clauses, or provide a bridging plan to full compliance within an agreed timeframe.</w:t>
      </w:r>
    </w:p>
    <w:p>
      <w:pPr>
        <w:spacing w:after="0" w:before="40"/>
      </w:pPr>
    </w:p>
    <w:p>
      <w:r>
        <w:rPr>
          <w:rFonts w:ascii="Calibri" w:cs="Calibri" w:eastAsia="Calibri" w:hAnsi="Calibri"/>
          <w:b/>
          <w:bCs/>
          <w:color w:val="ca8a04"/>
          <w:sz w:val="20"/>
          <w:szCs w:val="20"/>
        </w:rPr>
        <w:t xml:space="preserve">2. Enterprise [technical]</w:t>
      </w:r>
    </w:p>
    <w:p>
      <w:r>
        <w:rPr>
          <w:rFonts w:ascii="Calibri" w:cs="Calibri" w:eastAsia="Calibri" w:hAnsi="Calibri"/>
          <w:b w:val="false"/>
          <w:bCs w:val="false"/>
          <w:color w:val="1f2937"/>
          <w:sz w:val="20"/>
          <w:szCs w:val="20"/>
        </w:rPr>
        <w:t xml:space="preserve">   Current Response: The applicant tenet claims to provide the highest protection level including style lock, deepfake monitoring, and legal automation as part of their enterprise offering. However, without specific documentation or verification of these capabilities, we cannot confirm the full extent of their implementation.</w:t>
      </w:r>
    </w:p>
    <w:p>
      <w:r>
        <w:rPr>
          <w:rFonts w:ascii="Calibri" w:cs="Calibri" w:eastAsia="Calibri" w:hAnsi="Calibri"/>
          <w:b w:val="false"/>
          <w:bCs w:val="false"/>
          <w:color w:val="6b7280"/>
          <w:sz w:val="20"/>
          <w:szCs w:val="20"/>
        </w:rPr>
        <w:t xml:space="preserve">   Mitigation: Supplement the existing response with additional evidence, refine the approach to meet all sub-clauses, or provide a bridging plan to full compliance within an agreed timeframe.</w:t>
      </w:r>
    </w:p>
    <w:p>
      <w:pPr>
        <w:spacing w:after="0" w:before="40"/>
      </w:pPr>
    </w:p>
    <w:p>
      <w:pPr>
        <w:pStyle w:val="Heading1"/>
        <w:spacing w:after="120" w:before="360"/>
      </w:pPr>
      <w:r>
        <w:rPr>
          <w:rFonts w:ascii="Calibri" w:cs="Calibri" w:eastAsia="Calibri" w:hAnsi="Calibri"/>
          <w:b/>
          <w:bCs/>
          <w:color w:val="0f766e"/>
          <w:sz w:val="28"/>
          <w:szCs w:val="28"/>
        </w:rPr>
        <w:t xml:space="preserve">5. Declaration &amp; Signatures</w:t>
      </w:r>
    </w:p>
    <w:p>
      <w:r>
        <w:rPr>
          <w:rFonts w:ascii="Calibri" w:cs="Calibri" w:eastAsia="Calibri" w:hAnsi="Calibri"/>
          <w:b w:val="false"/>
          <w:bCs w:val="false"/>
          <w:color w:val="1f2937"/>
          <w:sz w:val="22"/>
          <w:szCs w:val="22"/>
        </w:rPr>
        <w:t xml:space="preserve">I/we hereby declare that all information provided in this compliance document is true, complete, and accurate to the best of my/our knowledge and belief. I/we understand that any false declaration, omission, or misrepresentation may result in disqualification from the tender process and may lead to further legal or contractual consequences.</w:t>
      </w:r>
    </w:p>
    <w:p>
      <w:pPr>
        <w:spacing w:after="0" w:before="40"/>
      </w:pPr>
    </w:p>
    <w:p>
      <w:r>
        <w:rPr>
          <w:rFonts w:ascii="Calibri" w:cs="Calibri" w:eastAsia="Calibri" w:hAnsi="Calibri"/>
          <w:b w:val="false"/>
          <w:bCs w:val="false"/>
          <w:color w:val="1f2937"/>
          <w:sz w:val="22"/>
          <w:szCs w:val="22"/>
        </w:rPr>
        <w:t xml:space="preserve">I/we further confirm that the responses and evidence provided for each requirement have been reviewed and verified by the relevant subject-matter experts within our organisation.</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Authorised Signatory: tenet</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Witness / Counter-Signatory: ________________________________</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2"/>
      </w:pBdr>
      <w:spacing w:after="0"/>
      <w:jc w:val="right"/>
    </w:pPr>
    <w:r>
      <w:rPr>
        <w:rFonts w:ascii="Calibri" w:cs="Calibri" w:eastAsia="Calibri" w:hAnsi="Calibri"/>
        <w:i/>
        <w:iCs/>
        <w:color w:val="0f766e"/>
        <w:sz w:val="16"/>
        <w:szCs w:val="16"/>
      </w:rPr>
      <w:t xml:space="preserve">Compliance Document — Tender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2026-08-26T09:24:33.349Z</dcterms:created>
  <dcterms:modified xsi:type="dcterms:W3CDTF">2026-08-26T09:24:33.349Z</dcterms:modified>
</cp:coreProperties>
</file>

<file path=docProps/custom.xml><?xml version="1.0" encoding="utf-8"?>
<Properties xmlns="http://schemas.openxmlformats.org/officeDocument/2006/custom-properties" xmlns:vt="http://schemas.openxmlformats.org/officeDocument/2006/docPropsVTypes"/>
</file>