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t xml:space="preserve">Supplementary note: first-order cryostage response parameters</w:t>
      </w:r>
    </w:p>
    <w:p>
      <w:pPr>
        <w:spacing w:after="160"/>
      </w:pPr>
      <w:r>
        <w:t xml:space="preserve">The plate-temperature response parameters used in the open-loop trajectory evaluations were obtained from the cryostage characterization telemetry, rather than adjusted during the trajectory optimization. The calibration uses the files matching data/characterization_cryostage/characterization_min*/cryostage_characterization_min*.csv. In the implementation, comment-prefixed metadata lines are skipped, only rows with row_type == telemetry are retained, and the columns panel_t_s, set, T_cal, and power are interpreted as sample time, requested reference temperature, calibrated plate temperature, and controller output, respectively. Each run is trimmed to the active-cooling interval beginning at the first telemetry row with power &gt; 1.0; the samples are then sorted by time, duplicate time stamps are removed, and the time axis is shifted so that the first active sample occurs at t = 0.</w:t>
      </w:r>
    </w:p>
    <w:p>
      <w:pPr>
        <w:spacing w:after="160"/>
      </w:pPr>
      <w:r>
        <w:t xml:space="preserve">The fitted response is the same first-order recurrence used during the freezing simulations, but the response time and steady plate temperature are functions of the requested reference temperature:</w:t>
      </w:r>
    </w:p>
    <w:p>
      <w:pPr>
        <w:spacing w:after="160"/>
      </w:pPr>
      <w:r>
        <w:rPr>
          <w:rFonts w:ascii="Cambria Math" w:hAnsi="Cambria Math" w:cs="Cambria Math"/>
        </w:rPr>
        <w:t xml:space="preserve">T_plate,i = alpha_i T_plate,i-1 + (1 - alpha_i) T_plate,ss(T_ref,i-1),    alpha_i = exp(-Delta t_i / tau(T_ref,i-1)).</w:t>
      </w:r>
    </w:p>
    <w:p>
      <w:pPr>
        <w:spacing w:after="160"/>
      </w:pPr>
      <w:r>
        <w:t xml:space="preserve">For each characterized setpoint, the active step-response trajectory is fitted as T_plate(t) = h(t) T_plate(0) + (1 - h(t)) T_plate,ss, with h(t) = exp(-t/tau). The code evaluates tau on a logarithmically spaced grid from 10 to 250 s and estimates T_plate,ss by least squares over the full active trajectory of the three replicate runs at that setpoint. The active cooling intervals lasted 454.3-795.5 s after trimming, corresponding to 6.0-8.0 fitted time constants for their respective setpoints; therefore T_plate,ss is treated as a fitted asymptotic steady-state term rather than a temperature read after an arbitrary 100-300 s hold. During freezing simulations, tau(T_ref) and T_plate,ss(T_ref) are obtained by linear interpolation of the characterized lookup values, with linear extrapolation only just outside the characterized interval.</w:t>
      </w:r>
    </w:p>
    <w:p>
      <w:pPr>
        <w:spacing w:after="160"/>
      </w:pPr>
      <w:r>
        <w:t xml:space="preserve">This calibration should be interpreted as a low-order empirical mapping from requested reference temperature to measured plate temperature under the characterization conditions. It does not use freezing-front information and does not define a feedback law for freezing-front control. In the open-loop simulations, it is used only to generate the time-dependent plate-temperature input that is applied as the lower boundary condition in the freezing solver.</w:t>
      </w:r>
    </w:p>
    <w:p>
      <w:pPr>
        <w:pStyle w:val="Heading2"/>
        <w:spacing w:after="160"/>
      </w:pPr>
      <w:r>
        <w:t xml:space="preserve">Table SX. Calibrated first-order response parameters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Quantity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Symbol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Code field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Estimation</w:t>
            </w:r>
          </w:p>
        </w:tc>
      </w:tr>
      <w:tr>
        <w:tc>
          <w:tcPr>
            <w:tcW w:w="2400" w:type="dxa"/>
          </w:tcPr>
          <w:p>
            <w:r>
              <w:t xml:space="preserve">Representative plate-temperature response time constant</w:t>
            </w:r>
          </w:p>
        </w:tc>
        <w:tc>
          <w:tcPr>
            <w:tcW w:w="2400" w:type="dxa"/>
          </w:tcPr>
          <w:p>
            <w:r>
              <w:t xml:space="preserve">median tau</w:t>
            </w:r>
          </w:p>
        </w:tc>
        <w:tc>
          <w:tcPr>
            <w:tcW w:w="2400" w:type="dxa"/>
          </w:tcPr>
          <w:p>
            <w:r>
              <w:t xml:space="preserve">tau_s</w:t>
            </w:r>
          </w:p>
        </w:tc>
        <w:tc>
          <w:tcPr>
            <w:tcW w:w="2400" w:type="dxa"/>
          </w:tcPr>
          <w:p>
            <w:r>
              <w:t xml:space="preserve">98.088190</w:t>
            </w:r>
          </w:p>
        </w:tc>
        <w:tc>
          <w:tcPr>
            <w:tcW w:w="2400" w:type="dxa"/>
          </w:tcPr>
          <w:p>
            <w:r>
              <w:t xml:space="preserve">s</w:t>
            </w:r>
          </w:p>
        </w:tc>
        <w:tc>
          <w:tcPr>
            <w:tcW w:w="2400" w:type="dxa"/>
          </w:tcPr>
          <w:p>
            <w:r>
              <w:t xml:space="preserve">Median of the setpoint-dependent response-time lookup.</w:t>
            </w:r>
          </w:p>
        </w:tc>
      </w:tr>
      <w:tr>
        <w:tc>
          <w:tcPr>
            <w:tcW w:w="2400" w:type="dxa"/>
          </w:tcPr>
          <w:p>
            <w:r>
              <w:t xml:space="preserve">Linear summary gain for the steady-state lookup</w:t>
            </w:r>
          </w:p>
        </w:tc>
        <w:tc>
          <w:tcPr>
            <w:tcW w:w="2400" w:type="dxa"/>
          </w:tcPr>
          <w:p>
            <w:r>
              <w:t xml:space="preserve">g</w:t>
            </w:r>
          </w:p>
        </w:tc>
        <w:tc>
          <w:tcPr>
            <w:tcW w:w="2400" w:type="dxa"/>
          </w:tcPr>
          <w:p>
            <w:r>
              <w:t xml:space="preserve">gain</w:t>
            </w:r>
          </w:p>
        </w:tc>
        <w:tc>
          <w:tcPr>
            <w:tcW w:w="2400" w:type="dxa"/>
          </w:tcPr>
          <w:p>
            <w:r>
              <w:t xml:space="preserve">1.007606</w:t>
            </w:r>
          </w:p>
        </w:tc>
        <w:tc>
          <w:tcPr>
            <w:tcW w:w="2400" w:type="dxa"/>
          </w:tcPr>
          <w:p>
            <w:r>
              <w:t xml:space="preserve">dimensionless</w:t>
            </w:r>
          </w:p>
        </w:tc>
        <w:tc>
          <w:tcPr>
            <w:tcW w:w="2400" w:type="dxa"/>
          </w:tcPr>
          <w:p>
            <w:r>
              <w:t xml:space="preserve">Least-squares linear summary of the fitted T_plate,ss(T_ref) lookup.</w:t>
            </w:r>
          </w:p>
        </w:tc>
      </w:tr>
      <w:tr>
        <w:tc>
          <w:tcPr>
            <w:tcW w:w="2400" w:type="dxa"/>
          </w:tcPr>
          <w:p>
            <w:r>
              <w:t xml:space="preserve">Linear summary offset for the steady-state lookup</w:t>
            </w:r>
          </w:p>
        </w:tc>
        <w:tc>
          <w:tcPr>
            <w:tcW w:w="2400" w:type="dxa"/>
          </w:tcPr>
          <w:p>
            <w:r>
              <w:t xml:space="preserve">b</w:t>
            </w:r>
          </w:p>
        </w:tc>
        <w:tc>
          <w:tcPr>
            <w:tcW w:w="2400" w:type="dxa"/>
          </w:tcPr>
          <w:p>
            <w:r>
              <w:t xml:space="preserve">offset_C</w:t>
            </w:r>
          </w:p>
        </w:tc>
        <w:tc>
          <w:tcPr>
            <w:tcW w:w="2400" w:type="dxa"/>
          </w:tcPr>
          <w:p>
            <w:r>
              <w:t xml:space="preserve">0.386078</w:t>
            </w:r>
          </w:p>
        </w:tc>
        <w:tc>
          <w:tcPr>
            <w:tcW w:w="2400" w:type="dxa"/>
          </w:tcPr>
          <w:p>
            <w:r>
              <w:t xml:space="preserve">deg C</w:t>
            </w:r>
          </w:p>
        </w:tc>
        <w:tc>
          <w:tcPr>
            <w:tcW w:w="2400" w:type="dxa"/>
          </w:tcPr>
          <w:p>
            <w:r>
              <w:t xml:space="preserve">Least-squares linear summary of the fitted T_plate,ss(T_ref) lookup.</w:t>
            </w:r>
          </w:p>
        </w:tc>
      </w:tr>
      <w:tr>
        <w:tc>
          <w:tcPr>
            <w:tcW w:w="2400" w:type="dxa"/>
          </w:tcPr>
          <w:p>
            <w:r>
              <w:t xml:space="preserve">Characterized reference temperatures</w:t>
            </w:r>
          </w:p>
        </w:tc>
        <w:tc>
          <w:tcPr>
            <w:tcW w:w="2400" w:type="dxa"/>
          </w:tcPr>
          <w:p>
            <w:r>
              <w:t xml:space="preserve">T_ref</w:t>
            </w:r>
          </w:p>
        </w:tc>
        <w:tc>
          <w:tcPr>
            <w:tcW w:w="2400" w:type="dxa"/>
          </w:tcPr>
          <w:p>
            <w:r>
              <w:t xml:space="preserve">reference_temperatures_C</w:t>
            </w:r>
          </w:p>
        </w:tc>
        <w:tc>
          <w:tcPr>
            <w:tcW w:w="2400" w:type="dxa"/>
          </w:tcPr>
          <w:p>
            <w:r>
              <w:t xml:space="preserve">-20, -15, -10, -5</w:t>
            </w:r>
          </w:p>
        </w:tc>
        <w:tc>
          <w:tcPr>
            <w:tcW w:w="2400" w:type="dxa"/>
          </w:tcPr>
          <w:p>
            <w:r>
              <w:t xml:space="preserve">deg C</w:t>
            </w:r>
          </w:p>
        </w:tc>
        <w:tc>
          <w:tcPr>
            <w:tcW w:w="2400" w:type="dxa"/>
          </w:tcPr>
          <w:p>
            <w:r>
              <w:t xml:space="preserve">Nominal setpoints of the active dry-cooling characterization assays.</w:t>
            </w:r>
          </w:p>
        </w:tc>
      </w:tr>
      <w:tr>
        <w:tc>
          <w:tcPr>
            <w:tcW w:w="2400" w:type="dxa"/>
          </w:tcPr>
          <w:p>
            <w:r>
              <w:t xml:space="preserve">Setpoint-dependent response time constants</w:t>
            </w:r>
          </w:p>
        </w:tc>
        <w:tc>
          <w:tcPr>
            <w:tcW w:w="2400" w:type="dxa"/>
          </w:tcPr>
          <w:p>
            <w:r>
              <w:t xml:space="preserve">tau(T_ref)</w:t>
            </w:r>
          </w:p>
        </w:tc>
        <w:tc>
          <w:tcPr>
            <w:tcW w:w="2400" w:type="dxa"/>
          </w:tcPr>
          <w:p>
            <w:r>
              <w:t xml:space="preserve">response_tau_s</w:t>
            </w:r>
          </w:p>
        </w:tc>
        <w:tc>
          <w:tcPr>
            <w:tcW w:w="2400" w:type="dxa"/>
          </w:tcPr>
          <w:p>
            <w:r>
              <w:t xml:space="preserve">75.296, 98.220, 97.957, 99.014</w:t>
            </w:r>
          </w:p>
        </w:tc>
        <w:tc>
          <w:tcPr>
            <w:tcW w:w="2400" w:type="dxa"/>
          </w:tcPr>
          <w:p>
            <w:r>
              <w:t xml:space="preserve">s</w:t>
            </w:r>
          </w:p>
        </w:tc>
        <w:tc>
          <w:tcPr>
            <w:tcW w:w="2400" w:type="dxa"/>
          </w:tcPr>
          <w:p>
            <w:r>
              <w:t xml:space="preserve">Independent active step-response trajectory fit at each characterized setpoint.</w:t>
            </w:r>
          </w:p>
        </w:tc>
      </w:tr>
      <w:tr>
        <w:tc>
          <w:tcPr>
            <w:tcW w:w="2400" w:type="dxa"/>
          </w:tcPr>
          <w:p>
            <w:r>
              <w:t xml:space="preserve">Setpoint-dependent steady plate temperatures</w:t>
            </w:r>
          </w:p>
        </w:tc>
        <w:tc>
          <w:tcPr>
            <w:tcW w:w="2400" w:type="dxa"/>
          </w:tcPr>
          <w:p>
            <w:r>
              <w:t xml:space="preserve">T_plate,ss(T_ref)</w:t>
            </w:r>
          </w:p>
        </w:tc>
        <w:tc>
          <w:tcPr>
            <w:tcW w:w="2400" w:type="dxa"/>
          </w:tcPr>
          <w:p>
            <w:r>
              <w:t xml:space="preserve">steady_plate_C</w:t>
            </w:r>
          </w:p>
        </w:tc>
        <w:tc>
          <w:tcPr>
            <w:tcW w:w="2400" w:type="dxa"/>
          </w:tcPr>
          <w:p>
            <w:r>
              <w:t xml:space="preserve">-19.769, -14.762, -9.612, -4.693</w:t>
            </w:r>
          </w:p>
        </w:tc>
        <w:tc>
          <w:tcPr>
            <w:tcW w:w="2400" w:type="dxa"/>
          </w:tcPr>
          <w:p>
            <w:r>
              <w:t xml:space="preserve">deg C</w:t>
            </w:r>
          </w:p>
        </w:tc>
        <w:tc>
          <w:tcPr>
            <w:tcW w:w="2400" w:type="dxa"/>
          </w:tcPr>
          <w:p>
            <w:r>
              <w:t xml:space="preserve">Independent active step-response trajectory fit at each characterized setpoint.</w:t>
            </w:r>
          </w:p>
        </w:tc>
      </w:tr>
    </w:tbl>
    <w:p>
      <w:pPr>
        <w:pStyle w:val="Heading2"/>
        <w:spacing w:after="160"/>
      </w:pPr>
      <w:r>
        <w:t xml:space="preserve">Fit and data summary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Characterization files used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</w:tr>
      <w:tr>
        <w:tc>
          <w:tcPr>
            <w:tcW w:w="2400" w:type="dxa"/>
          </w:tcPr>
          <w:p>
            <w:r>
              <w:t xml:space="preserve">Nominal reference targets</w:t>
            </w:r>
          </w:p>
        </w:tc>
        <w:tc>
          <w:tcPr>
            <w:tcW w:w="2400" w:type="dxa"/>
          </w:tcPr>
          <w:p>
            <w:r>
              <w:t xml:space="preserve">-20, -15, -10, -5 deg C</w:t>
            </w:r>
          </w:p>
        </w:tc>
      </w:tr>
      <w:tr>
        <w:tc>
          <w:tcPr>
            <w:tcW w:w="2400" w:type="dxa"/>
          </w:tcPr>
          <w:p>
            <w:r>
              <w:t xml:space="preserve">Replicates per nominal target</w:t>
            </w:r>
          </w:p>
        </w:tc>
        <w:tc>
          <w:tcPr>
            <w:tcW w:w="2400" w:type="dxa"/>
          </w:tcPr>
          <w:p>
            <w:r>
              <w:t xml:space="preserve">-20 C: 3, -15 C: 3, -10 C: 3, -5 C: 3</w:t>
            </w:r>
          </w:p>
        </w:tc>
      </w:tr>
      <w:tr>
        <w:tc>
          <w:tcPr>
            <w:tcW w:w="2400" w:type="dxa"/>
          </w:tcPr>
          <w:p>
            <w:r>
              <w:t xml:space="preserve">Active cooling threshold</w:t>
            </w:r>
          </w:p>
        </w:tc>
        <w:tc>
          <w:tcPr>
            <w:tcW w:w="2400" w:type="dxa"/>
          </w:tcPr>
          <w:p>
            <w:r>
              <w:t xml:space="preserve">First telemetry row with power &gt; 1.0</w:t>
            </w:r>
          </w:p>
        </w:tc>
      </w:tr>
      <w:tr>
        <w:tc>
          <w:tcPr>
            <w:tcW w:w="2400" w:type="dxa"/>
          </w:tcPr>
          <w:p>
            <w:r>
              <w:t xml:space="preserve">Active telemetry samples retained</w:t>
            </w:r>
          </w:p>
        </w:tc>
        <w:tc>
          <w:tcPr>
            <w:tcW w:w="2400" w:type="dxa"/>
          </w:tcPr>
          <w:p>
            <w:r>
              <w:t xml:space="preserve">64320</w:t>
            </w:r>
          </w:p>
        </w:tc>
      </w:tr>
      <w:tr>
        <w:tc>
          <w:tcPr>
            <w:tcW w:w="2400" w:type="dxa"/>
          </w:tcPr>
          <w:p>
            <w:r>
              <w:t xml:space="preserve">Adjacent active sample pairs</w:t>
            </w:r>
          </w:p>
        </w:tc>
        <w:tc>
          <w:tcPr>
            <w:tcW w:w="2400" w:type="dxa"/>
          </w:tcPr>
          <w:p>
            <w:r>
              <w:t xml:space="preserve">64308</w:t>
            </w:r>
          </w:p>
        </w:tc>
      </w:tr>
      <w:tr>
        <w:tc>
          <w:tcPr>
            <w:tcW w:w="2400" w:type="dxa"/>
          </w:tcPr>
          <w:p>
            <w:r>
              <w:t xml:space="preserve">Median telemetry sampling interval</w:t>
            </w:r>
          </w:p>
        </w:tc>
        <w:tc>
          <w:tcPr>
            <w:tcW w:w="2400" w:type="dxa"/>
          </w:tcPr>
          <w:p>
            <w:r>
              <w:t xml:space="preserve">0.111 s</w:t>
            </w:r>
          </w:p>
        </w:tc>
      </w:tr>
      <w:tr>
        <w:tc>
          <w:tcPr>
            <w:tcW w:w="2400" w:type="dxa"/>
          </w:tcPr>
          <w:p>
            <w:r>
              <w:t xml:space="preserve">Active cooling duration after trimming</w:t>
            </w:r>
          </w:p>
        </w:tc>
        <w:tc>
          <w:tcPr>
            <w:tcW w:w="2400" w:type="dxa"/>
          </w:tcPr>
          <w:p>
            <w:r>
              <w:t xml:space="preserve">454.3-795.5 s across runs; by target: -20 C: 454.3-486.8 s, -15 C: 651.9-681.4 s, -10 C: 663.6-689.6 s, -5 C: 674.4-795.5 s</w:t>
            </w:r>
          </w:p>
        </w:tc>
      </w:tr>
      <w:tr>
        <w:tc>
          <w:tcPr>
            <w:tcW w:w="2400" w:type="dxa"/>
          </w:tcPr>
          <w:p>
            <w:r>
              <w:t xml:space="preserve">Active duration relative to fitted response time</w:t>
            </w:r>
          </w:p>
        </w:tc>
        <w:tc>
          <w:tcPr>
            <w:tcW w:w="2400" w:type="dxa"/>
          </w:tcPr>
          <w:p>
            <w:r>
              <w:t xml:space="preserve">6.0-8.0 fitted time constants</w:t>
            </w:r>
          </w:p>
        </w:tc>
      </w:tr>
      <w:tr>
        <w:tc>
          <w:tcPr>
            <w:tcW w:w="2400" w:type="dxa"/>
          </w:tcPr>
          <w:p>
            <w:r>
              <w:t xml:space="preserve">Time-constant search interval</w:t>
            </w:r>
          </w:p>
        </w:tc>
        <w:tc>
          <w:tcPr>
            <w:tcW w:w="2400" w:type="dxa"/>
          </w:tcPr>
          <w:p>
            <w:r>
              <w:t xml:space="preserve">10-250 s for each characterized setpoint</w:t>
            </w:r>
          </w:p>
        </w:tc>
      </w:tr>
      <w:tr>
        <w:tc>
          <w:tcPr>
            <w:tcW w:w="2400" w:type="dxa"/>
          </w:tcPr>
          <w:p>
            <w:r>
              <w:t xml:space="preserve">Fitting criterion</w:t>
            </w:r>
          </w:p>
        </w:tc>
        <w:tc>
          <w:tcPr>
            <w:tcW w:w="2400" w:type="dxa"/>
          </w:tcPr>
          <w:p>
            <w:r>
              <w:t xml:space="preserve">Minimum pooled active step-response trajectory RMSE at each setpoint</w:t>
            </w:r>
          </w:p>
        </w:tc>
      </w:tr>
      <w:tr>
        <w:tc>
          <w:tcPr>
            <w:tcW w:w="2400" w:type="dxa"/>
          </w:tcPr>
          <w:p>
            <w:r>
              <w:t xml:space="preserve">Pooled recursive trajectory RMSE on active telemetry</w:t>
            </w:r>
          </w:p>
        </w:tc>
        <w:tc>
          <w:tcPr>
            <w:tcW w:w="2400" w:type="dxa"/>
          </w:tcPr>
          <w:p>
            <w:r>
              <w:t xml:space="preserve">0.378905 deg C</w:t>
            </w:r>
          </w:p>
        </w:tc>
      </w:tr>
      <w:tr>
        <w:tc>
          <w:tcPr>
            <w:tcW w:w="2400" w:type="dxa"/>
          </w:tcPr>
          <w:p>
            <w:r>
              <w:t xml:space="preserve">Mean recursive RMSE by nominal target on active telemetry</w:t>
            </w:r>
          </w:p>
        </w:tc>
        <w:tc>
          <w:tcPr>
            <w:tcW w:w="2400" w:type="dxa"/>
          </w:tcPr>
          <w:p>
            <w:r>
              <w:t xml:space="preserve">-20 C: 0.351 C, -15 C: 0.368 C, -10 C: 0.375 C, -5 C: 0.404 C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276" w:lineRule="auto" w:after="160"/>
    </w:pPr>
    <w:rPr>
      <w:rFonts w:ascii="Times New Roman" w:hAnsi="Times New Roman" w:cs="Times New Roman"/>
      <w:sz w:val="22"/>
    </w:rPr>
  </w:style>
  <w:style w:type="paragraph" w:styleId="Heading1">
    <w:name w:val="heading 1"/>
    <w:basedOn w:val="Normal"/>
    <w:qFormat/>
    <w:pPr>
      <w:spacing w:before="240" w:after="220"/>
      <w:outlineLvl w:val="0"/>
    </w:pPr>
    <w:rPr>
      <w:b/>
      <w:rFonts w:ascii="Times New Roman" w:hAnsi="Times New Roman" w:cs="Times New Roman"/>
      <w:sz w:val="28"/>
    </w:rPr>
  </w:style>
  <w:style w:type="paragraph" w:styleId="Heading2">
    <w:name w:val="heading 2"/>
    <w:basedOn w:val="Normal"/>
    <w:qFormat/>
    <w:pPr>
      <w:spacing w:before="200" w:after="180"/>
      <w:outlineLvl w:val="1"/>
    </w:pPr>
    <w:rPr>
      <w:b/>
      <w:rFonts w:ascii="Times New Roman" w:hAnsi="Times New Roman" w:cs="Times New Roman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