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20"/>
      </w:pPr>
      <w:r>
        <w:t xml:space="preserve">4.1 Control objective and front-position tracking</w:t>
      </w:r>
    </w:p>
    <w:p>
      <w:pPr>
        <w:spacing w:after="160"/>
      </w:pPr>
      <w:r>
        <w:t xml:space="preserve">The open-loop design problem was formulated as the selection of a cold-plate reference-temperature trajectory that promotes an approximately linear advance of the freezing front through the filled sample. For a candidate design vector \(\theta\), the computational workflow maps the requested reference trajectory to a predicted plate-temperature response, then to the simulated temperature field, and finally to the extracted freezing-front position:</w:t>
      </w:r>
    </w:p>
    <w:p>
      <w:pPr>
        <w:jc w:val="center"/>
        <w:spacing w:after="220"/>
      </w:pPr>
      <w:r>
        <w:rPr>
          <w:rFonts w:ascii="Cambria Math" w:hAnsi="Cambria Math" w:cs="Cambria Math"/>
        </w:rPr>
        <w:t xml:space="preserve">\theta
\rightarrow T_{\mathrm{ref}}(t)
\rightarrow T_{\mathrm{plate}}(t)
\rightarrow T(r,z,t)
\rightarrow z_f(t)
\rightarrow J(\theta).</w:t>
      </w:r>
    </w:p>
    <w:p>
      <w:pPr>
        <w:spacing w:after="160"/>
      </w:pPr>
      <w:r>
        <w:t xml:space="preserve">Here, \(T_{\mathrm{ref}}(t)\) is the requested cold-plate reference trajectory, \(T_{\mathrm{plate}}(t)\) is the plate-temperature trajectory predicted by the calibrated first-order plate-temperature response model, \(T(r,z,t)\) is the temperature field computed by the freezing solver, and \(z_f(t)\) is the post-processed centreline freezing-front position. The trajectory parameterization used to construct \(T_{\mathrm{ref}}(t)\) from \(\theta\) is described in Section 4.2.</w:t>
      </w:r>
    </w:p>
    <w:p>
      <w:pPr>
        <w:spacing w:after="160"/>
      </w:pPr>
      <w:r>
        <w:t xml:space="preserve">The mapping from \(T_{\mathrm{ref}}(t)\) to \(T_{\mathrm{plate}}(t)\) was represented by the calibrated first-order plate-temperature response model obtained from the dry cryostage characterization assays described in Section 2.2.2. In those assays, the cryostage was driven to constant reference temperatures of \(-5\), \(-10\), \(-15\), and \(-20\,^\circ\mathrm{C}\), with three independent runs per setpoint. The active cooling records used for the fit lasted 454--796 s after the detected onset of powered cooling. The fitted steady-state term \(T_{\mathrm{plate,ss}}(T_{\mathrm{ref}})\) therefore represents the asymptotic plate temperature estimated from these full constant-reference responses, rather than a value read after an arbitrary 100--300 s hold. The fitted lookup values are reported in Table SX, together with the corresponding dry-cooling traces and first-order model overlay in Figure SX.</w:t>
      </w:r>
    </w:p>
    <w:p>
      <w:pPr>
        <w:spacing w:after="160"/>
      </w:pPr>
      <w:r>
        <w:t xml:space="preserve">For a constant requested reference temperature, the plate temperature was assumed to relax toward the fitted steady-state plate temperature \(T_{\mathrm{plate,ss}}(T_{\mathrm{ref}})\), with setpoint-dependent response time \(\tau(T_{\mathrm{ref}})\):</w:t>
      </w:r>
    </w:p>
    <w:p>
      <w:pPr>
        <w:jc w:val="center"/>
        <w:spacing w:after="220"/>
      </w:pPr>
      <w:r>
        <w:rPr>
          <w:rFonts w:ascii="Cambria Math" w:hAnsi="Cambria Math" w:cs="Cambria Math"/>
        </w:rPr>
        <w:t xml:space="preserve">\frac{dT_{\mathrm{plate}}}{dt}
=
\frac{
T_{\mathrm{plate,ss}}(T_{\mathrm{ref}})-T_{\mathrm{plate}}
}{
\tau(T_{\mathrm{ref}})
}.</w:t>
      </w:r>
    </w:p>
    <w:p>
      <w:pPr>
        <w:spacing w:after="160"/>
      </w:pPr>
      <w:r>
        <w:t xml:space="preserve">In the sampled implementation used during trajectory design, this response was evaluated as</w:t>
      </w:r>
    </w:p>
    <w:p>
      <w:pPr>
        <w:jc w:val="center"/>
        <w:spacing w:after="220"/>
      </w:pPr>
      <w:r>
        <w:rPr>
          <w:rFonts w:ascii="Cambria Math" w:hAnsi="Cambria Math" w:cs="Cambria Math"/>
        </w:rPr>
        <w:t xml:space="preserve">T_{\mathrm{plate},i}
=
\alpha_i T_{\mathrm{plate},i-1}
+
(1-\alpha_i)T_{\mathrm{plate,ss}}(T_{\mathrm{ref},i-1}),
\qquad
\alpha_i=\exp\left[-\frac{\Delta t_i}{\tau(T_{\mathrm{ref},i-1})}\right].</w:t>
      </w:r>
    </w:p>
    <w:p>
      <w:pPr>
        <w:spacing w:after="160"/>
      </w:pPr>
      <w:r>
        <w:t xml:space="preserve">Between the characterized reference temperatures, \(T_{\mathrm{plate,ss}}(T_{\mathrm{ref}})\) and \(\tau(T_{\mathrm{ref}})\) were obtained by linear interpolation of the fitted lookup values.</w:t>
      </w:r>
    </w:p>
    <w:p>
      <w:pPr>
        <w:spacing w:after="160"/>
      </w:pPr>
      <w:r>
        <w:t xml:space="preserve">This model represents the experimentally observed plate-temperature response to a requested reference trajectory. It does not introduce feedback from the freezing front. The designed trajectory is therefore an open-loop prescribed thermal input to the model-based freezing workflow. This trajectory-design view is related to model-based Stefan-system tracking and inverse-solidification formulations in which boundary thermal histories are selected to obtain a desired interface motion [Pet22, Kan95].</w:t>
      </w:r>
    </w:p>
    <w:p>
      <w:pPr>
        <w:spacing w:after="160"/>
      </w:pPr>
      <w:r>
        <w:t xml:space="preserve">The objective was defined using front-position tracking rather than direct instantaneous front-velocity tracking. In the present workflow, the freezing front is obtained as a post-processed observable from the simulated temperature field, whereas velocity would require numerical differentiation of the extracted trajectory. Because numerical differentiation of sampled data is sensitive to noise and often requires regularization, direct optimization of front velocity would be more sensitive to sampling interval, interpolation, thresholding, and discretization choices than tracking the front position itself [Bre20]. Front-velocity estimates were therefore treated as diagnostic quantities rather than primary optimization targets.</w:t>
      </w:r>
    </w:p>
    <w:p>
      <w:pPr>
        <w:spacing w:after="160"/>
      </w:pPr>
      <w:r>
        <w:t xml:space="preserve">The target freezing behaviour was defined as a linear advance of the front through the filled sample height. This corresponds to an approximately constant average front velocity over the active interval without requiring velocity to be optimized directly. The reference front trajectory was written as</w:t>
      </w:r>
    </w:p>
    <w:p>
      <w:pPr>
        <w:jc w:val="center"/>
        <w:spacing w:after="220"/>
      </w:pPr>
      <w:r>
        <w:rPr>
          <w:rFonts w:ascii="Cambria Math" w:hAnsi="Cambria Math" w:cs="Cambria Math"/>
        </w:rPr>
        <w:t xml:space="preserve">z_{f,\mathrm{ref}}(t)
=
H_{\mathrm{fill}}
\operatorname{clip}
\left(
\frac{t-t_0}{t_{\mathrm{end}}-t_0},
0,
1
\right),</w:t>
      </w:r>
    </w:p>
    <w:p>
      <w:pPr>
        <w:spacing w:after="160"/>
      </w:pPr>
      <w:r>
        <w:t xml:space="preserve">where \(H_{\mathrm{fill}}\) is the filled sample height, \(t_0\) is the start of the objective-evaluation window, and \(t_{\mathrm{end}}\) is the design horizon. The corresponding implied average target velocity over the active interval is</w:t>
      </w:r>
    </w:p>
    <w:p>
      <w:pPr>
        <w:jc w:val="center"/>
        <w:spacing w:after="220"/>
      </w:pPr>
      <w:r>
        <w:rPr>
          <w:rFonts w:ascii="Cambria Math" w:hAnsi="Cambria Math" w:cs="Cambria Math"/>
        </w:rPr>
        <w:t xml:space="preserve">v_{\mathrm{ref}}
=
\frac{H_{\mathrm{fill}}}{t_{\mathrm{end}}-t_0}.</w:t>
      </w:r>
    </w:p>
    <w:p>
      <w:pPr>
        <w:spacing w:after="160"/>
      </w:pPr>
      <w:r>
        <w:t xml:space="preserve">The use of \(t_0\) allows the earliest part of the simulation to be excluded from the objective when needed, for example to avoid giving excessive weight to short initial transients immediately after filling.</w:t>
      </w:r>
    </w:p>
    <w:p>
      <w:pPr>
        <w:spacing w:after="160"/>
      </w:pPr>
      <w:r>
        <w:t xml:space="preserve">For each candidate trajectory, the simulated front position was compared with the reference trajectory at the valid post-fill sample times. The main tracking term was defined as</w:t>
      </w:r>
    </w:p>
    <w:p>
      <w:pPr>
        <w:jc w:val="center"/>
        <w:spacing w:after="220"/>
      </w:pPr>
      <w:r>
        <w:rPr>
          <w:rFonts w:ascii="Cambria Math" w:hAnsi="Cambria Math" w:cs="Cambria Math"/>
        </w:rPr>
        <w:t xml:space="preserve">J_{\mathrm{track}}(\theta)
=
\frac{1}{N_t}
\sum_{i=1}^{N_t}
\left[
\frac{
z_f(t_i;\theta)-z_{f,\mathrm{ref}}(t_i)
}{
H_{\mathrm{fill}}
}
\right]^2,</w:t>
      </w:r>
    </w:p>
    <w:p>
      <w:pPr>
        <w:spacing w:after="160"/>
      </w:pPr>
      <w:r>
        <w:t xml:space="preserve">where \(N_t\) is the number of time samples included in the objective calculation. Normalization by \(H_{\mathrm{fill}}\) makes the tracking error dimensionless and expresses deviations relative to the sample height. This choice is consistent with standard model-based tracking formulations, in which quadratic penalties are applied to deviations between predicted outputs and desired reference trajectories [Sch21].</w:t>
      </w:r>
    </w:p>
    <w:p>
      <w:pPr>
        <w:spacing w:after="160"/>
      </w:pPr>
      <w:r>
        <w:t xml:space="preserve">The scalar objective minimized during optimization was</w:t>
      </w:r>
    </w:p>
    <w:p>
      <w:pPr>
        <w:jc w:val="center"/>
        <w:spacing w:after="220"/>
      </w:pPr>
      <w:r>
        <w:rPr>
          <w:rFonts w:ascii="Cambria Math" w:hAnsi="Cambria Math" w:cs="Cambria Math"/>
        </w:rPr>
        <w:t xml:space="preserve">J(\theta)
=
w_{\mathrm{track}}J_{\mathrm{track}}(\theta)
+
w_{\mathrm{smooth}}J_{\mathrm{smooth}}(\theta)
+
w_{\mathrm{comp}}J_{\mathrm{comp}}(\theta),</w:t>
      </w:r>
    </w:p>
    <w:p>
      <w:pPr>
        <w:spacing w:after="160"/>
      </w:pPr>
      <w:r>
        <w:t xml:space="preserve">where \(w_{\mathrm{track}}\), \(w_{\mathrm{smooth}}\), and \(w_{\mathrm{comp}}\) are weighting factors. In the active linear full-process formulation, the tracking term is the primary objective term and the smoothness term acts as a secondary regularizer on the requested plate-temperature trajectory. Completion-related terms are implemented for alternative objective formulations and should be reported only when enabled in the optimization settings. Feasibility and admissibility constraints on the reference trajectory are described separately in Sections 4.2 and 4.3.</w:t>
      </w:r>
    </w:p>
    <w:p>
      <w:pPr>
        <w:pStyle w:val="Heading2"/>
        <w:spacing w:after="180"/>
      </w:pPr>
      <w:r>
        <w:t xml:space="preserve">References</w:t>
      </w:r>
    </w:p>
    <w:p>
      <w:pPr>
        <w:spacing w:after="160"/>
      </w:pPr>
      <w:r>
        <w:t xml:space="preserve">[Pet22] B. Petrus, Z. Chen, H. El-Kebir, J. Bentsman, and B. Thomas, "Solid Boundary Output Feedback Control of the Stefan Problem: The Enthalpy Approach," IEEE Transactions on Automatic Control, vol. 68, pp. 3485-3500, Aug. 2022, doi: 10.1109/TAC.2022.3197704.</w:t>
      </w:r>
    </w:p>
    <w:p>
      <w:pPr>
        <w:spacing w:after="160"/>
      </w:pPr>
      <w:r>
        <w:t xml:space="preserve">[Kan95] S. Kang and N. Zabaras, "Control of the freezing interface motion in two-dimensional solidification processes using the adjoint method," International Journal for Numerical Methods in Engineering, 1995, doi: 10.1002/NME.1620380105.</w:t>
      </w:r>
    </w:p>
    <w:p>
      <w:pPr>
        <w:spacing w:after="160"/>
      </w:pPr>
      <w:r>
        <w:t xml:space="preserve">[Bre20] F. van Breugel, J. Kutz, and B. W. Brunton, "Numerical Differentiation of Noisy Data: A Unifying Multi-Objective Optimization Framework," IEEE Access, vol. 8, pp. 196865-196877, 2020, doi: 10.1109/ACCESS.2020.3034077.</w:t>
      </w:r>
    </w:p>
    <w:p>
      <w:pPr>
        <w:spacing w:after="160"/>
      </w:pPr>
      <w:r>
        <w:t xml:space="preserve">[Sch21] M. Schwenzer, M. Ay, T. Bergs, and D. Abel, "Review on model predictive control: an engineering perspective," The International Journal of Advanced Manufacturing Technology, vol. 117, pp. 1327-1349, 2021, doi: 10.1007/s00170-021-07682-3.</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pPr>
      <w:spacing w:line="276" w:lineRule="auto" w:after="160"/>
    </w:pPr>
    <w:rPr>
      <w:rFonts w:ascii="Times New Roman" w:hAnsi="Times New Roman" w:cs="Times New Roman"/>
      <w:sz w:val="24"/>
      <w:szCs w:val="24"/>
    </w:rPr>
  </w:style>
  <w:style w:type="paragraph" w:styleId="Heading1">
    <w:name w:val="heading 1"/>
    <w:basedOn w:val="Normal"/>
    <w:next w:val="Normal"/>
    <w:qFormat/>
    <w:pPr>
      <w:keepNext/>
      <w:spacing w:before="240" w:after="220"/>
      <w:outlineLvl w:val="0"/>
    </w:pPr>
    <w:rPr>
      <w:b/>
      <w:rFonts w:ascii="Times New Roman" w:hAnsi="Times New Roman" w:cs="Times New Roman"/>
      <w:sz w:val="28"/>
      <w:szCs w:val="28"/>
    </w:rPr>
  </w:style>
  <w:style w:type="paragraph" w:styleId="Heading2">
    <w:name w:val="heading 2"/>
    <w:basedOn w:val="Normal"/>
    <w:next w:val="Normal"/>
    <w:qFormat/>
    <w:pPr>
      <w:keepNext/>
      <w:spacing w:before="200" w:after="180"/>
      <w:outlineLvl w:val="1"/>
    </w:pPr>
    <w:rPr>
      <w:b/>
      <w:rFonts w:ascii="Times New Roman" w:hAnsi="Times New Roman" w:cs="Times New Roman"/>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4.1 Control objective and front-position tracking</dc:title>
  <dc:creator>Codex</dc:creator>
  <cp:lastModifiedBy>Codex</cp:lastModifiedBy>
  <dcterms:created xsi:type="dcterms:W3CDTF">2026-05-01T07:38:24Z</dcterms:created>
  <dcterms:modified xsi:type="dcterms:W3CDTF">2026-05-01T07:38:24Z</dcterms:modified>
</cp:coreProperties>
</file>