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5.1 Validation experiments under constant-temperature protocols</w:t>
      </w:r>
    </w:p>
    <w:p>
      <w:pPr>
        <w:pStyle w:val="Normal"/>
      </w:pPr>
      <w:r>
        <w:t xml:space="preserve">This subsection evaluates whether the calibrated freezing model reproduces the thermal response measured during baseline water-fill experiments at constant cold-plate temperatures. These experiments provide the validation step before the same model is used for open-loop trajectory design.</w:t>
      </w:r>
    </w:p>
    <w:p>
      <w:pPr>
        <w:pStyle w:val="Heading1"/>
      </w:pPr>
      <w:r>
        <w:t xml:space="preserve">Analysis workflow</w:t>
      </w:r>
    </w:p>
    <w:p>
      <w:pPr>
        <w:pStyle w:val="Normal"/>
      </w:pPr>
      <w:r>
        <w:t xml:space="preserve">The validation data comprised five independent water-fill experiments at each constant plate setpoint: -10, -15, and -20 deg C. The experimental traces were aligned to the fill/insertion event, interpolated onto a common time base, and summarized as the mean +/- 1 SD at each embedded thermocouple. The simulated traces were taken from the `with_rho_temperature_dependent` calibrated suite, using a fill temperature of 12.5 deg C, an effective external heat-transfer coefficient of 2 W m^-2 K^-1, and probe positions of 3.0, 6.2, and 11.0 mm with a 1 mm wall inset. The 0 deg C crossing time was defined as the first downward crossing after filling and was obtained by linear interpolation between neighboring samples.</w:t>
      </w:r>
    </w:p>
    <w:tbl>
      <w:tblPr>
        <w:tblStyle w:val="TableGrid"/>
        <w:tblW w:w="0" w:type="auto"/>
      </w:tblPr>
      <w:tr>
        <w:tc>
          <w:tcPr>
            <w:shd w:fill="EDEDED"/>
            <w:tcMar>
              <w:top w:w="80" w:type="dxa"/>
              <w:left w:w="80" w:type="dxa"/>
              <w:bottom w:w="80" w:type="dxa"/>
              <w:right w:w="80" w:type="dxa"/>
            </w:tcMar>
          </w:tcPr>
          <w:p>
            <w:pPr>
              <w:pStyle w:val="Normal"/>
            </w:pPr>
            <w:r>
              <w:t xml:space="preserve">Plate setpoint</w:t>
            </w:r>
          </w:p>
        </w:tc>
        <w:tc>
          <w:tcPr>
            <w:shd w:fill="EDEDED"/>
            <w:tcMar>
              <w:top w:w="80" w:type="dxa"/>
              <w:left w:w="80" w:type="dxa"/>
              <w:bottom w:w="80" w:type="dxa"/>
              <w:right w:w="80" w:type="dxa"/>
            </w:tcMar>
          </w:tcPr>
          <w:p>
            <w:pPr>
              <w:pStyle w:val="Normal"/>
            </w:pPr>
            <w:r>
              <w:t xml:space="preserve">Experimental replicates</w:t>
            </w:r>
          </w:p>
        </w:tc>
        <w:tc>
          <w:tcPr>
            <w:shd w:fill="EDEDED"/>
            <w:tcMar>
              <w:top w:w="80" w:type="dxa"/>
              <w:left w:w="80" w:type="dxa"/>
              <w:bottom w:w="80" w:type="dxa"/>
              <w:right w:w="80" w:type="dxa"/>
            </w:tcMar>
          </w:tcPr>
          <w:p>
            <w:pPr>
              <w:pStyle w:val="Normal"/>
            </w:pPr>
            <w:r>
              <w:t xml:space="preserve">Simulation source</w:t>
            </w:r>
          </w:p>
        </w:tc>
        <w:tc>
          <w:tcPr>
            <w:shd w:fill="EDEDED"/>
            <w:tcMar>
              <w:top w:w="80" w:type="dxa"/>
              <w:left w:w="80" w:type="dxa"/>
              <w:bottom w:w="80" w:type="dxa"/>
              <w:right w:w="80" w:type="dxa"/>
            </w:tcMar>
          </w:tcPr>
          <w:p>
            <w:pPr>
              <w:pStyle w:val="Normal"/>
            </w:pPr>
            <w:r>
              <w:t xml:space="preserve">Tamb used in model</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9.708 deg C</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7.568 deg C</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5.750 deg C</w:t>
            </w:r>
          </w:p>
        </w:tc>
      </w:tr>
    </w:tbl>
    <w:p>
      <w:pPr>
        <w:pStyle w:val="Heading1"/>
      </w:pPr>
      <w:r>
        <w:t xml:space="preserve">Temperature-history agreement</w:t>
      </w:r>
    </w:p>
    <w:p>
      <w:pPr>
        <w:pStyle w:val="Normal"/>
      </w:pPr>
      <w:r>
        <w:t xml:space="preserve">The simulated thermal histories reproduce the dominant cooling behavior of the experiments across all three plate temperatures. In each case, the model captures the rapid cooling near the cold plate, the ordering of the probe responses with height, and the gradual late-stage approach toward subzero temperatures. Across the nine probe/condition comparisons, the mean MAE was 0.72 deg C and the mean RMSE was 0.91 deg C when each simulation was compared against the experimental mean over the plotted post-fill interval.</w:t>
      </w:r>
    </w:p>
    <w:tbl>
      <w:tblPr>
        <w:tblStyle w:val="TableGrid"/>
        <w:tblW w:w="0" w:type="auto"/>
      </w:tblPr>
      <w:tr>
        <w:tc>
          <w:tcPr>
            <w:shd w:fill="EDEDED"/>
            <w:tcMar>
              <w:top w:w="80" w:type="dxa"/>
              <w:left w:w="80" w:type="dxa"/>
              <w:bottom w:w="80" w:type="dxa"/>
              <w:right w:w="80" w:type="dxa"/>
            </w:tcMar>
          </w:tcPr>
          <w:p>
            <w:pPr>
              <w:pStyle w:val="Normal"/>
            </w:pPr>
            <w:r>
              <w:t xml:space="preserve">Plate</w:t>
            </w:r>
          </w:p>
        </w:tc>
        <w:tc>
          <w:tcPr>
            <w:shd w:fill="EDEDED"/>
            <w:tcMar>
              <w:top w:w="80" w:type="dxa"/>
              <w:left w:w="80" w:type="dxa"/>
              <w:bottom w:w="80" w:type="dxa"/>
              <w:right w:w="80" w:type="dxa"/>
            </w:tcMar>
          </w:tcPr>
          <w:p>
            <w:pPr>
              <w:pStyle w:val="Normal"/>
            </w:pPr>
            <w:r>
              <w:t xml:space="preserve">Probe</w:t>
            </w:r>
          </w:p>
        </w:tc>
        <w:tc>
          <w:tcPr>
            <w:shd w:fill="EDEDED"/>
            <w:tcMar>
              <w:top w:w="80" w:type="dxa"/>
              <w:left w:w="80" w:type="dxa"/>
              <w:bottom w:w="80" w:type="dxa"/>
              <w:right w:w="80" w:type="dxa"/>
            </w:tcMar>
          </w:tcPr>
          <w:p>
            <w:pPr>
              <w:pStyle w:val="Normal"/>
            </w:pPr>
            <w:r>
              <w:t xml:space="preserve">RMSE (deg C)</w:t>
            </w:r>
          </w:p>
        </w:tc>
        <w:tc>
          <w:tcPr>
            <w:shd w:fill="EDEDED"/>
            <w:tcMar>
              <w:top w:w="80" w:type="dxa"/>
              <w:left w:w="80" w:type="dxa"/>
              <w:bottom w:w="80" w:type="dxa"/>
              <w:right w:w="80" w:type="dxa"/>
            </w:tcMar>
          </w:tcPr>
          <w:p>
            <w:pPr>
              <w:pStyle w:val="Normal"/>
            </w:pPr>
            <w:r>
              <w:t xml:space="preserve">MAE (deg C)</w:t>
            </w:r>
          </w:p>
        </w:tc>
        <w:tc>
          <w:tcPr>
            <w:shd w:fill="EDEDED"/>
            <w:tcMar>
              <w:top w:w="80" w:type="dxa"/>
              <w:left w:w="80" w:type="dxa"/>
              <w:bottom w:w="80" w:type="dxa"/>
              <w:right w:w="80" w:type="dxa"/>
            </w:tcMar>
          </w:tcPr>
          <w:p>
            <w:pPr>
              <w:pStyle w:val="Normal"/>
            </w:pPr>
            <w:r>
              <w:t xml:space="preserve">Bias (deg C)</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0.28</w:t>
            </w:r>
          </w:p>
        </w:tc>
        <w:tc>
          <w:tcPr>
            <w:tcMar>
              <w:top w:w="80" w:type="dxa"/>
              <w:left w:w="80" w:type="dxa"/>
              <w:bottom w:w="80" w:type="dxa"/>
              <w:right w:w="80" w:type="dxa"/>
            </w:tcMar>
          </w:tcPr>
          <w:p>
            <w:pPr>
              <w:pStyle w:val="Normal"/>
            </w:pPr>
            <w:r>
              <w:t xml:space="preserve">0.18</w:t>
            </w:r>
          </w:p>
        </w:tc>
        <w:tc>
          <w:tcPr>
            <w:tcMar>
              <w:top w:w="80" w:type="dxa"/>
              <w:left w:w="80" w:type="dxa"/>
              <w:bottom w:w="80" w:type="dxa"/>
              <w:right w:w="80" w:type="dxa"/>
            </w:tcMar>
          </w:tcPr>
          <w:p>
            <w:pPr>
              <w:pStyle w:val="Normal"/>
            </w:pPr>
            <w:r>
              <w:t xml:space="preserve">-0.16</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0.58</w:t>
            </w:r>
          </w:p>
        </w:tc>
        <w:tc>
          <w:tcPr>
            <w:tcMar>
              <w:top w:w="80" w:type="dxa"/>
              <w:left w:w="80" w:type="dxa"/>
              <w:bottom w:w="80" w:type="dxa"/>
              <w:right w:w="80" w:type="dxa"/>
            </w:tcMar>
          </w:tcPr>
          <w:p>
            <w:pPr>
              <w:pStyle w:val="Normal"/>
            </w:pPr>
            <w:r>
              <w:t xml:space="preserve">0.43</w:t>
            </w:r>
          </w:p>
        </w:tc>
        <w:tc>
          <w:tcPr>
            <w:tcMar>
              <w:top w:w="80" w:type="dxa"/>
              <w:left w:w="80" w:type="dxa"/>
              <w:bottom w:w="80" w:type="dxa"/>
              <w:right w:w="80" w:type="dxa"/>
            </w:tcMar>
          </w:tcPr>
          <w:p>
            <w:pPr>
              <w:pStyle w:val="Normal"/>
            </w:pPr>
            <w:r>
              <w:t xml:space="preserve">-0.06</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1.23</w:t>
            </w:r>
          </w:p>
        </w:tc>
        <w:tc>
          <w:tcPr>
            <w:tcMar>
              <w:top w:w="80" w:type="dxa"/>
              <w:left w:w="80" w:type="dxa"/>
              <w:bottom w:w="80" w:type="dxa"/>
              <w:right w:w="80" w:type="dxa"/>
            </w:tcMar>
          </w:tcPr>
          <w:p>
            <w:pPr>
              <w:pStyle w:val="Normal"/>
            </w:pPr>
            <w:r>
              <w:t xml:space="preserve">1.08</w:t>
            </w:r>
          </w:p>
        </w:tc>
        <w:tc>
          <w:tcPr>
            <w:tcMar>
              <w:top w:w="80" w:type="dxa"/>
              <w:left w:w="80" w:type="dxa"/>
              <w:bottom w:w="80" w:type="dxa"/>
              <w:right w:w="80" w:type="dxa"/>
            </w:tcMar>
          </w:tcPr>
          <w:p>
            <w:pPr>
              <w:pStyle w:val="Normal"/>
            </w:pPr>
            <w:r>
              <w:t xml:space="preserve">-0.18</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0.74</w:t>
            </w:r>
          </w:p>
        </w:tc>
        <w:tc>
          <w:tcPr>
            <w:tcMar>
              <w:top w:w="80" w:type="dxa"/>
              <w:left w:w="80" w:type="dxa"/>
              <w:bottom w:w="80" w:type="dxa"/>
              <w:right w:w="80" w:type="dxa"/>
            </w:tcMar>
          </w:tcPr>
          <w:p>
            <w:pPr>
              <w:pStyle w:val="Normal"/>
            </w:pPr>
            <w:r>
              <w:t xml:space="preserve">0.71</w:t>
            </w:r>
          </w:p>
        </w:tc>
        <w:tc>
          <w:tcPr>
            <w:tcMar>
              <w:top w:w="80" w:type="dxa"/>
              <w:left w:w="80" w:type="dxa"/>
              <w:bottom w:w="80" w:type="dxa"/>
              <w:right w:w="80" w:type="dxa"/>
            </w:tcMar>
          </w:tcPr>
          <w:p>
            <w:pPr>
              <w:pStyle w:val="Normal"/>
            </w:pPr>
            <w:r>
              <w:t xml:space="preserve">+0.69</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1.17</w:t>
            </w:r>
          </w:p>
        </w:tc>
        <w:tc>
          <w:tcPr>
            <w:tcMar>
              <w:top w:w="80" w:type="dxa"/>
              <w:left w:w="80" w:type="dxa"/>
              <w:bottom w:w="80" w:type="dxa"/>
              <w:right w:w="80" w:type="dxa"/>
            </w:tcMar>
          </w:tcPr>
          <w:p>
            <w:pPr>
              <w:pStyle w:val="Normal"/>
            </w:pPr>
            <w:r>
              <w:t xml:space="preserve">1.01</w:t>
            </w:r>
          </w:p>
        </w:tc>
        <w:tc>
          <w:tcPr>
            <w:tcMar>
              <w:top w:w="80" w:type="dxa"/>
              <w:left w:w="80" w:type="dxa"/>
              <w:bottom w:w="80" w:type="dxa"/>
              <w:right w:w="80" w:type="dxa"/>
            </w:tcMar>
          </w:tcPr>
          <w:p>
            <w:pPr>
              <w:pStyle w:val="Normal"/>
            </w:pPr>
            <w:r>
              <w:t xml:space="preserve">+1.01</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1.17</w:t>
            </w:r>
          </w:p>
        </w:tc>
        <w:tc>
          <w:tcPr>
            <w:tcMar>
              <w:top w:w="80" w:type="dxa"/>
              <w:left w:w="80" w:type="dxa"/>
              <w:bottom w:w="80" w:type="dxa"/>
              <w:right w:w="80" w:type="dxa"/>
            </w:tcMar>
          </w:tcPr>
          <w:p>
            <w:pPr>
              <w:pStyle w:val="Normal"/>
            </w:pPr>
            <w:r>
              <w:t xml:space="preserve">0.83</w:t>
            </w:r>
          </w:p>
        </w:tc>
        <w:tc>
          <w:tcPr>
            <w:tcMar>
              <w:top w:w="80" w:type="dxa"/>
              <w:left w:w="80" w:type="dxa"/>
              <w:bottom w:w="80" w:type="dxa"/>
              <w:right w:w="80" w:type="dxa"/>
            </w:tcMar>
          </w:tcPr>
          <w:p>
            <w:pPr>
              <w:pStyle w:val="Normal"/>
            </w:pPr>
            <w:r>
              <w:t xml:space="preserve">-0.11</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0.58</w:t>
            </w:r>
          </w:p>
        </w:tc>
        <w:tc>
          <w:tcPr>
            <w:tcMar>
              <w:top w:w="80" w:type="dxa"/>
              <w:left w:w="80" w:type="dxa"/>
              <w:bottom w:w="80" w:type="dxa"/>
              <w:right w:w="80" w:type="dxa"/>
            </w:tcMar>
          </w:tcPr>
          <w:p>
            <w:pPr>
              <w:pStyle w:val="Normal"/>
            </w:pPr>
            <w:r>
              <w:t xml:space="preserve">0.50</w:t>
            </w:r>
          </w:p>
        </w:tc>
        <w:tc>
          <w:tcPr>
            <w:tcMar>
              <w:top w:w="80" w:type="dxa"/>
              <w:left w:w="80" w:type="dxa"/>
              <w:bottom w:w="80" w:type="dxa"/>
              <w:right w:w="80" w:type="dxa"/>
            </w:tcMar>
          </w:tcPr>
          <w:p>
            <w:pPr>
              <w:pStyle w:val="Normal"/>
            </w:pPr>
            <w:r>
              <w:t xml:space="preserve">+0.48</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1.06</w:t>
            </w:r>
          </w:p>
        </w:tc>
        <w:tc>
          <w:tcPr>
            <w:tcMar>
              <w:top w:w="80" w:type="dxa"/>
              <w:left w:w="80" w:type="dxa"/>
              <w:bottom w:w="80" w:type="dxa"/>
              <w:right w:w="80" w:type="dxa"/>
            </w:tcMar>
          </w:tcPr>
          <w:p>
            <w:pPr>
              <w:pStyle w:val="Normal"/>
            </w:pPr>
            <w:r>
              <w:t xml:space="preserve">0.89</w:t>
            </w:r>
          </w:p>
        </w:tc>
        <w:tc>
          <w:tcPr>
            <w:tcMar>
              <w:top w:w="80" w:type="dxa"/>
              <w:left w:w="80" w:type="dxa"/>
              <w:bottom w:w="80" w:type="dxa"/>
              <w:right w:w="80" w:type="dxa"/>
            </w:tcMar>
          </w:tcPr>
          <w:p>
            <w:pPr>
              <w:pStyle w:val="Normal"/>
            </w:pPr>
            <w:r>
              <w:t xml:space="preserve">+0.89</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1.33</w:t>
            </w:r>
          </w:p>
        </w:tc>
        <w:tc>
          <w:tcPr>
            <w:tcMar>
              <w:top w:w="80" w:type="dxa"/>
              <w:left w:w="80" w:type="dxa"/>
              <w:bottom w:w="80" w:type="dxa"/>
              <w:right w:w="80" w:type="dxa"/>
            </w:tcMar>
          </w:tcPr>
          <w:p>
            <w:pPr>
              <w:pStyle w:val="Normal"/>
            </w:pPr>
            <w:r>
              <w:t xml:space="preserve">0.86</w:t>
            </w:r>
          </w:p>
        </w:tc>
        <w:tc>
          <w:tcPr>
            <w:tcMar>
              <w:top w:w="80" w:type="dxa"/>
              <w:left w:w="80" w:type="dxa"/>
              <w:bottom w:w="80" w:type="dxa"/>
              <w:right w:w="80" w:type="dxa"/>
            </w:tcMar>
          </w:tcPr>
          <w:p>
            <w:pPr>
              <w:pStyle w:val="Normal"/>
            </w:pPr>
            <w:r>
              <w:t xml:space="preserve">+0.01</w:t>
            </w:r>
          </w:p>
        </w:tc>
      </w:tr>
    </w:tbl>
    <w:p>
      <w:pPr>
        <w:pStyle w:val="Heading1"/>
      </w:pPr>
      <w:r>
        <w:t xml:space="preserve">0 deg C crossing times</w:t>
      </w:r>
    </w:p>
    <w:p>
      <w:pPr>
        <w:pStyle w:val="Normal"/>
      </w:pPr>
      <w:r>
        <w:t xml:space="preserve">The agreement is strongest at the lowest probe, where the imposed plate boundary dominates the response. The simulated 3.0 mm crossing differs from the experimental mean by -1.1 s at -10 deg C, +2.2 s at -15 deg C, and +0.1 s at -20 deg C. At the 6.2 mm and 11.0 mm probes, the model generally predicts later crossings, with the largest offsets at the upper probe during the late freezing stage.</w:t>
      </w:r>
    </w:p>
    <w:tbl>
      <w:tblPr>
        <w:tblStyle w:val="TableGrid"/>
        <w:tblW w:w="0" w:type="auto"/>
      </w:tblPr>
      <w:tr>
        <w:tc>
          <w:tcPr>
            <w:shd w:fill="EDEDED"/>
            <w:tcMar>
              <w:top w:w="80" w:type="dxa"/>
              <w:left w:w="80" w:type="dxa"/>
              <w:bottom w:w="80" w:type="dxa"/>
              <w:right w:w="80" w:type="dxa"/>
            </w:tcMar>
          </w:tcPr>
          <w:p>
            <w:pPr>
              <w:pStyle w:val="Normal"/>
            </w:pPr>
            <w:r>
              <w:t xml:space="preserve">Plate</w:t>
            </w:r>
          </w:p>
        </w:tc>
        <w:tc>
          <w:tcPr>
            <w:shd w:fill="EDEDED"/>
            <w:tcMar>
              <w:top w:w="80" w:type="dxa"/>
              <w:left w:w="80" w:type="dxa"/>
              <w:bottom w:w="80" w:type="dxa"/>
              <w:right w:w="80" w:type="dxa"/>
            </w:tcMar>
          </w:tcPr>
          <w:p>
            <w:pPr>
              <w:pStyle w:val="Normal"/>
            </w:pPr>
            <w:r>
              <w:t xml:space="preserve">Probe</w:t>
            </w:r>
          </w:p>
        </w:tc>
        <w:tc>
          <w:tcPr>
            <w:shd w:fill="EDEDED"/>
            <w:tcMar>
              <w:top w:w="80" w:type="dxa"/>
              <w:left w:w="80" w:type="dxa"/>
              <w:bottom w:w="80" w:type="dxa"/>
              <w:right w:w="80" w:type="dxa"/>
            </w:tcMar>
          </w:tcPr>
          <w:p>
            <w:pPr>
              <w:pStyle w:val="Normal"/>
            </w:pPr>
            <w:r>
              <w:t xml:space="preserve">Experimental mean +/- SD (s)</w:t>
            </w:r>
          </w:p>
        </w:tc>
        <w:tc>
          <w:tcPr>
            <w:shd w:fill="EDEDED"/>
            <w:tcMar>
              <w:top w:w="80" w:type="dxa"/>
              <w:left w:w="80" w:type="dxa"/>
              <w:bottom w:w="80" w:type="dxa"/>
              <w:right w:w="80" w:type="dxa"/>
            </w:tcMar>
          </w:tcPr>
          <w:p>
            <w:pPr>
              <w:pStyle w:val="Normal"/>
            </w:pPr>
            <w:r>
              <w:t xml:space="preserve">Simulation (s)</w:t>
            </w:r>
          </w:p>
        </w:tc>
        <w:tc>
          <w:tcPr>
            <w:shd w:fill="EDEDED"/>
            <w:tcMar>
              <w:top w:w="80" w:type="dxa"/>
              <w:left w:w="80" w:type="dxa"/>
              <w:bottom w:w="80" w:type="dxa"/>
              <w:right w:w="80" w:type="dxa"/>
            </w:tcMar>
          </w:tcPr>
          <w:p>
            <w:pPr>
              <w:pStyle w:val="Normal"/>
            </w:pPr>
            <w:r>
              <w:t xml:space="preserve">Sim - exp (s)</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76.8 +/- 6.1</w:t>
            </w:r>
          </w:p>
        </w:tc>
        <w:tc>
          <w:tcPr>
            <w:tcMar>
              <w:top w:w="80" w:type="dxa"/>
              <w:left w:w="80" w:type="dxa"/>
              <w:bottom w:w="80" w:type="dxa"/>
              <w:right w:w="80" w:type="dxa"/>
            </w:tcMar>
          </w:tcPr>
          <w:p>
            <w:pPr>
              <w:pStyle w:val="Normal"/>
            </w:pPr>
            <w:r>
              <w:t xml:space="preserve">75.7</w:t>
            </w:r>
          </w:p>
        </w:tc>
        <w:tc>
          <w:tcPr>
            <w:tcMar>
              <w:top w:w="80" w:type="dxa"/>
              <w:left w:w="80" w:type="dxa"/>
              <w:bottom w:w="80" w:type="dxa"/>
              <w:right w:w="80" w:type="dxa"/>
            </w:tcMar>
          </w:tcPr>
          <w:p>
            <w:pPr>
              <w:pStyle w:val="Normal"/>
            </w:pPr>
            <w:r>
              <w:t xml:space="preserve">-1.1</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357.2 +/- 28.8</w:t>
            </w:r>
          </w:p>
        </w:tc>
        <w:tc>
          <w:tcPr>
            <w:tcMar>
              <w:top w:w="80" w:type="dxa"/>
              <w:left w:w="80" w:type="dxa"/>
              <w:bottom w:w="80" w:type="dxa"/>
              <w:right w:w="80" w:type="dxa"/>
            </w:tcMar>
          </w:tcPr>
          <w:p>
            <w:pPr>
              <w:pStyle w:val="Normal"/>
            </w:pPr>
            <w:r>
              <w:t xml:space="preserve">345.0</w:t>
            </w:r>
          </w:p>
        </w:tc>
        <w:tc>
          <w:tcPr>
            <w:tcMar>
              <w:top w:w="80" w:type="dxa"/>
              <w:left w:w="80" w:type="dxa"/>
              <w:bottom w:w="80" w:type="dxa"/>
              <w:right w:w="80" w:type="dxa"/>
            </w:tcMar>
          </w:tcPr>
          <w:p>
            <w:pPr>
              <w:pStyle w:val="Normal"/>
            </w:pPr>
            <w:r>
              <w:t xml:space="preserve">-12.2</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967.4 +/- 43.6</w:t>
            </w:r>
          </w:p>
        </w:tc>
        <w:tc>
          <w:tcPr>
            <w:tcMar>
              <w:top w:w="80" w:type="dxa"/>
              <w:left w:w="80" w:type="dxa"/>
              <w:bottom w:w="80" w:type="dxa"/>
              <w:right w:w="80" w:type="dxa"/>
            </w:tcMar>
          </w:tcPr>
          <w:p>
            <w:pPr>
              <w:pStyle w:val="Normal"/>
            </w:pPr>
            <w:r>
              <w:t xml:space="preserve">1018.6</w:t>
            </w:r>
          </w:p>
        </w:tc>
        <w:tc>
          <w:tcPr>
            <w:tcMar>
              <w:top w:w="80" w:type="dxa"/>
              <w:left w:w="80" w:type="dxa"/>
              <w:bottom w:w="80" w:type="dxa"/>
              <w:right w:w="80" w:type="dxa"/>
            </w:tcMar>
          </w:tcPr>
          <w:p>
            <w:pPr>
              <w:pStyle w:val="Normal"/>
            </w:pPr>
            <w:r>
              <w:t xml:space="preserve">+51.2</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44.7 +/- 1.5</w:t>
            </w:r>
          </w:p>
        </w:tc>
        <w:tc>
          <w:tcPr>
            <w:tcMar>
              <w:top w:w="80" w:type="dxa"/>
              <w:left w:w="80" w:type="dxa"/>
              <w:bottom w:w="80" w:type="dxa"/>
              <w:right w:w="80" w:type="dxa"/>
            </w:tcMar>
          </w:tcPr>
          <w:p>
            <w:pPr>
              <w:pStyle w:val="Normal"/>
            </w:pPr>
            <w:r>
              <w:t xml:space="preserve">46.9</w:t>
            </w:r>
          </w:p>
        </w:tc>
        <w:tc>
          <w:tcPr>
            <w:tcMar>
              <w:top w:w="80" w:type="dxa"/>
              <w:left w:w="80" w:type="dxa"/>
              <w:bottom w:w="80" w:type="dxa"/>
              <w:right w:w="80" w:type="dxa"/>
            </w:tcMar>
          </w:tcPr>
          <w:p>
            <w:pPr>
              <w:pStyle w:val="Normal"/>
            </w:pPr>
            <w:r>
              <w:t xml:space="preserve">+2.2</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187.2 +/- 8.7</w:t>
            </w:r>
          </w:p>
        </w:tc>
        <w:tc>
          <w:tcPr>
            <w:tcMar>
              <w:top w:w="80" w:type="dxa"/>
              <w:left w:w="80" w:type="dxa"/>
              <w:bottom w:w="80" w:type="dxa"/>
              <w:right w:w="80" w:type="dxa"/>
            </w:tcMar>
          </w:tcPr>
          <w:p>
            <w:pPr>
              <w:pStyle w:val="Normal"/>
            </w:pPr>
            <w:r>
              <w:t xml:space="preserve">217.1</w:t>
            </w:r>
          </w:p>
        </w:tc>
        <w:tc>
          <w:tcPr>
            <w:tcMar>
              <w:top w:w="80" w:type="dxa"/>
              <w:left w:w="80" w:type="dxa"/>
              <w:bottom w:w="80" w:type="dxa"/>
              <w:right w:w="80" w:type="dxa"/>
            </w:tcMar>
          </w:tcPr>
          <w:p>
            <w:pPr>
              <w:pStyle w:val="Normal"/>
            </w:pPr>
            <w:r>
              <w:t xml:space="preserve">+29.9</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614.4 +/- 28.7</w:t>
            </w:r>
          </w:p>
        </w:tc>
        <w:tc>
          <w:tcPr>
            <w:tcMar>
              <w:top w:w="80" w:type="dxa"/>
              <w:left w:w="80" w:type="dxa"/>
              <w:bottom w:w="80" w:type="dxa"/>
              <w:right w:w="80" w:type="dxa"/>
            </w:tcMar>
          </w:tcPr>
          <w:p>
            <w:pPr>
              <w:pStyle w:val="Normal"/>
            </w:pPr>
            <w:r>
              <w:t xml:space="preserve">669.3</w:t>
            </w:r>
          </w:p>
        </w:tc>
        <w:tc>
          <w:tcPr>
            <w:tcMar>
              <w:top w:w="80" w:type="dxa"/>
              <w:left w:w="80" w:type="dxa"/>
              <w:bottom w:w="80" w:type="dxa"/>
              <w:right w:w="80" w:type="dxa"/>
            </w:tcMar>
          </w:tcPr>
          <w:p>
            <w:pPr>
              <w:pStyle w:val="Normal"/>
            </w:pPr>
            <w:r>
              <w:t xml:space="preserve">+54.8</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34.6 +/- 3.0</w:t>
            </w:r>
          </w:p>
        </w:tc>
        <w:tc>
          <w:tcPr>
            <w:tcMar>
              <w:top w:w="80" w:type="dxa"/>
              <w:left w:w="80" w:type="dxa"/>
              <w:bottom w:w="80" w:type="dxa"/>
              <w:right w:w="80" w:type="dxa"/>
            </w:tcMar>
          </w:tcPr>
          <w:p>
            <w:pPr>
              <w:pStyle w:val="Normal"/>
            </w:pPr>
            <w:r>
              <w:t xml:space="preserve">34.6</w:t>
            </w:r>
          </w:p>
        </w:tc>
        <w:tc>
          <w:tcPr>
            <w:tcMar>
              <w:top w:w="80" w:type="dxa"/>
              <w:left w:w="80" w:type="dxa"/>
              <w:bottom w:w="80" w:type="dxa"/>
              <w:right w:w="80" w:type="dxa"/>
            </w:tcMar>
          </w:tcPr>
          <w:p>
            <w:pPr>
              <w:pStyle w:val="Normal"/>
            </w:pPr>
            <w:r>
              <w:t xml:space="preserve">+0.1</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143.1 +/- 12.3</w:t>
            </w:r>
          </w:p>
        </w:tc>
        <w:tc>
          <w:tcPr>
            <w:tcMar>
              <w:top w:w="80" w:type="dxa"/>
              <w:left w:w="80" w:type="dxa"/>
              <w:bottom w:w="80" w:type="dxa"/>
              <w:right w:w="80" w:type="dxa"/>
            </w:tcMar>
          </w:tcPr>
          <w:p>
            <w:pPr>
              <w:pStyle w:val="Normal"/>
            </w:pPr>
            <w:r>
              <w:t xml:space="preserve">155.7</w:t>
            </w:r>
          </w:p>
        </w:tc>
        <w:tc>
          <w:tcPr>
            <w:tcMar>
              <w:top w:w="80" w:type="dxa"/>
              <w:left w:w="80" w:type="dxa"/>
              <w:bottom w:w="80" w:type="dxa"/>
              <w:right w:w="80" w:type="dxa"/>
            </w:tcMar>
          </w:tcPr>
          <w:p>
            <w:pPr>
              <w:pStyle w:val="Normal"/>
            </w:pPr>
            <w:r>
              <w:t xml:space="preserve">+12.7</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428.7 +/- 23.9</w:t>
            </w:r>
          </w:p>
        </w:tc>
        <w:tc>
          <w:tcPr>
            <w:tcMar>
              <w:top w:w="80" w:type="dxa"/>
              <w:left w:w="80" w:type="dxa"/>
              <w:bottom w:w="80" w:type="dxa"/>
              <w:right w:w="80" w:type="dxa"/>
            </w:tcMar>
          </w:tcPr>
          <w:p>
            <w:pPr>
              <w:pStyle w:val="Normal"/>
            </w:pPr>
            <w:r>
              <w:t xml:space="preserve">494.2</w:t>
            </w:r>
          </w:p>
        </w:tc>
        <w:tc>
          <w:tcPr>
            <w:tcMar>
              <w:top w:w="80" w:type="dxa"/>
              <w:left w:w="80" w:type="dxa"/>
              <w:bottom w:w="80" w:type="dxa"/>
              <w:right w:w="80" w:type="dxa"/>
            </w:tcMar>
          </w:tcPr>
          <w:p>
            <w:pPr>
              <w:pStyle w:val="Normal"/>
            </w:pPr>
            <w:r>
              <w:t xml:space="preserve">+65.5</w:t>
            </w:r>
          </w:p>
        </w:tc>
      </w:tr>
    </w:tbl>
    <w:p>
      <w:pPr>
        <w:pStyle w:val="Heading1"/>
      </w:pPr>
      <w:r>
        <w:t xml:space="preserve">Interpretation</w:t>
      </w:r>
    </w:p>
    <w:p>
      <w:pPr>
        <w:pStyle w:val="Normal"/>
      </w:pPr>
      <w:r>
        <w:t xml:space="preserve">The residual mismatch has a physically consistent pattern. As distance from the plate increases, the measured response is more sensitive to processes that are not explicitly resolved in the current model, including liquid-phase natural convection, mixing immediately after filling, possible disturbances around the thermocouple junctions, and uncertainty in the effective local air boundary condition. The model should therefore be interpreted as a conduction-dominated predictive framework for trajectory design, not as a complete thermo-fluid description of the liquid phase. Within that intended use, the agreement in the near-plate response, the correct probe ordering, and the bounded upper-probe timing errors support using the model as the computational plant for the open-loop design study.</w:t>
      </w:r>
    </w:p>
    <w:p>
      <w:pPr>
        <w:pStyle w:val="Heading1"/>
      </w:pPr>
      <w:r>
        <w:t xml:space="preserve">Figures</w:t>
      </w:r>
    </w:p>
    <w:p>
      <w:pPr>
        <w:jc w:val="center"/>
      </w:pPr>
      <w:r>
        <w:drawing>
          <wp:inline distT="0" distB="0" distL="0" distR="0">
            <wp:extent cx="5897880" cy="1926390"/>
            <wp:effectExtent l="0" t="0" r="0" b="0"/>
            <wp:docPr id="1" name="fig_5_1_temperature_history_three_condition_panel.png"/>
            <wp:cNvGraphicFramePr>
              <a:graphicFrameLocks noChangeAspect="1"/>
            </wp:cNvGraphicFramePr>
            <a:graphic>
              <a:graphicData uri="http://schemas.openxmlformats.org/drawingml/2006/picture">
                <pic:pic>
                  <pic:nvPicPr>
                    <pic:cNvPr id="1" name="fig_5_1_temperature_history_three_condition_panel.png"/>
                    <pic:cNvPicPr/>
                  </pic:nvPicPr>
                  <pic:blipFill>
                    <a:blip r:embed="rId2"/>
                    <a:stretch>
                      <a:fillRect/>
                    </a:stretch>
                  </pic:blipFill>
                  <pic:spPr>
                    <a:xfrm>
                      <a:off x="0" y="0"/>
                      <a:ext cx="5897880" cy="1926390"/>
                    </a:xfrm>
                    <a:prstGeom prst="rect">
                      <a:avLst/>
                    </a:prstGeom>
                  </pic:spPr>
                </pic:pic>
              </a:graphicData>
            </a:graphic>
          </wp:inline>
        </w:drawing>
      </w:r>
    </w:p>
    <w:p>
      <w:pPr>
        <w:pStyle w:val="Caption"/>
      </w:pPr>
      <w:r>
        <w:t xml:space="preserve">Figure 5.1-1. Experimental and simulated temperature histories for the three constant-plate validation experiments. Each panel corresponds to one plate setpoint and contains the three thermocouple heights. Thin gray traces show individual experimental runs, solid colored curves and shaded bands show the experimental mean +/- 1 SD, and dashed colored curves show the corresponding rho(T) calibrated simulation.</w:t>
      </w:r>
    </w:p>
    <w:p>
      <w:pPr>
        <w:jc w:val="center"/>
      </w:pPr>
      <w:r>
        <w:drawing>
          <wp:inline distT="0" distB="0" distL="0" distR="0">
            <wp:extent cx="5897880" cy="1997756"/>
            <wp:effectExtent l="0" t="0" r="0" b="0"/>
            <wp:docPr id="2" name="fig_5_1_zero_crossing_times.png"/>
            <wp:cNvGraphicFramePr>
              <a:graphicFrameLocks noChangeAspect="1"/>
            </wp:cNvGraphicFramePr>
            <a:graphic>
              <a:graphicData uri="http://schemas.openxmlformats.org/drawingml/2006/picture">
                <pic:pic>
                  <pic:nvPicPr>
                    <pic:cNvPr id="2" name="fig_5_1_zero_crossing_times.png"/>
                    <pic:cNvPicPr/>
                  </pic:nvPicPr>
                  <pic:blipFill>
                    <a:blip r:embed="rId3"/>
                    <a:stretch>
                      <a:fillRect/>
                    </a:stretch>
                  </pic:blipFill>
                  <pic:spPr>
                    <a:xfrm>
                      <a:off x="0" y="0"/>
                      <a:ext cx="5897880" cy="1997756"/>
                    </a:xfrm>
                    <a:prstGeom prst="rect">
                      <a:avLst/>
                    </a:prstGeom>
                  </pic:spPr>
                </pic:pic>
              </a:graphicData>
            </a:graphic>
          </wp:inline>
        </w:drawing>
      </w:r>
    </w:p>
    <w:p>
      <w:pPr>
        <w:pStyle w:val="Caption"/>
      </w:pPr>
      <w:r>
        <w:t xml:space="preserve">Figure 5.1-2. Comparison of experimentally inferred and simulated 0 deg C crossing times for the constant-temperature validation experiments. Bars show the mean of five experimental runs, error bars show 1 SD, black circles show individual runs, and black diamonds show the corresponding rho(T) simulation.</w:t>
      </w:r>
    </w:p>
    <w:p>
      <w:pPr>
        <w:pStyle w:val="Heading1"/>
      </w:pPr>
      <w:r>
        <w:t xml:space="preserve">Generated files</w:t>
      </w:r>
    </w:p>
    <w:p>
      <w:pPr>
        <w:pStyle w:val="Normal"/>
      </w:pPr>
      <w:r>
        <w:t xml:space="preserve">Figures, READMEs, and CSV summaries are stored in `code_simulation/Article_drafts/figures/section_5_1_validation`. The crossing-time summary is stored in `section_5_1_zero_crossing_times.csv`, and the temperature-history error summary is stored in `section_5_1_temperature_history_errors.csv`.</w:t>
      </w:r>
    </w:p>
    <w:sectPr>
      <w:pgSz w:w="12240" w:h="15840"/>
      <w:pgMar w:top="1440" w:right="900" w:bottom="1440" w:left="90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Calibri" w:hAnsi="Calibri"/>
      <w:sz w:val="22"/>
    </w:rPr>
  </w:style>
  <w:style w:type="paragraph" w:styleId="Title">
    <w:name w:val="Title"/>
    <w:qFormat/>
    <w:pPr>
      <w:spacing w:after="260"/>
    </w:pPr>
    <w:rPr>
      <w:b/>
      <w:sz w:val="32"/>
    </w:rPr>
  </w:style>
  <w:style w:type="paragraph" w:styleId="Heading1">
    <w:name w:val="heading 1"/>
    <w:basedOn w:val="Normal"/>
    <w:qFormat/>
    <w:pPr>
      <w:spacing w:before="260" w:after="120"/>
      <w:outlineLvl w:val="0"/>
    </w:pPr>
    <w:rPr>
      <w:b/>
      <w:sz w:val="26"/>
    </w:rPr>
  </w:style>
  <w:style w:type="paragraph" w:styleId="Heading2">
    <w:name w:val="heading 2"/>
    <w:basedOn w:val="Normal"/>
    <w:qFormat/>
    <w:pPr>
      <w:spacing w:before="220" w:after="100"/>
      <w:outlineLvl w:val="1"/>
    </w:pPr>
    <w:rPr>
      <w:b/>
      <w:sz w:val="24"/>
    </w:rPr>
  </w:style>
  <w:style w:type="paragraph" w:styleId="Caption">
    <w:name w:val="Caption"/>
    <w:basedOn w:val="Normal"/>
    <w:qFormat/>
    <w:pPr>
      <w:spacing w:before="80" w:after="200"/>
    </w:pPr>
    <w:rPr>
      <w:i/>
      <w:sz w:val="20"/>
    </w:r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5.1 validation experiments under constant-temperature protocols</dc:title>
  <dc:creator>Codex</dc:creator>
  <cp:lastModifiedBy>Codex</cp:lastModifiedBy>
  <dcterms:created xsi:type="dcterms:W3CDTF">2026-04-30T04:28:02Z</dcterms:created>
  <dcterms:modified xsi:type="dcterms:W3CDTF">2026-04-30T04:28:02Z</dcterms:modified>
</cp:coreProperties>
</file>