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ptop-virtual-academy-capability-model"/>
    <w:p>
      <w:pPr>
        <w:pStyle w:val="Heading1"/>
      </w:pPr>
      <w:r>
        <w:t xml:space="preserve">Tiptop Virtual Academy Capability Model</w:t>
      </w:r>
    </w:p>
    <w:bookmarkStart w:id="20" w:name="what-the-academy-must-be-able-to-do"/>
    <w:p>
      <w:pPr>
        <w:pStyle w:val="Heading2"/>
      </w:pPr>
      <w:r>
        <w:t xml:space="preserve">What the Academy Must Be Able to Do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Foundation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Capability Model defines the enduring abilities that Tiptop Virtual Academy must possess in order to fulfill its mission.</w:t>
      </w:r>
    </w:p>
    <w:p>
      <w:pPr>
        <w:pStyle w:val="BodyText"/>
      </w:pPr>
      <w:r>
        <w:t xml:space="preserve">Capabilities describe</w:t>
      </w:r>
      <w:r>
        <w:t xml:space="preserve"> </w:t>
      </w:r>
      <w:r>
        <w:rPr>
          <w:b/>
          <w:bCs/>
        </w:rPr>
        <w:t xml:space="preserve">what the Academy must be able to do</w:t>
      </w:r>
      <w:r>
        <w:t xml:space="preserve">, not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does it.</w:t>
      </w:r>
    </w:p>
    <w:p>
      <w:pPr>
        <w:pStyle w:val="BodyText"/>
      </w:pPr>
      <w:r>
        <w:t xml:space="preserve">Unlike organizational structures, software systems, workflows, or job descriptions, capabilities remain stable as the institution evolves.</w:t>
      </w:r>
    </w:p>
    <w:p>
      <w:pPr>
        <w:pStyle w:val="BodyText"/>
      </w:pPr>
      <w:r>
        <w:t xml:space="preserve">Every investment, policy, process, technology platform, AI capability, and organizational improvement should strengthen one or more institutional capabilities.</w:t>
      </w:r>
    </w:p>
    <w:p>
      <w:r>
        <w:pict>
          <v:rect style="width:0;height:1.5pt" o:hralign="center" o:hrstd="t" o:hr="t"/>
        </w:pict>
      </w:r>
    </w:p>
    <w:bookmarkEnd w:id="22"/>
    <w:bookmarkStart w:id="23" w:name="capability-principles"/>
    <w:p>
      <w:pPr>
        <w:pStyle w:val="Heading1"/>
      </w:pPr>
      <w:r>
        <w:t xml:space="preserve">Capability Principles</w:t>
      </w:r>
    </w:p>
    <w:p>
      <w:pPr>
        <w:pStyle w:val="FirstParagraph"/>
      </w:pPr>
      <w:r>
        <w:t xml:space="preserve">A capability:</w:t>
      </w:r>
    </w:p>
    <w:p>
      <w:pPr>
        <w:pStyle w:val="Compact"/>
        <w:numPr>
          <w:ilvl w:val="0"/>
          <w:numId w:val="1001"/>
        </w:numPr>
      </w:pPr>
      <w:r>
        <w:t xml:space="preserve">Exists independently of technology.</w:t>
      </w:r>
    </w:p>
    <w:p>
      <w:pPr>
        <w:pStyle w:val="Compact"/>
        <w:numPr>
          <w:ilvl w:val="0"/>
          <w:numId w:val="1001"/>
        </w:numPr>
      </w:pPr>
      <w:r>
        <w:t xml:space="preserve">Exists independently of organizational structure.</w:t>
      </w:r>
    </w:p>
    <w:p>
      <w:pPr>
        <w:pStyle w:val="Compact"/>
        <w:numPr>
          <w:ilvl w:val="0"/>
          <w:numId w:val="1001"/>
        </w:numPr>
      </w:pPr>
      <w:r>
        <w:t xml:space="preserve">Exists independently of individual employees.</w:t>
      </w:r>
    </w:p>
    <w:p>
      <w:pPr>
        <w:pStyle w:val="Compact"/>
        <w:numPr>
          <w:ilvl w:val="0"/>
          <w:numId w:val="1001"/>
        </w:numPr>
      </w:pPr>
      <w:r>
        <w:t xml:space="preserve">Can improve over time.</w:t>
      </w:r>
    </w:p>
    <w:p>
      <w:pPr>
        <w:pStyle w:val="Compact"/>
        <w:numPr>
          <w:ilvl w:val="0"/>
          <w:numId w:val="1001"/>
        </w:numPr>
      </w:pPr>
      <w:r>
        <w:t xml:space="preserve">Can be measured.</w:t>
      </w:r>
    </w:p>
    <w:p>
      <w:pPr>
        <w:pStyle w:val="Compact"/>
        <w:numPr>
          <w:ilvl w:val="0"/>
          <w:numId w:val="1001"/>
        </w:numPr>
      </w:pPr>
      <w:r>
        <w:t xml:space="preserve">Can be supported by people, processes, information, AI, and technology.</w:t>
      </w:r>
    </w:p>
    <w:p>
      <w:r>
        <w:pict>
          <v:rect style="width:0;height:1.5pt" o:hralign="center" o:hrstd="t" o:hr="t"/>
        </w:pict>
      </w:r>
    </w:p>
    <w:bookmarkEnd w:id="23"/>
    <w:bookmarkStart w:id="28" w:name="tier-1-strategic-capabilities"/>
    <w:p>
      <w:pPr>
        <w:pStyle w:val="Heading1"/>
      </w:pPr>
      <w:r>
        <w:t xml:space="preserve">Tier 1 — Strategic Capabilities</w:t>
      </w:r>
    </w:p>
    <w:p>
      <w:pPr>
        <w:pStyle w:val="FirstParagraph"/>
      </w:pPr>
      <w:r>
        <w:t xml:space="preserve">These capabilities define the Academy itself.</w:t>
      </w:r>
    </w:p>
    <w:bookmarkStart w:id="24" w:name="institutional-governance"/>
    <w:p>
      <w:pPr>
        <w:pStyle w:val="Heading2"/>
      </w:pPr>
      <w:r>
        <w:t xml:space="preserve">Institutional Governance</w:t>
      </w:r>
    </w:p>
    <w:p>
      <w:pPr>
        <w:pStyle w:val="FirstParagraph"/>
      </w:pPr>
      <w:r>
        <w:t xml:space="preserve">The ability to provide vision, leadership, governance, policy, ethical oversight, strategic planning, and institutional direction.</w:t>
      </w:r>
    </w:p>
    <w:p>
      <w:r>
        <w:pict>
          <v:rect style="width:0;height:1.5pt" o:hralign="center" o:hrstd="t" o:hr="t"/>
        </w:pict>
      </w:r>
    </w:p>
    <w:bookmarkEnd w:id="24"/>
    <w:bookmarkStart w:id="25" w:name="educational-excellence"/>
    <w:p>
      <w:pPr>
        <w:pStyle w:val="Heading2"/>
      </w:pPr>
      <w:r>
        <w:t xml:space="preserve">Educational Excellence</w:t>
      </w:r>
    </w:p>
    <w:p>
      <w:pPr>
        <w:pStyle w:val="FirstParagraph"/>
      </w:pPr>
      <w:r>
        <w:t xml:space="preserve">The ability to design, deliver, evaluate, and continually improve high-quality education.</w:t>
      </w:r>
    </w:p>
    <w:p>
      <w:r>
        <w:pict>
          <v:rect style="width:0;height:1.5pt" o:hralign="center" o:hrstd="t" o:hr="t"/>
        </w:pict>
      </w:r>
    </w:p>
    <w:bookmarkEnd w:id="25"/>
    <w:bookmarkStart w:id="26" w:name="institutional-sustainability"/>
    <w:p>
      <w:pPr>
        <w:pStyle w:val="Heading2"/>
      </w:pPr>
      <w:r>
        <w:t xml:space="preserve">Institutional Sustainability</w:t>
      </w:r>
    </w:p>
    <w:p>
      <w:pPr>
        <w:pStyle w:val="FirstParagraph"/>
      </w:pPr>
      <w:r>
        <w:t xml:space="preserve">The ability to remain financially, operationally, academically, and socially sustainable over time.</w:t>
      </w:r>
    </w:p>
    <w:p>
      <w:r>
        <w:pict>
          <v:rect style="width:0;height:1.5pt" o:hralign="center" o:hrstd="t" o:hr="t"/>
        </w:pict>
      </w:r>
    </w:p>
    <w:bookmarkEnd w:id="26"/>
    <w:bookmarkStart w:id="27" w:name="innovation"/>
    <w:p>
      <w:pPr>
        <w:pStyle w:val="Heading2"/>
      </w:pPr>
      <w:r>
        <w:t xml:space="preserve">Innovation</w:t>
      </w:r>
    </w:p>
    <w:p>
      <w:pPr>
        <w:pStyle w:val="FirstParagraph"/>
      </w:pPr>
      <w:r>
        <w:t xml:space="preserve">The ability to continuously improve educational experiences, operations, and services through thoughtful innovation.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tier-2-core-educational-capabilities"/>
    <w:p>
      <w:pPr>
        <w:pStyle w:val="Heading1"/>
      </w:pPr>
      <w:r>
        <w:t xml:space="preserve">Tier 2 — Core Educational Capabilities</w:t>
      </w:r>
    </w:p>
    <w:p>
      <w:pPr>
        <w:pStyle w:val="FirstParagraph"/>
      </w:pPr>
      <w:r>
        <w:t xml:space="preserve">These are the capabilities that directly fulfill the Academy’s mission.</w:t>
      </w:r>
    </w:p>
    <w:bookmarkStart w:id="29" w:name="attract-learners"/>
    <w:p>
      <w:pPr>
        <w:pStyle w:val="Heading2"/>
      </w:pPr>
      <w:r>
        <w:t xml:space="preserve">Attract Learners</w:t>
      </w:r>
    </w:p>
    <w:p>
      <w:pPr>
        <w:pStyle w:val="FirstParagraph"/>
      </w:pPr>
      <w:r>
        <w:t xml:space="preserve">The ability to reach, engage, and inspire prospective students and families.</w:t>
      </w:r>
    </w:p>
    <w:p>
      <w:r>
        <w:pict>
          <v:rect style="width:0;height:1.5pt" o:hralign="center" o:hrstd="t" o:hr="t"/>
        </w:pict>
      </w:r>
    </w:p>
    <w:bookmarkEnd w:id="29"/>
    <w:bookmarkStart w:id="30" w:name="admit-learners"/>
    <w:p>
      <w:pPr>
        <w:pStyle w:val="Heading2"/>
      </w:pPr>
      <w:r>
        <w:t xml:space="preserve">Admit Learners</w:t>
      </w:r>
    </w:p>
    <w:p>
      <w:pPr>
        <w:pStyle w:val="FirstParagraph"/>
      </w:pPr>
      <w:r>
        <w:t xml:space="preserve">The ability to evaluate applications and make fair, transparent admission decisions.</w:t>
      </w:r>
    </w:p>
    <w:p>
      <w:r>
        <w:pict>
          <v:rect style="width:0;height:1.5pt" o:hralign="center" o:hrstd="t" o:hr="t"/>
        </w:pict>
      </w:r>
    </w:p>
    <w:bookmarkEnd w:id="30"/>
    <w:bookmarkStart w:id="31" w:name="enroll-learners"/>
    <w:p>
      <w:pPr>
        <w:pStyle w:val="Heading2"/>
      </w:pPr>
      <w:r>
        <w:t xml:space="preserve">Enroll Learners</w:t>
      </w:r>
    </w:p>
    <w:p>
      <w:pPr>
        <w:pStyle w:val="FirstParagraph"/>
      </w:pPr>
      <w:r>
        <w:t xml:space="preserve">The ability to transform accepted applicants into active students.</w:t>
      </w:r>
    </w:p>
    <w:p>
      <w:r>
        <w:pict>
          <v:rect style="width:0;height:1.5pt" o:hralign="center" o:hrstd="t" o:hr="t"/>
        </w:pict>
      </w:r>
    </w:p>
    <w:bookmarkEnd w:id="31"/>
    <w:bookmarkStart w:id="32" w:name="deliver-learning"/>
    <w:p>
      <w:pPr>
        <w:pStyle w:val="Heading2"/>
      </w:pPr>
      <w:r>
        <w:t xml:space="preserve">Deliver Learning</w:t>
      </w:r>
    </w:p>
    <w:p>
      <w:pPr>
        <w:pStyle w:val="FirstParagraph"/>
      </w:pPr>
      <w:r>
        <w:t xml:space="preserve">The ability to provide engaging, structured, and meaningful educational experiences.</w:t>
      </w:r>
    </w:p>
    <w:p>
      <w:r>
        <w:pict>
          <v:rect style="width:0;height:1.5pt" o:hralign="center" o:hrstd="t" o:hr="t"/>
        </w:pict>
      </w:r>
    </w:p>
    <w:bookmarkEnd w:id="32"/>
    <w:bookmarkStart w:id="33" w:name="assess-learning"/>
    <w:p>
      <w:pPr>
        <w:pStyle w:val="Heading2"/>
      </w:pPr>
      <w:r>
        <w:t xml:space="preserve">Assess Learning</w:t>
      </w:r>
    </w:p>
    <w:p>
      <w:pPr>
        <w:pStyle w:val="FirstParagraph"/>
      </w:pPr>
      <w:r>
        <w:t xml:space="preserve">The ability to evaluate learner progress accurately, fairly, and constructively.</w:t>
      </w:r>
    </w:p>
    <w:p>
      <w:r>
        <w:pict>
          <v:rect style="width:0;height:1.5pt" o:hralign="center" o:hrstd="t" o:hr="t"/>
        </w:pict>
      </w:r>
    </w:p>
    <w:bookmarkEnd w:id="33"/>
    <w:bookmarkStart w:id="34" w:name="support-learners"/>
    <w:p>
      <w:pPr>
        <w:pStyle w:val="Heading2"/>
      </w:pPr>
      <w:r>
        <w:t xml:space="preserve">Support Learners</w:t>
      </w:r>
    </w:p>
    <w:p>
      <w:pPr>
        <w:pStyle w:val="FirstParagraph"/>
      </w:pPr>
      <w:r>
        <w:t xml:space="preserve">The ability to provide academic, emotional, and operational support throughout a learner’s journey.</w:t>
      </w:r>
    </w:p>
    <w:p>
      <w:r>
        <w:pict>
          <v:rect style="width:0;height:1.5pt" o:hralign="center" o:hrstd="t" o:hr="t"/>
        </w:pict>
      </w:r>
    </w:p>
    <w:bookmarkEnd w:id="34"/>
    <w:bookmarkStart w:id="35" w:name="develop-learners"/>
    <w:p>
      <w:pPr>
        <w:pStyle w:val="Heading2"/>
      </w:pPr>
      <w:r>
        <w:t xml:space="preserve">Develop Learners</w:t>
      </w:r>
    </w:p>
    <w:p>
      <w:pPr>
        <w:pStyle w:val="FirstParagraph"/>
      </w:pPr>
      <w:r>
        <w:t xml:space="preserve">The ability to nurture intellectual, personal, ethical, digital, and social growth.</w:t>
      </w:r>
    </w:p>
    <w:p>
      <w:r>
        <w:pict>
          <v:rect style="width:0;height:1.5pt" o:hralign="center" o:hrstd="t" o:hr="t"/>
        </w:pict>
      </w:r>
    </w:p>
    <w:bookmarkEnd w:id="35"/>
    <w:bookmarkStart w:id="36" w:name="recognize-achievement"/>
    <w:p>
      <w:pPr>
        <w:pStyle w:val="Heading2"/>
      </w:pPr>
      <w:r>
        <w:t xml:space="preserve">Recognize Achievement</w:t>
      </w:r>
    </w:p>
    <w:p>
      <w:pPr>
        <w:pStyle w:val="FirstParagraph"/>
      </w:pPr>
      <w:r>
        <w:t xml:space="preserve">The ability to acknowledge progress, celebrate success, and certify accomplishment.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ier-3-family-capabilities"/>
    <w:p>
      <w:pPr>
        <w:pStyle w:val="Heading1"/>
      </w:pPr>
      <w:r>
        <w:t xml:space="preserve">Tier 3 — Family Capabilities</w:t>
      </w:r>
    </w:p>
    <w:bookmarkStart w:id="38" w:name="build-trust"/>
    <w:p>
      <w:pPr>
        <w:pStyle w:val="Heading2"/>
      </w:pPr>
      <w:r>
        <w:t xml:space="preserve">Build Trust</w:t>
      </w:r>
    </w:p>
    <w:p>
      <w:pPr>
        <w:pStyle w:val="FirstParagraph"/>
      </w:pPr>
      <w:r>
        <w:t xml:space="preserve">The ability to establish confidence between families and the Academy.</w:t>
      </w:r>
    </w:p>
    <w:p>
      <w:r>
        <w:pict>
          <v:rect style="width:0;height:1.5pt" o:hralign="center" o:hrstd="t" o:hr="t"/>
        </w:pict>
      </w:r>
    </w:p>
    <w:bookmarkEnd w:id="38"/>
    <w:bookmarkStart w:id="39" w:name="communicate-effectively"/>
    <w:p>
      <w:pPr>
        <w:pStyle w:val="Heading2"/>
      </w:pPr>
      <w:r>
        <w:t xml:space="preserve">Communicate Effectively</w:t>
      </w:r>
    </w:p>
    <w:p>
      <w:pPr>
        <w:pStyle w:val="FirstParagraph"/>
      </w:pPr>
      <w:r>
        <w:t xml:space="preserve">The ability to share accurate, timely, and meaningful information.</w:t>
      </w:r>
    </w:p>
    <w:p>
      <w:r>
        <w:pict>
          <v:rect style="width:0;height:1.5pt" o:hralign="center" o:hrstd="t" o:hr="t"/>
        </w:pict>
      </w:r>
    </w:p>
    <w:bookmarkEnd w:id="39"/>
    <w:bookmarkStart w:id="40" w:name="engage-families"/>
    <w:p>
      <w:pPr>
        <w:pStyle w:val="Heading2"/>
      </w:pPr>
      <w:r>
        <w:t xml:space="preserve">Engage Families</w:t>
      </w:r>
    </w:p>
    <w:p>
      <w:pPr>
        <w:pStyle w:val="FirstParagraph"/>
      </w:pPr>
      <w:r>
        <w:t xml:space="preserve">The ability to create lasting educational partnerships with parents and guardians.</w:t>
      </w:r>
    </w:p>
    <w:p>
      <w:r>
        <w:pict>
          <v:rect style="width:0;height:1.5pt" o:hralign="center" o:hrstd="t" o:hr="t"/>
        </w:pict>
      </w:r>
    </w:p>
    <w:bookmarkEnd w:id="40"/>
    <w:bookmarkStart w:id="41" w:name="resolve-concerns"/>
    <w:p>
      <w:pPr>
        <w:pStyle w:val="Heading2"/>
      </w:pPr>
      <w:r>
        <w:t xml:space="preserve">Resolve Concerns</w:t>
      </w:r>
    </w:p>
    <w:p>
      <w:pPr>
        <w:pStyle w:val="FirstParagraph"/>
      </w:pPr>
      <w:r>
        <w:t xml:space="preserve">The ability to receive, investigate, and resolve issues fairly and promptly.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ier-4-people-capabilities"/>
    <w:p>
      <w:pPr>
        <w:pStyle w:val="Heading1"/>
      </w:pPr>
      <w:r>
        <w:t xml:space="preserve">Tier 4 — People Capabilities</w:t>
      </w:r>
    </w:p>
    <w:bookmarkStart w:id="43" w:name="recruit-people"/>
    <w:p>
      <w:pPr>
        <w:pStyle w:val="Heading2"/>
      </w:pPr>
      <w:r>
        <w:t xml:space="preserve">Recruit People</w:t>
      </w:r>
    </w:p>
    <w:p>
      <w:pPr>
        <w:pStyle w:val="FirstParagraph"/>
      </w:pPr>
      <w:r>
        <w:t xml:space="preserve">The ability to identify and attract outstanding employees.</w:t>
      </w:r>
    </w:p>
    <w:p>
      <w:r>
        <w:pict>
          <v:rect style="width:0;height:1.5pt" o:hralign="center" o:hrstd="t" o:hr="t"/>
        </w:pict>
      </w:r>
    </w:p>
    <w:bookmarkEnd w:id="43"/>
    <w:bookmarkStart w:id="44" w:name="develop-people"/>
    <w:p>
      <w:pPr>
        <w:pStyle w:val="Heading2"/>
      </w:pPr>
      <w:r>
        <w:t xml:space="preserve">Develop People</w:t>
      </w:r>
    </w:p>
    <w:p>
      <w:pPr>
        <w:pStyle w:val="FirstParagraph"/>
      </w:pPr>
      <w:r>
        <w:t xml:space="preserve">The ability to improve professional capability through training, mentoring, and experience.</w:t>
      </w:r>
    </w:p>
    <w:p>
      <w:r>
        <w:pict>
          <v:rect style="width:0;height:1.5pt" o:hralign="center" o:hrstd="t" o:hr="t"/>
        </w:pict>
      </w:r>
    </w:p>
    <w:bookmarkEnd w:id="44"/>
    <w:bookmarkStart w:id="45" w:name="evaluate-performance"/>
    <w:p>
      <w:pPr>
        <w:pStyle w:val="Heading2"/>
      </w:pPr>
      <w:r>
        <w:t xml:space="preserve">Evaluate Performance</w:t>
      </w:r>
    </w:p>
    <w:p>
      <w:pPr>
        <w:pStyle w:val="FirstParagraph"/>
      </w:pPr>
      <w:r>
        <w:t xml:space="preserve">The ability to measure contribution, provide feedback, and support continuous growth.</w:t>
      </w:r>
    </w:p>
    <w:p>
      <w:r>
        <w:pict>
          <v:rect style="width:0;height:1.5pt" o:hralign="center" o:hrstd="t" o:hr="t"/>
        </w:pict>
      </w:r>
    </w:p>
    <w:bookmarkEnd w:id="45"/>
    <w:bookmarkStart w:id="46" w:name="retain-talent"/>
    <w:p>
      <w:pPr>
        <w:pStyle w:val="Heading2"/>
      </w:pPr>
      <w:r>
        <w:t xml:space="preserve">Retain Talent</w:t>
      </w:r>
    </w:p>
    <w:p>
      <w:pPr>
        <w:pStyle w:val="FirstParagraph"/>
      </w:pPr>
      <w:r>
        <w:t xml:space="preserve">The ability to create an environment where excellent people choose to remain.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tier-5-financial-capabilities"/>
    <w:p>
      <w:pPr>
        <w:pStyle w:val="Heading1"/>
      </w:pPr>
      <w:r>
        <w:t xml:space="preserve">Tier 5 — Financial Capabilities</w:t>
      </w:r>
    </w:p>
    <w:bookmarkStart w:id="48" w:name="price-services"/>
    <w:p>
      <w:pPr>
        <w:pStyle w:val="Heading2"/>
      </w:pPr>
      <w:r>
        <w:t xml:space="preserve">Price Services</w:t>
      </w:r>
    </w:p>
    <w:p>
      <w:pPr>
        <w:pStyle w:val="FirstParagraph"/>
      </w:pPr>
      <w:r>
        <w:t xml:space="preserve">The ability to establish sustainable and equitable pricing.</w:t>
      </w:r>
    </w:p>
    <w:p>
      <w:r>
        <w:pict>
          <v:rect style="width:0;height:1.5pt" o:hralign="center" o:hrstd="t" o:hr="t"/>
        </w:pict>
      </w:r>
    </w:p>
    <w:bookmarkEnd w:id="48"/>
    <w:bookmarkStart w:id="49" w:name="manage-billing"/>
    <w:p>
      <w:pPr>
        <w:pStyle w:val="Heading2"/>
      </w:pPr>
      <w:r>
        <w:t xml:space="preserve">Manage Billing</w:t>
      </w:r>
    </w:p>
    <w:p>
      <w:pPr>
        <w:pStyle w:val="FirstParagraph"/>
      </w:pPr>
      <w:r>
        <w:t xml:space="preserve">The ability to create, issue, and monitor financial obligations.</w:t>
      </w:r>
    </w:p>
    <w:p>
      <w:r>
        <w:pict>
          <v:rect style="width:0;height:1.5pt" o:hralign="center" o:hrstd="t" o:hr="t"/>
        </w:pict>
      </w:r>
    </w:p>
    <w:bookmarkEnd w:id="49"/>
    <w:bookmarkStart w:id="50" w:name="receive-payments"/>
    <w:p>
      <w:pPr>
        <w:pStyle w:val="Heading2"/>
      </w:pPr>
      <w:r>
        <w:t xml:space="preserve">Receive Payments</w:t>
      </w:r>
    </w:p>
    <w:p>
      <w:pPr>
        <w:pStyle w:val="FirstParagraph"/>
      </w:pPr>
      <w:r>
        <w:t xml:space="preserve">The ability to collect, verify, and reconcile payments.</w:t>
      </w:r>
    </w:p>
    <w:p>
      <w:r>
        <w:pict>
          <v:rect style="width:0;height:1.5pt" o:hralign="center" o:hrstd="t" o:hr="t"/>
        </w:pict>
      </w:r>
    </w:p>
    <w:bookmarkEnd w:id="50"/>
    <w:bookmarkStart w:id="51" w:name="manage-financial-resources"/>
    <w:p>
      <w:pPr>
        <w:pStyle w:val="Heading2"/>
      </w:pPr>
      <w:r>
        <w:t xml:space="preserve">Manage Financial Resources</w:t>
      </w:r>
    </w:p>
    <w:p>
      <w:pPr>
        <w:pStyle w:val="FirstParagraph"/>
      </w:pPr>
      <w:r>
        <w:t xml:space="preserve">The ability to steward institutional finances responsibly.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ier-6-information-capabilities"/>
    <w:p>
      <w:pPr>
        <w:pStyle w:val="Heading1"/>
      </w:pPr>
      <w:r>
        <w:t xml:space="preserve">Tier 6 — Information Capabilities</w:t>
      </w:r>
    </w:p>
    <w:bookmarkStart w:id="53" w:name="create-information"/>
    <w:p>
      <w:pPr>
        <w:pStyle w:val="Heading2"/>
      </w:pPr>
      <w:r>
        <w:t xml:space="preserve">Create Information</w:t>
      </w:r>
    </w:p>
    <w:p>
      <w:pPr>
        <w:pStyle w:val="FirstParagraph"/>
      </w:pPr>
      <w:r>
        <w:t xml:space="preserve">The ability to capture institutional knowledge accurately.</w:t>
      </w:r>
    </w:p>
    <w:p>
      <w:r>
        <w:pict>
          <v:rect style="width:0;height:1.5pt" o:hralign="center" o:hrstd="t" o:hr="t"/>
        </w:pict>
      </w:r>
    </w:p>
    <w:bookmarkEnd w:id="53"/>
    <w:bookmarkStart w:id="54" w:name="protect-information"/>
    <w:p>
      <w:pPr>
        <w:pStyle w:val="Heading2"/>
      </w:pPr>
      <w:r>
        <w:t xml:space="preserve">Protect Information</w:t>
      </w:r>
    </w:p>
    <w:p>
      <w:pPr>
        <w:pStyle w:val="FirstParagraph"/>
      </w:pPr>
      <w:r>
        <w:t xml:space="preserve">The ability to ensure confidentiality, integrity, and availability of information.</w:t>
      </w:r>
    </w:p>
    <w:p>
      <w:r>
        <w:pict>
          <v:rect style="width:0;height:1.5pt" o:hralign="center" o:hrstd="t" o:hr="t"/>
        </w:pict>
      </w:r>
    </w:p>
    <w:bookmarkEnd w:id="54"/>
    <w:bookmarkStart w:id="55" w:name="analyze-information"/>
    <w:p>
      <w:pPr>
        <w:pStyle w:val="Heading2"/>
      </w:pPr>
      <w:r>
        <w:t xml:space="preserve">Analyze Information</w:t>
      </w:r>
    </w:p>
    <w:p>
      <w:pPr>
        <w:pStyle w:val="FirstParagraph"/>
      </w:pPr>
      <w:r>
        <w:t xml:space="preserve">The ability to transform information into actionable insight.</w:t>
      </w:r>
    </w:p>
    <w:p>
      <w:r>
        <w:pict>
          <v:rect style="width:0;height:1.5pt" o:hralign="center" o:hrstd="t" o:hr="t"/>
        </w:pict>
      </w:r>
    </w:p>
    <w:bookmarkEnd w:id="55"/>
    <w:bookmarkStart w:id="56" w:name="share-information"/>
    <w:p>
      <w:pPr>
        <w:pStyle w:val="Heading2"/>
      </w:pPr>
      <w:r>
        <w:t xml:space="preserve">Share Information</w:t>
      </w:r>
    </w:p>
    <w:p>
      <w:pPr>
        <w:pStyle w:val="FirstParagraph"/>
      </w:pPr>
      <w:r>
        <w:t xml:space="preserve">The ability to provide the right information to the right people at the right time.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tier-7-technology-capabilities"/>
    <w:p>
      <w:pPr>
        <w:pStyle w:val="Heading1"/>
      </w:pPr>
      <w:r>
        <w:t xml:space="preserve">Tier 7 — Technology Capabilities</w:t>
      </w:r>
    </w:p>
    <w:bookmarkStart w:id="58" w:name="manage-digital-identity"/>
    <w:p>
      <w:pPr>
        <w:pStyle w:val="Heading2"/>
      </w:pPr>
      <w:r>
        <w:t xml:space="preserve">Manage Digital Identity</w:t>
      </w:r>
    </w:p>
    <w:p>
      <w:pPr>
        <w:pStyle w:val="FirstParagraph"/>
      </w:pPr>
      <w:r>
        <w:t xml:space="preserve">The ability to securely identify every user.</w:t>
      </w:r>
    </w:p>
    <w:p>
      <w:r>
        <w:pict>
          <v:rect style="width:0;height:1.5pt" o:hralign="center" o:hrstd="t" o:hr="t"/>
        </w:pict>
      </w:r>
    </w:p>
    <w:bookmarkEnd w:id="58"/>
    <w:bookmarkStart w:id="59" w:name="deliver-digital-learning"/>
    <w:p>
      <w:pPr>
        <w:pStyle w:val="Heading2"/>
      </w:pPr>
      <w:r>
        <w:t xml:space="preserve">Deliver Digital Learning</w:t>
      </w:r>
    </w:p>
    <w:p>
      <w:pPr>
        <w:pStyle w:val="FirstParagraph"/>
      </w:pPr>
      <w:r>
        <w:t xml:space="preserve">The ability to provide reliable digital educational experiences.</w:t>
      </w:r>
    </w:p>
    <w:p>
      <w:r>
        <w:pict>
          <v:rect style="width:0;height:1.5pt" o:hralign="center" o:hrstd="t" o:hr="t"/>
        </w:pict>
      </w:r>
    </w:p>
    <w:bookmarkEnd w:id="59"/>
    <w:bookmarkStart w:id="60" w:name="integrate-systems"/>
    <w:p>
      <w:pPr>
        <w:pStyle w:val="Heading2"/>
      </w:pPr>
      <w:r>
        <w:t xml:space="preserve">Integrate Systems</w:t>
      </w:r>
    </w:p>
    <w:p>
      <w:pPr>
        <w:pStyle w:val="FirstParagraph"/>
      </w:pPr>
      <w:r>
        <w:t xml:space="preserve">The ability to connect institutional technologies into one coherent ecosystem.</w:t>
      </w:r>
    </w:p>
    <w:p>
      <w:r>
        <w:pict>
          <v:rect style="width:0;height:1.5pt" o:hralign="center" o:hrstd="t" o:hr="t"/>
        </w:pict>
      </w:r>
    </w:p>
    <w:bookmarkEnd w:id="60"/>
    <w:bookmarkStart w:id="61" w:name="enable-artificial-intelligence"/>
    <w:p>
      <w:pPr>
        <w:pStyle w:val="Heading2"/>
      </w:pPr>
      <w:r>
        <w:t xml:space="preserve">Enable Artificial Intelligence</w:t>
      </w:r>
    </w:p>
    <w:p>
      <w:pPr>
        <w:pStyle w:val="FirstParagraph"/>
      </w:pPr>
      <w:r>
        <w:t xml:space="preserve">The ability to safely deploy AI in support of education and operations.</w:t>
      </w:r>
    </w:p>
    <w:p>
      <w:r>
        <w:pict>
          <v:rect style="width:0;height:1.5pt" o:hralign="center" o:hrstd="t" o:hr="t"/>
        </w:pict>
      </w:r>
    </w:p>
    <w:bookmarkEnd w:id="61"/>
    <w:bookmarkStart w:id="62" w:name="protect-digital-assets"/>
    <w:p>
      <w:pPr>
        <w:pStyle w:val="Heading2"/>
      </w:pPr>
      <w:r>
        <w:t xml:space="preserve">Protect Digital Assets</w:t>
      </w:r>
    </w:p>
    <w:p>
      <w:pPr>
        <w:pStyle w:val="FirstParagraph"/>
      </w:pPr>
      <w:r>
        <w:t xml:space="preserve">The ability to safeguard systems, infrastructure, and institutional data.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tier-8-quality-capabilities"/>
    <w:p>
      <w:pPr>
        <w:pStyle w:val="Heading1"/>
      </w:pPr>
      <w:r>
        <w:t xml:space="preserve">Tier 8 — Quality Capabilities</w:t>
      </w:r>
    </w:p>
    <w:bookmarkStart w:id="64" w:name="measure-performance"/>
    <w:p>
      <w:pPr>
        <w:pStyle w:val="Heading2"/>
      </w:pPr>
      <w:r>
        <w:t xml:space="preserve">Measure Performance</w:t>
      </w:r>
    </w:p>
    <w:p>
      <w:pPr>
        <w:pStyle w:val="FirstParagraph"/>
      </w:pPr>
      <w:r>
        <w:t xml:space="preserve">The ability to evaluate institutional effectiveness.</w:t>
      </w:r>
    </w:p>
    <w:p>
      <w:r>
        <w:pict>
          <v:rect style="width:0;height:1.5pt" o:hralign="center" o:hrstd="t" o:hr="t"/>
        </w:pict>
      </w:r>
    </w:p>
    <w:bookmarkEnd w:id="64"/>
    <w:bookmarkStart w:id="65" w:name="improve-processes"/>
    <w:p>
      <w:pPr>
        <w:pStyle w:val="Heading2"/>
      </w:pPr>
      <w:r>
        <w:t xml:space="preserve">Improve Processes</w:t>
      </w:r>
    </w:p>
    <w:p>
      <w:pPr>
        <w:pStyle w:val="FirstParagraph"/>
      </w:pPr>
      <w:r>
        <w:t xml:space="preserve">The ability to identify inefficiencies and implement better ways of working.</w:t>
      </w:r>
    </w:p>
    <w:p>
      <w:r>
        <w:pict>
          <v:rect style="width:0;height:1.5pt" o:hralign="center" o:hrstd="t" o:hr="t"/>
        </w:pict>
      </w:r>
    </w:p>
    <w:bookmarkEnd w:id="65"/>
    <w:bookmarkStart w:id="66" w:name="ensure-compliance"/>
    <w:p>
      <w:pPr>
        <w:pStyle w:val="Heading2"/>
      </w:pPr>
      <w:r>
        <w:t xml:space="preserve">Ensure Compliance</w:t>
      </w:r>
    </w:p>
    <w:p>
      <w:pPr>
        <w:pStyle w:val="FirstParagraph"/>
      </w:pPr>
      <w:r>
        <w:t xml:space="preserve">The ability to satisfy legal, regulatory, accreditation, and institutional requirements.</w:t>
      </w:r>
    </w:p>
    <w:p>
      <w:r>
        <w:pict>
          <v:rect style="width:0;height:1.5pt" o:hralign="center" o:hrstd="t" o:hr="t"/>
        </w:pict>
      </w:r>
    </w:p>
    <w:bookmarkEnd w:id="66"/>
    <w:bookmarkStart w:id="67" w:name="learn-as-an-institution"/>
    <w:p>
      <w:pPr>
        <w:pStyle w:val="Heading2"/>
      </w:pPr>
      <w:r>
        <w:t xml:space="preserve">Learn as an Institution</w:t>
      </w:r>
    </w:p>
    <w:p>
      <w:pPr>
        <w:pStyle w:val="FirstParagraph"/>
      </w:pPr>
      <w:r>
        <w:t xml:space="preserve">The ability to capture experience, reflect on outcomes, and continuously improve organizational knowledge.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apability-relationships"/>
    <w:p>
      <w:pPr>
        <w:pStyle w:val="Heading1"/>
      </w:pPr>
      <w:r>
        <w:t xml:space="preserve">Capability Relationships</w:t>
      </w:r>
    </w:p>
    <w:p>
      <w:pPr>
        <w:pStyle w:val="FirstParagraph"/>
      </w:pPr>
      <w:r>
        <w:t xml:space="preserve">Capabilities do not exist independently.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Attract Learners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Admit Learners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Enroll Learners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 Learners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Recognize Achievement</w:t>
      </w:r>
    </w:p>
    <w:p>
      <w:pPr>
        <w:pStyle w:val="BodyText"/>
      </w:pPr>
      <w:r>
        <w:t xml:space="preserve">This sequence represents value creation rather than organizational hierarchy.</w:t>
      </w:r>
    </w:p>
    <w:p>
      <w:r>
        <w:pict>
          <v:rect style="width:0;height:1.5pt" o:hralign="center" o:hrstd="t" o:hr="t"/>
        </w:pict>
      </w:r>
    </w:p>
    <w:bookmarkEnd w:id="69"/>
    <w:bookmarkStart w:id="70" w:name="capability-maturity"/>
    <w:p>
      <w:pPr>
        <w:pStyle w:val="Heading1"/>
      </w:pPr>
      <w:r>
        <w:t xml:space="preserve">Capability Maturity</w:t>
      </w:r>
    </w:p>
    <w:p>
      <w:pPr>
        <w:pStyle w:val="FirstParagraph"/>
      </w:pPr>
      <w:r>
        <w:t xml:space="preserve">Every capability should be evaluated using a maturity model.</w:t>
      </w:r>
    </w:p>
    <w:p>
      <w:pPr>
        <w:pStyle w:val="BodyText"/>
      </w:pPr>
      <w:r>
        <w:t xml:space="preserve">Levels include:</w:t>
      </w:r>
    </w:p>
    <w:p>
      <w:pPr>
        <w:pStyle w:val="BodyText"/>
      </w:pPr>
      <w:r>
        <w:rPr>
          <w:b/>
          <w:bCs/>
        </w:rPr>
        <w:t xml:space="preserve">Level 1 – Initial</w:t>
      </w:r>
    </w:p>
    <w:p>
      <w:pPr>
        <w:pStyle w:val="BodyText"/>
      </w:pPr>
      <w:r>
        <w:t xml:space="preserve">Activities are inconsistent and dependent on individuals.</w:t>
      </w:r>
    </w:p>
    <w:p>
      <w:pPr>
        <w:pStyle w:val="BodyText"/>
      </w:pPr>
      <w:r>
        <w:rPr>
          <w:b/>
          <w:bCs/>
        </w:rPr>
        <w:t xml:space="preserve">Level 2 – Managed</w:t>
      </w:r>
    </w:p>
    <w:p>
      <w:pPr>
        <w:pStyle w:val="BodyText"/>
      </w:pPr>
      <w:r>
        <w:t xml:space="preserve">Processes are repeatable but largely manual.</w:t>
      </w:r>
    </w:p>
    <w:p>
      <w:pPr>
        <w:pStyle w:val="BodyText"/>
      </w:pPr>
      <w:r>
        <w:rPr>
          <w:b/>
          <w:bCs/>
        </w:rPr>
        <w:t xml:space="preserve">Level 3 – Defined</w:t>
      </w:r>
    </w:p>
    <w:p>
      <w:pPr>
        <w:pStyle w:val="BodyText"/>
      </w:pPr>
      <w:r>
        <w:t xml:space="preserve">Standardized institutional processes exist.</w:t>
      </w:r>
    </w:p>
    <w:p>
      <w:pPr>
        <w:pStyle w:val="BodyText"/>
      </w:pPr>
      <w:r>
        <w:rPr>
          <w:b/>
          <w:bCs/>
        </w:rPr>
        <w:t xml:space="preserve">Level 4 – Intelligent</w:t>
      </w:r>
    </w:p>
    <w:p>
      <w:pPr>
        <w:pStyle w:val="BodyText"/>
      </w:pPr>
      <w:r>
        <w:t xml:space="preserve">Data, automation, and AI enhance decision-making.</w:t>
      </w:r>
    </w:p>
    <w:p>
      <w:pPr>
        <w:pStyle w:val="BodyText"/>
      </w:pPr>
      <w:r>
        <w:rPr>
          <w:b/>
          <w:bCs/>
        </w:rPr>
        <w:t xml:space="preserve">Level 5 – Optimized</w:t>
      </w:r>
    </w:p>
    <w:p>
      <w:pPr>
        <w:pStyle w:val="BodyText"/>
      </w:pPr>
      <w:r>
        <w:t xml:space="preserve">The capability continuously improves through evidence, innovation, and institutional learning.</w:t>
      </w:r>
    </w:p>
    <w:p>
      <w:r>
        <w:pict>
          <v:rect style="width:0;height:1.5pt" o:hralign="center" o:hrstd="t" o:hr="t"/>
        </w:pict>
      </w:r>
    </w:p>
    <w:bookmarkEnd w:id="70"/>
    <w:bookmarkStart w:id="71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The Capability Model defines what Tiptop Virtual Academy must always be able to accomplish in pursuit of its mission.</w:t>
      </w:r>
    </w:p>
    <w:p>
      <w:pPr>
        <w:pStyle w:val="BodyText"/>
      </w:pPr>
      <w:r>
        <w:t xml:space="preserve">Capabilities endure beyond changes in technology, organizational structures, staffing, and educational trends.</w:t>
      </w:r>
    </w:p>
    <w:p>
      <w:pPr>
        <w:pStyle w:val="BodyText"/>
      </w:pPr>
      <w:r>
        <w:t xml:space="preserve">By investing in capability rather than merely implementing software or procedures, the Academy builds resilience, adaptability, and long-term excellence.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2026-07-24T07:30:39Z</dcterms:created>
  <dcterms:modified xsi:type="dcterms:W3CDTF">2026-07-24T07:30:39Z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