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b69cd796bdb0ea871a65e55bd002c9c16163b9"/>
    <w:p>
      <w:pPr>
        <w:pStyle w:val="Heading1"/>
      </w:pPr>
      <w:r>
        <w:t xml:space="preserve">Tiptop Virtual Academy Domain Architecture</w:t>
      </w:r>
    </w:p>
    <w:bookmarkStart w:id="20" w:name="the-business-architecture-of-the-academy"/>
    <w:p>
      <w:pPr>
        <w:pStyle w:val="Heading2"/>
      </w:pPr>
      <w:r>
        <w:t xml:space="preserve">The Business Architecture of the Academy</w:t>
      </w:r>
    </w:p>
    <w:p>
      <w:pPr>
        <w:pStyle w:val="FirstParagraph"/>
      </w:pPr>
      <w:r>
        <w:rPr>
          <w:b/>
          <w:bCs/>
        </w:rPr>
        <w:t xml:space="preserve">Version:</w:t>
      </w:r>
      <w:r>
        <w:t xml:space="preserve"> </w:t>
      </w:r>
      <w:r>
        <w:t xml:space="preserve">2.0 Foundation Draft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The Domain Architecture divides Tiptop Virtual Academy into distinct areas of responsibility called</w:t>
      </w:r>
      <w:r>
        <w:t xml:space="preserve"> </w:t>
      </w:r>
      <w:r>
        <w:rPr>
          <w:b/>
          <w:bCs/>
        </w:rPr>
        <w:t xml:space="preserve">Business Domains</w:t>
      </w:r>
      <w:r>
        <w:t xml:space="preserve">.</w:t>
      </w:r>
    </w:p>
    <w:p>
      <w:pPr>
        <w:pStyle w:val="BodyText"/>
      </w:pPr>
      <w:r>
        <w:t xml:space="preserve">A Business Domain is a self-contained part of the Academy with a clear mission, defined ownership, authoritative information, and specific responsibilities.</w:t>
      </w:r>
    </w:p>
    <w:p>
      <w:pPr>
        <w:pStyle w:val="BodyText"/>
      </w:pPr>
      <w:r>
        <w:t xml:space="preserve">Domains exist to create clarity.</w:t>
      </w:r>
    </w:p>
    <w:p>
      <w:pPr>
        <w:pStyle w:val="BodyText"/>
      </w:pPr>
      <w:r>
        <w:t xml:space="preserve">Every activity performed by the Academy belongs to exactly one primary domain.</w:t>
      </w:r>
    </w:p>
    <w:p>
      <w:pPr>
        <w:pStyle w:val="BodyText"/>
      </w:pPr>
      <w:r>
        <w:t xml:space="preserve">Domains collaborate with one another, but they do not compete for ownership.</w:t>
      </w:r>
    </w:p>
    <w:p>
      <w:pPr>
        <w:pStyle w:val="BodyText"/>
      </w:pPr>
      <w:r>
        <w:t xml:space="preserve">This architecture serves as the foundation for governance, operations, information management, artificial intelligence, software development, and future organizational growth.</w:t>
      </w:r>
    </w:p>
    <w:p>
      <w:r>
        <w:pict>
          <v:rect style="width:0;height:1.5pt" o:hralign="center" o:hrstd="t" o:hr="t"/>
        </w:pict>
      </w:r>
    </w:p>
    <w:bookmarkEnd w:id="22"/>
    <w:bookmarkStart w:id="28" w:name="guiding-principles"/>
    <w:p>
      <w:pPr>
        <w:pStyle w:val="Heading1"/>
      </w:pPr>
      <w:r>
        <w:t xml:space="preserve">Guiding Principles</w:t>
      </w:r>
    </w:p>
    <w:p>
      <w:pPr>
        <w:pStyle w:val="FirstParagraph"/>
      </w:pPr>
      <w:r>
        <w:t xml:space="preserve">The Domain Architecture is governed by the following principles:</w:t>
      </w:r>
    </w:p>
    <w:bookmarkStart w:id="23" w:name="one-mission"/>
    <w:p>
      <w:pPr>
        <w:pStyle w:val="Heading3"/>
      </w:pPr>
      <w:r>
        <w:t xml:space="preserve">One Mission</w:t>
      </w:r>
    </w:p>
    <w:p>
      <w:pPr>
        <w:pStyle w:val="FirstParagraph"/>
      </w:pPr>
      <w:r>
        <w:t xml:space="preserve">Each domain exists for one primary purpose.</w:t>
      </w:r>
    </w:p>
    <w:p>
      <w:pPr>
        <w:pStyle w:val="BodyText"/>
      </w:pPr>
      <w:r>
        <w:t xml:space="preserve">If a domain has multiple unrelated purposes, it should be divided.</w:t>
      </w:r>
    </w:p>
    <w:p>
      <w:r>
        <w:pict>
          <v:rect style="width:0;height:1.5pt" o:hralign="center" o:hrstd="t" o:hr="t"/>
        </w:pict>
      </w:r>
    </w:p>
    <w:bookmarkEnd w:id="23"/>
    <w:bookmarkStart w:id="24" w:name="one-owner"/>
    <w:p>
      <w:pPr>
        <w:pStyle w:val="Heading3"/>
      </w:pPr>
      <w:r>
        <w:t xml:space="preserve">One Owner</w:t>
      </w:r>
    </w:p>
    <w:p>
      <w:pPr>
        <w:pStyle w:val="FirstParagraph"/>
      </w:pPr>
      <w:r>
        <w:t xml:space="preserve">Every domain has one accountable owner.</w:t>
      </w:r>
    </w:p>
    <w:p>
      <w:pPr>
        <w:pStyle w:val="BodyText"/>
      </w:pPr>
      <w:r>
        <w:t xml:space="preserve">Responsibility may be delegated.</w:t>
      </w:r>
    </w:p>
    <w:p>
      <w:pPr>
        <w:pStyle w:val="BodyText"/>
      </w:pPr>
      <w:r>
        <w:t xml:space="preserve">Accountability may not.</w:t>
      </w:r>
    </w:p>
    <w:p>
      <w:r>
        <w:pict>
          <v:rect style="width:0;height:1.5pt" o:hralign="center" o:hrstd="t" o:hr="t"/>
        </w:pict>
      </w:r>
    </w:p>
    <w:bookmarkEnd w:id="24"/>
    <w:bookmarkStart w:id="25" w:name="one-source-of-truth"/>
    <w:p>
      <w:pPr>
        <w:pStyle w:val="Heading3"/>
      </w:pPr>
      <w:r>
        <w:t xml:space="preserve">One Source of Truth</w:t>
      </w:r>
    </w:p>
    <w:p>
      <w:pPr>
        <w:pStyle w:val="FirstParagraph"/>
      </w:pPr>
      <w:r>
        <w:t xml:space="preserve">Every piece of institutional information has one authoritative home.</w:t>
      </w:r>
    </w:p>
    <w:p>
      <w:pPr>
        <w:pStyle w:val="BodyText"/>
      </w:pPr>
      <w:r>
        <w:t xml:space="preserve">Other domains may reference information but must not become competing sources of truth.</w:t>
      </w:r>
    </w:p>
    <w:p>
      <w:r>
        <w:pict>
          <v:rect style="width:0;height:1.5pt" o:hralign="center" o:hrstd="t" o:hr="t"/>
        </w:pict>
      </w:r>
    </w:p>
    <w:bookmarkEnd w:id="25"/>
    <w:bookmarkStart w:id="26" w:name="clear-boundaries"/>
    <w:p>
      <w:pPr>
        <w:pStyle w:val="Heading3"/>
      </w:pPr>
      <w:r>
        <w:t xml:space="preserve">Clear Boundaries</w:t>
      </w:r>
    </w:p>
    <w:p>
      <w:pPr>
        <w:pStyle w:val="FirstParagraph"/>
      </w:pPr>
      <w:r>
        <w:t xml:space="preserve">Domains collaborate extensively while respecting each other’s authority.</w:t>
      </w:r>
    </w:p>
    <w:p>
      <w:pPr>
        <w:pStyle w:val="BodyText"/>
      </w:pPr>
      <w:r>
        <w:t xml:space="preserve">No domain may assume ownership of another domain’s responsibilities without explicit governance.</w:t>
      </w:r>
    </w:p>
    <w:p>
      <w:r>
        <w:pict>
          <v:rect style="width:0;height:1.5pt" o:hralign="center" o:hrstd="t" o:hr="t"/>
        </w:pict>
      </w:r>
    </w:p>
    <w:bookmarkEnd w:id="26"/>
    <w:bookmarkStart w:id="27" w:name="stable-before-flexible"/>
    <w:p>
      <w:pPr>
        <w:pStyle w:val="Heading3"/>
      </w:pPr>
      <w:r>
        <w:t xml:space="preserve">Stable Before Flexible</w:t>
      </w:r>
    </w:p>
    <w:p>
      <w:pPr>
        <w:pStyle w:val="FirstParagraph"/>
      </w:pPr>
      <w:r>
        <w:t xml:space="preserve">Domains should be designed around enduring institutional concepts rather than current technology or temporary organizational structures.</w:t>
      </w:r>
    </w:p>
    <w:p>
      <w:r>
        <w:pict>
          <v:rect style="width:0;height:1.5pt" o:hralign="center" o:hrstd="t" o:hr="t"/>
        </w:pict>
      </w:r>
    </w:p>
    <w:bookmarkEnd w:id="27"/>
    <w:bookmarkEnd w:id="28"/>
    <w:bookmarkStart w:id="29" w:name="domain-map"/>
    <w:p>
      <w:pPr>
        <w:pStyle w:val="Heading1"/>
      </w:pPr>
      <w:r>
        <w:t xml:space="preserve">Domain Map</w:t>
      </w:r>
    </w:p>
    <w:p>
      <w:pPr>
        <w:pStyle w:val="FirstParagraph"/>
      </w:pPr>
      <w:r>
        <w:t xml:space="preserve">The Academy is composed of the following primary domains.</w:t>
      </w:r>
    </w:p>
    <w:p>
      <w:r>
        <w:pict>
          <v:rect style="width:0;height:1.5pt" o:hralign="center" o:hrstd="t" o:hr="t"/>
        </w:pict>
      </w:r>
    </w:p>
    <w:bookmarkEnd w:id="29"/>
    <w:bookmarkStart w:id="33" w:name="domain-1-governance"/>
    <w:p>
      <w:pPr>
        <w:pStyle w:val="Heading1"/>
      </w:pPr>
      <w:r>
        <w:t xml:space="preserve">Domain 1 — Governance</w:t>
      </w:r>
    </w:p>
    <w:bookmarkStart w:id="32" w:name="mission"/>
    <w:p>
      <w:pPr>
        <w:pStyle w:val="Heading2"/>
      </w:pPr>
      <w:r>
        <w:t xml:space="preserve">Mission</w:t>
      </w:r>
    </w:p>
    <w:p>
      <w:pPr>
        <w:pStyle w:val="FirstParagraph"/>
      </w:pPr>
      <w:r>
        <w:t xml:space="preserve">To provide institutional leadership, strategic direction, governance, policy, ethics, and long-term sustainability.</w:t>
      </w:r>
    </w:p>
    <w:bookmarkStart w:id="30" w:name="owns"/>
    <w:p>
      <w:pPr>
        <w:pStyle w:val="Heading3"/>
      </w:pPr>
      <w:r>
        <w:t xml:space="preserve">Owns</w:t>
      </w:r>
    </w:p>
    <w:p>
      <w:pPr>
        <w:pStyle w:val="Compact"/>
        <w:numPr>
          <w:ilvl w:val="0"/>
          <w:numId w:val="1001"/>
        </w:numPr>
      </w:pPr>
      <w:r>
        <w:t xml:space="preserve">Vision</w:t>
      </w:r>
    </w:p>
    <w:p>
      <w:pPr>
        <w:pStyle w:val="Compact"/>
        <w:numPr>
          <w:ilvl w:val="0"/>
          <w:numId w:val="1001"/>
        </w:numPr>
      </w:pPr>
      <w:r>
        <w:t xml:space="preserve">Mission</w:t>
      </w:r>
    </w:p>
    <w:p>
      <w:pPr>
        <w:pStyle w:val="Compact"/>
        <w:numPr>
          <w:ilvl w:val="0"/>
          <w:numId w:val="1001"/>
        </w:numPr>
      </w:pPr>
      <w:r>
        <w:t xml:space="preserve">Strategy</w:t>
      </w:r>
    </w:p>
    <w:p>
      <w:pPr>
        <w:pStyle w:val="Compact"/>
        <w:numPr>
          <w:ilvl w:val="0"/>
          <w:numId w:val="1001"/>
        </w:numPr>
      </w:pPr>
      <w:r>
        <w:t xml:space="preserve">Policies</w:t>
      </w:r>
    </w:p>
    <w:p>
      <w:pPr>
        <w:pStyle w:val="Compact"/>
        <w:numPr>
          <w:ilvl w:val="0"/>
          <w:numId w:val="1001"/>
        </w:numPr>
      </w:pPr>
      <w:r>
        <w:t xml:space="preserve">Governance</w:t>
      </w:r>
    </w:p>
    <w:p>
      <w:pPr>
        <w:pStyle w:val="Compact"/>
        <w:numPr>
          <w:ilvl w:val="0"/>
          <w:numId w:val="1001"/>
        </w:numPr>
      </w:pPr>
      <w:r>
        <w:t xml:space="preserve">Risk Management</w:t>
      </w:r>
    </w:p>
    <w:p>
      <w:pPr>
        <w:pStyle w:val="Compact"/>
        <w:numPr>
          <w:ilvl w:val="0"/>
          <w:numId w:val="1001"/>
        </w:numPr>
      </w:pPr>
      <w:r>
        <w:t xml:space="preserve">Institutional Performance</w:t>
      </w:r>
    </w:p>
    <w:p>
      <w:pPr>
        <w:pStyle w:val="Compact"/>
        <w:numPr>
          <w:ilvl w:val="0"/>
          <w:numId w:val="1001"/>
        </w:numPr>
      </w:pPr>
      <w:r>
        <w:t xml:space="preserve">External Partnerships</w:t>
      </w:r>
    </w:p>
    <w:bookmarkEnd w:id="30"/>
    <w:bookmarkStart w:id="31" w:name="does-not-own"/>
    <w:p>
      <w:pPr>
        <w:pStyle w:val="Heading3"/>
      </w:pPr>
      <w:r>
        <w:t xml:space="preserve">Does Not Own</w:t>
      </w:r>
    </w:p>
    <w:p>
      <w:pPr>
        <w:pStyle w:val="FirstParagraph"/>
      </w:pPr>
      <w:r>
        <w:t xml:space="preserve">Students</w:t>
      </w:r>
    </w:p>
    <w:p>
      <w:pPr>
        <w:pStyle w:val="BodyText"/>
      </w:pPr>
      <w:r>
        <w:t xml:space="preserve">Teachers</w:t>
      </w:r>
    </w:p>
    <w:p>
      <w:pPr>
        <w:pStyle w:val="BodyText"/>
      </w:pPr>
      <w:r>
        <w:t xml:space="preserve">Finance</w:t>
      </w:r>
    </w:p>
    <w:p>
      <w:pPr>
        <w:pStyle w:val="BodyText"/>
      </w:pPr>
      <w:r>
        <w:t xml:space="preserve">Technology</w:t>
      </w:r>
    </w:p>
    <w:p>
      <w:pPr>
        <w:pStyle w:val="BodyText"/>
      </w:pPr>
      <w:r>
        <w:t xml:space="preserve">Learning</w:t>
      </w:r>
    </w:p>
    <w:p>
      <w:r>
        <w:pict>
          <v:rect style="width:0;height:1.5pt" o:hralign="center" o:hrstd="t" o:hr="t"/>
        </w:pict>
      </w:r>
    </w:p>
    <w:bookmarkEnd w:id="31"/>
    <w:bookmarkEnd w:id="32"/>
    <w:bookmarkEnd w:id="33"/>
    <w:bookmarkStart w:id="37" w:name="domain-2-academic-excellence"/>
    <w:p>
      <w:pPr>
        <w:pStyle w:val="Heading1"/>
      </w:pPr>
      <w:r>
        <w:t xml:space="preserve">Domain 2 — Academic Excellence</w:t>
      </w:r>
    </w:p>
    <w:bookmarkStart w:id="36" w:name="mission-1"/>
    <w:p>
      <w:pPr>
        <w:pStyle w:val="Heading2"/>
      </w:pPr>
      <w:r>
        <w:t xml:space="preserve">Mission</w:t>
      </w:r>
    </w:p>
    <w:p>
      <w:pPr>
        <w:pStyle w:val="FirstParagraph"/>
      </w:pPr>
      <w:r>
        <w:t xml:space="preserve">To create, deliver, evaluate, and continually improve learning.</w:t>
      </w:r>
    </w:p>
    <w:bookmarkStart w:id="34" w:name="owns-1"/>
    <w:p>
      <w:pPr>
        <w:pStyle w:val="Heading3"/>
      </w:pPr>
      <w:r>
        <w:t xml:space="preserve">Owns</w:t>
      </w:r>
    </w:p>
    <w:p>
      <w:pPr>
        <w:pStyle w:val="Compact"/>
        <w:numPr>
          <w:ilvl w:val="0"/>
          <w:numId w:val="1002"/>
        </w:numPr>
      </w:pPr>
      <w:r>
        <w:t xml:space="preserve">Programmes</w:t>
      </w:r>
    </w:p>
    <w:p>
      <w:pPr>
        <w:pStyle w:val="Compact"/>
        <w:numPr>
          <w:ilvl w:val="0"/>
          <w:numId w:val="1002"/>
        </w:numPr>
      </w:pPr>
      <w:r>
        <w:t xml:space="preserve">Curriculum Implementation</w:t>
      </w:r>
    </w:p>
    <w:p>
      <w:pPr>
        <w:pStyle w:val="Compact"/>
        <w:numPr>
          <w:ilvl w:val="0"/>
          <w:numId w:val="1002"/>
        </w:numPr>
      </w:pPr>
      <w:r>
        <w:t xml:space="preserve">Subjects</w:t>
      </w:r>
    </w:p>
    <w:p>
      <w:pPr>
        <w:pStyle w:val="Compact"/>
        <w:numPr>
          <w:ilvl w:val="0"/>
          <w:numId w:val="1002"/>
        </w:numPr>
      </w:pPr>
      <w:r>
        <w:t xml:space="preserve">Lessons</w:t>
      </w:r>
    </w:p>
    <w:p>
      <w:pPr>
        <w:pStyle w:val="Compact"/>
        <w:numPr>
          <w:ilvl w:val="0"/>
          <w:numId w:val="1002"/>
        </w:numPr>
      </w:pPr>
      <w:r>
        <w:t xml:space="preserve">Assessments</w:t>
      </w:r>
    </w:p>
    <w:p>
      <w:pPr>
        <w:pStyle w:val="Compact"/>
        <w:numPr>
          <w:ilvl w:val="0"/>
          <w:numId w:val="1002"/>
        </w:numPr>
      </w:pPr>
      <w:r>
        <w:t xml:space="preserve">Academic Standards</w:t>
      </w:r>
    </w:p>
    <w:p>
      <w:pPr>
        <w:pStyle w:val="Compact"/>
        <w:numPr>
          <w:ilvl w:val="0"/>
          <w:numId w:val="1002"/>
        </w:numPr>
      </w:pPr>
      <w:r>
        <w:t xml:space="preserve">Teaching Quality</w:t>
      </w:r>
    </w:p>
    <w:p>
      <w:pPr>
        <w:pStyle w:val="Compact"/>
        <w:numPr>
          <w:ilvl w:val="0"/>
          <w:numId w:val="1002"/>
        </w:numPr>
      </w:pPr>
      <w:r>
        <w:t xml:space="preserve">Learning Outcomes</w:t>
      </w:r>
    </w:p>
    <w:bookmarkEnd w:id="34"/>
    <w:bookmarkStart w:id="35" w:name="does-not-own-1"/>
    <w:p>
      <w:pPr>
        <w:pStyle w:val="Heading3"/>
      </w:pPr>
      <w:r>
        <w:t xml:space="preserve">Does Not Own</w:t>
      </w:r>
    </w:p>
    <w:p>
      <w:pPr>
        <w:pStyle w:val="FirstParagraph"/>
      </w:pPr>
      <w:r>
        <w:t xml:space="preserve">Payments</w:t>
      </w:r>
    </w:p>
    <w:p>
      <w:pPr>
        <w:pStyle w:val="BodyText"/>
      </w:pPr>
      <w:r>
        <w:t xml:space="preserve">Admissions</w:t>
      </w:r>
    </w:p>
    <w:p>
      <w:pPr>
        <w:pStyle w:val="BodyText"/>
      </w:pPr>
      <w:r>
        <w:t xml:space="preserve">Employment</w:t>
      </w:r>
    </w:p>
    <w:p>
      <w:pPr>
        <w:pStyle w:val="BodyText"/>
      </w:pPr>
      <w:r>
        <w:t xml:space="preserve">Technology</w:t>
      </w:r>
    </w:p>
    <w:p>
      <w:r>
        <w:pict>
          <v:rect style="width:0;height:1.5pt" o:hralign="center" o:hrstd="t" o:hr="t"/>
        </w:pict>
      </w:r>
    </w:p>
    <w:bookmarkEnd w:id="35"/>
    <w:bookmarkEnd w:id="36"/>
    <w:bookmarkEnd w:id="37"/>
    <w:bookmarkStart w:id="40" w:name="domain-3-student-lifecycle"/>
    <w:p>
      <w:pPr>
        <w:pStyle w:val="Heading1"/>
      </w:pPr>
      <w:r>
        <w:t xml:space="preserve">Domain 3 — Student Lifecycle</w:t>
      </w:r>
    </w:p>
    <w:bookmarkStart w:id="39" w:name="mission-2"/>
    <w:p>
      <w:pPr>
        <w:pStyle w:val="Heading2"/>
      </w:pPr>
      <w:r>
        <w:t xml:space="preserve">Mission</w:t>
      </w:r>
    </w:p>
    <w:p>
      <w:pPr>
        <w:pStyle w:val="FirstParagraph"/>
      </w:pPr>
      <w:r>
        <w:t xml:space="preserve">To manage the complete relationship between the Academy and every learner from first enquiry to alumni status.</w:t>
      </w:r>
    </w:p>
    <w:bookmarkStart w:id="38" w:name="owns-2"/>
    <w:p>
      <w:pPr>
        <w:pStyle w:val="Heading3"/>
      </w:pPr>
      <w:r>
        <w:t xml:space="preserve">Owns</w:t>
      </w:r>
    </w:p>
    <w:p>
      <w:pPr>
        <w:pStyle w:val="Compact"/>
        <w:numPr>
          <w:ilvl w:val="0"/>
          <w:numId w:val="1003"/>
        </w:numPr>
      </w:pPr>
      <w:r>
        <w:t xml:space="preserve">Prospective Students</w:t>
      </w:r>
    </w:p>
    <w:p>
      <w:pPr>
        <w:pStyle w:val="Compact"/>
        <w:numPr>
          <w:ilvl w:val="0"/>
          <w:numId w:val="1003"/>
        </w:numPr>
      </w:pPr>
      <w:r>
        <w:t xml:space="preserve">Applications</w:t>
      </w:r>
    </w:p>
    <w:p>
      <w:pPr>
        <w:pStyle w:val="Compact"/>
        <w:numPr>
          <w:ilvl w:val="0"/>
          <w:numId w:val="1003"/>
        </w:numPr>
      </w:pPr>
      <w:r>
        <w:t xml:space="preserve">Admissions</w:t>
      </w:r>
    </w:p>
    <w:p>
      <w:pPr>
        <w:pStyle w:val="Compact"/>
        <w:numPr>
          <w:ilvl w:val="0"/>
          <w:numId w:val="1003"/>
        </w:numPr>
      </w:pPr>
      <w:r>
        <w:t xml:space="preserve">Enrollment</w:t>
      </w:r>
    </w:p>
    <w:p>
      <w:pPr>
        <w:pStyle w:val="Compact"/>
        <w:numPr>
          <w:ilvl w:val="0"/>
          <w:numId w:val="1003"/>
        </w:numPr>
      </w:pPr>
      <w:r>
        <w:t xml:space="preserve">Student Records</w:t>
      </w:r>
    </w:p>
    <w:p>
      <w:pPr>
        <w:pStyle w:val="Compact"/>
        <w:numPr>
          <w:ilvl w:val="0"/>
          <w:numId w:val="1003"/>
        </w:numPr>
      </w:pPr>
      <w:r>
        <w:t xml:space="preserve">Student Status</w:t>
      </w:r>
    </w:p>
    <w:p>
      <w:pPr>
        <w:pStyle w:val="Compact"/>
        <w:numPr>
          <w:ilvl w:val="0"/>
          <w:numId w:val="1003"/>
        </w:numPr>
      </w:pPr>
      <w:r>
        <w:t xml:space="preserve">Transfers</w:t>
      </w:r>
    </w:p>
    <w:p>
      <w:pPr>
        <w:pStyle w:val="Compact"/>
        <w:numPr>
          <w:ilvl w:val="0"/>
          <w:numId w:val="1003"/>
        </w:numPr>
      </w:pPr>
      <w:r>
        <w:t xml:space="preserve">Graduation</w:t>
      </w:r>
    </w:p>
    <w:p>
      <w:pPr>
        <w:pStyle w:val="Compact"/>
        <w:numPr>
          <w:ilvl w:val="0"/>
          <w:numId w:val="1003"/>
        </w:numPr>
      </w:pPr>
      <w:r>
        <w:t xml:space="preserve">Alumni</w:t>
      </w:r>
    </w:p>
    <w:p>
      <w:pPr>
        <w:pStyle w:val="FirstParagraph"/>
      </w:pPr>
      <w:r>
        <w:t xml:space="preserve">This domain answers one question:</w:t>
      </w:r>
    </w:p>
    <w:p>
      <w:pPr>
        <w:pStyle w:val="BodyText"/>
      </w:pPr>
      <w:r>
        <w:rPr>
          <w:b/>
          <w:bCs/>
        </w:rPr>
        <w:t xml:space="preserve">Where is this learner in their journey?</w:t>
      </w:r>
    </w:p>
    <w:p>
      <w:r>
        <w:pict>
          <v:rect style="width:0;height:1.5pt" o:hralign="center" o:hrstd="t" o:hr="t"/>
        </w:pict>
      </w:r>
    </w:p>
    <w:bookmarkEnd w:id="38"/>
    <w:bookmarkEnd w:id="39"/>
    <w:bookmarkEnd w:id="40"/>
    <w:bookmarkStart w:id="43" w:name="domain-4-family-engagement"/>
    <w:p>
      <w:pPr>
        <w:pStyle w:val="Heading1"/>
      </w:pPr>
      <w:r>
        <w:t xml:space="preserve">Domain 4 — Family Engagement</w:t>
      </w:r>
    </w:p>
    <w:bookmarkStart w:id="42" w:name="mission-3"/>
    <w:p>
      <w:pPr>
        <w:pStyle w:val="Heading2"/>
      </w:pPr>
      <w:r>
        <w:t xml:space="preserve">Mission</w:t>
      </w:r>
    </w:p>
    <w:p>
      <w:pPr>
        <w:pStyle w:val="FirstParagraph"/>
      </w:pPr>
      <w:r>
        <w:t xml:space="preserve">To build trusted, lasting relationships with parents, guardians, and families.</w:t>
      </w:r>
    </w:p>
    <w:bookmarkStart w:id="41" w:name="owns-3"/>
    <w:p>
      <w:pPr>
        <w:pStyle w:val="Heading3"/>
      </w:pPr>
      <w:r>
        <w:t xml:space="preserve">Owns</w:t>
      </w:r>
    </w:p>
    <w:p>
      <w:pPr>
        <w:pStyle w:val="Compact"/>
        <w:numPr>
          <w:ilvl w:val="0"/>
          <w:numId w:val="1004"/>
        </w:numPr>
      </w:pPr>
      <w:r>
        <w:t xml:space="preserve">Parent Relationships</w:t>
      </w:r>
    </w:p>
    <w:p>
      <w:pPr>
        <w:pStyle w:val="Compact"/>
        <w:numPr>
          <w:ilvl w:val="0"/>
          <w:numId w:val="1004"/>
        </w:numPr>
      </w:pPr>
      <w:r>
        <w:t xml:space="preserve">Communication</w:t>
      </w:r>
    </w:p>
    <w:p>
      <w:pPr>
        <w:pStyle w:val="Compact"/>
        <w:numPr>
          <w:ilvl w:val="0"/>
          <w:numId w:val="1004"/>
        </w:numPr>
      </w:pPr>
      <w:r>
        <w:t xml:space="preserve">Family Support</w:t>
      </w:r>
    </w:p>
    <w:p>
      <w:pPr>
        <w:pStyle w:val="Compact"/>
        <w:numPr>
          <w:ilvl w:val="0"/>
          <w:numId w:val="1004"/>
        </w:numPr>
      </w:pPr>
      <w:r>
        <w:t xml:space="preserve">Feedback</w:t>
      </w:r>
    </w:p>
    <w:p>
      <w:pPr>
        <w:pStyle w:val="Compact"/>
        <w:numPr>
          <w:ilvl w:val="0"/>
          <w:numId w:val="1004"/>
        </w:numPr>
      </w:pPr>
      <w:r>
        <w:t xml:space="preserve">Parent Satisfaction</w:t>
      </w:r>
    </w:p>
    <w:p>
      <w:pPr>
        <w:pStyle w:val="Compact"/>
        <w:numPr>
          <w:ilvl w:val="0"/>
          <w:numId w:val="1004"/>
        </w:numPr>
      </w:pPr>
      <w:r>
        <w:t xml:space="preserve">Parent Experience</w:t>
      </w:r>
    </w:p>
    <w:p>
      <w:pPr>
        <w:pStyle w:val="FirstParagraph"/>
      </w:pPr>
      <w:r>
        <w:t xml:space="preserve">Parents are partners.</w:t>
      </w:r>
    </w:p>
    <w:p>
      <w:pPr>
        <w:pStyle w:val="BodyText"/>
      </w:pPr>
      <w:r>
        <w:t xml:space="preserve">Not customers.</w:t>
      </w:r>
    </w:p>
    <w:p>
      <w:r>
        <w:pict>
          <v:rect style="width:0;height:1.5pt" o:hralign="center" o:hrstd="t" o:hr="t"/>
        </w:pict>
      </w:r>
    </w:p>
    <w:bookmarkEnd w:id="41"/>
    <w:bookmarkEnd w:id="42"/>
    <w:bookmarkEnd w:id="43"/>
    <w:bookmarkStart w:id="46" w:name="domain-5-people-culture"/>
    <w:p>
      <w:pPr>
        <w:pStyle w:val="Heading1"/>
      </w:pPr>
      <w:r>
        <w:t xml:space="preserve">Domain 5 — People &amp; Culture</w:t>
      </w:r>
    </w:p>
    <w:bookmarkStart w:id="45" w:name="mission-4"/>
    <w:p>
      <w:pPr>
        <w:pStyle w:val="Heading2"/>
      </w:pPr>
      <w:r>
        <w:t xml:space="preserve">Mission</w:t>
      </w:r>
    </w:p>
    <w:p>
      <w:pPr>
        <w:pStyle w:val="FirstParagraph"/>
      </w:pPr>
      <w:r>
        <w:t xml:space="preserve">To attract, develop, support, and retain outstanding people.</w:t>
      </w:r>
    </w:p>
    <w:bookmarkStart w:id="44" w:name="owns-4"/>
    <w:p>
      <w:pPr>
        <w:pStyle w:val="Heading3"/>
      </w:pPr>
      <w:r>
        <w:t xml:space="preserve">Owns</w:t>
      </w:r>
    </w:p>
    <w:p>
      <w:pPr>
        <w:pStyle w:val="Compact"/>
        <w:numPr>
          <w:ilvl w:val="0"/>
          <w:numId w:val="1005"/>
        </w:numPr>
      </w:pPr>
      <w:r>
        <w:t xml:space="preserve">Recruitment</w:t>
      </w:r>
    </w:p>
    <w:p>
      <w:pPr>
        <w:pStyle w:val="Compact"/>
        <w:numPr>
          <w:ilvl w:val="0"/>
          <w:numId w:val="1005"/>
        </w:numPr>
      </w:pPr>
      <w:r>
        <w:t xml:space="preserve">Employment</w:t>
      </w:r>
    </w:p>
    <w:p>
      <w:pPr>
        <w:pStyle w:val="Compact"/>
        <w:numPr>
          <w:ilvl w:val="0"/>
          <w:numId w:val="1005"/>
        </w:numPr>
      </w:pPr>
      <w:r>
        <w:t xml:space="preserve">Onboarding</w:t>
      </w:r>
    </w:p>
    <w:p>
      <w:pPr>
        <w:pStyle w:val="Compact"/>
        <w:numPr>
          <w:ilvl w:val="0"/>
          <w:numId w:val="1005"/>
        </w:numPr>
      </w:pPr>
      <w:r>
        <w:t xml:space="preserve">Professional Development</w:t>
      </w:r>
    </w:p>
    <w:p>
      <w:pPr>
        <w:pStyle w:val="Compact"/>
        <w:numPr>
          <w:ilvl w:val="0"/>
          <w:numId w:val="1005"/>
        </w:numPr>
      </w:pPr>
      <w:r>
        <w:t xml:space="preserve">Performance</w:t>
      </w:r>
    </w:p>
    <w:p>
      <w:pPr>
        <w:pStyle w:val="Compact"/>
        <w:numPr>
          <w:ilvl w:val="0"/>
          <w:numId w:val="1005"/>
        </w:numPr>
      </w:pPr>
      <w:r>
        <w:t xml:space="preserve">Staff Records</w:t>
      </w:r>
    </w:p>
    <w:p>
      <w:pPr>
        <w:pStyle w:val="Compact"/>
        <w:numPr>
          <w:ilvl w:val="0"/>
          <w:numId w:val="1005"/>
        </w:numPr>
      </w:pPr>
      <w:r>
        <w:t xml:space="preserve">Culture</w:t>
      </w:r>
    </w:p>
    <w:p>
      <w:pPr>
        <w:pStyle w:val="FirstParagraph"/>
      </w:pPr>
      <w:r>
        <w:t xml:space="preserve">Teachers belong here as employees.</w:t>
      </w:r>
    </w:p>
    <w:p>
      <w:pPr>
        <w:pStyle w:val="BodyText"/>
      </w:pPr>
      <w:r>
        <w:t xml:space="preserve">Their teaching belongs to Academic Excellence.</w:t>
      </w:r>
    </w:p>
    <w:p>
      <w:r>
        <w:pict>
          <v:rect style="width:0;height:1.5pt" o:hralign="center" o:hrstd="t" o:hr="t"/>
        </w:pict>
      </w:r>
    </w:p>
    <w:bookmarkEnd w:id="44"/>
    <w:bookmarkEnd w:id="45"/>
    <w:bookmarkEnd w:id="46"/>
    <w:bookmarkStart w:id="49" w:name="domain-6-finance"/>
    <w:p>
      <w:pPr>
        <w:pStyle w:val="Heading1"/>
      </w:pPr>
      <w:r>
        <w:t xml:space="preserve">Domain 6 — Finance</w:t>
      </w:r>
    </w:p>
    <w:bookmarkStart w:id="48" w:name="mission-5"/>
    <w:p>
      <w:pPr>
        <w:pStyle w:val="Heading2"/>
      </w:pPr>
      <w:r>
        <w:t xml:space="preserve">Mission</w:t>
      </w:r>
    </w:p>
    <w:p>
      <w:pPr>
        <w:pStyle w:val="FirstParagraph"/>
      </w:pPr>
      <w:r>
        <w:t xml:space="preserve">To ensure responsible stewardship of financial resources.</w:t>
      </w:r>
    </w:p>
    <w:bookmarkStart w:id="47" w:name="owns-5"/>
    <w:p>
      <w:pPr>
        <w:pStyle w:val="Heading3"/>
      </w:pPr>
      <w:r>
        <w:t xml:space="preserve">Owns</w:t>
      </w:r>
    </w:p>
    <w:p>
      <w:pPr>
        <w:pStyle w:val="Compact"/>
        <w:numPr>
          <w:ilvl w:val="0"/>
          <w:numId w:val="1006"/>
        </w:numPr>
      </w:pPr>
      <w:r>
        <w:t xml:space="preserve">Pricing</w:t>
      </w:r>
    </w:p>
    <w:p>
      <w:pPr>
        <w:pStyle w:val="Compact"/>
        <w:numPr>
          <w:ilvl w:val="0"/>
          <w:numId w:val="1006"/>
        </w:numPr>
      </w:pPr>
      <w:r>
        <w:t xml:space="preserve">Billing</w:t>
      </w:r>
    </w:p>
    <w:p>
      <w:pPr>
        <w:pStyle w:val="Compact"/>
        <w:numPr>
          <w:ilvl w:val="0"/>
          <w:numId w:val="1006"/>
        </w:numPr>
      </w:pPr>
      <w:r>
        <w:t xml:space="preserve">Invoices</w:t>
      </w:r>
    </w:p>
    <w:p>
      <w:pPr>
        <w:pStyle w:val="Compact"/>
        <w:numPr>
          <w:ilvl w:val="0"/>
          <w:numId w:val="1006"/>
        </w:numPr>
      </w:pPr>
      <w:r>
        <w:t xml:space="preserve">Payments</w:t>
      </w:r>
    </w:p>
    <w:p>
      <w:pPr>
        <w:pStyle w:val="Compact"/>
        <w:numPr>
          <w:ilvl w:val="0"/>
          <w:numId w:val="1006"/>
        </w:numPr>
      </w:pPr>
      <w:r>
        <w:t xml:space="preserve">Refunds</w:t>
      </w:r>
    </w:p>
    <w:p>
      <w:pPr>
        <w:pStyle w:val="Compact"/>
        <w:numPr>
          <w:ilvl w:val="0"/>
          <w:numId w:val="1006"/>
        </w:numPr>
      </w:pPr>
      <w:r>
        <w:t xml:space="preserve">Payroll</w:t>
      </w:r>
    </w:p>
    <w:p>
      <w:pPr>
        <w:pStyle w:val="Compact"/>
        <w:numPr>
          <w:ilvl w:val="0"/>
          <w:numId w:val="1006"/>
        </w:numPr>
      </w:pPr>
      <w:r>
        <w:t xml:space="preserve">Budget</w:t>
      </w:r>
    </w:p>
    <w:p>
      <w:pPr>
        <w:pStyle w:val="Compact"/>
        <w:numPr>
          <w:ilvl w:val="0"/>
          <w:numId w:val="1006"/>
        </w:numPr>
      </w:pPr>
      <w:r>
        <w:t xml:space="preserve">Procurement</w:t>
      </w:r>
    </w:p>
    <w:p>
      <w:pPr>
        <w:pStyle w:val="Compact"/>
        <w:numPr>
          <w:ilvl w:val="0"/>
          <w:numId w:val="1006"/>
        </w:numPr>
      </w:pPr>
      <w:r>
        <w:t xml:space="preserve">Financial Reporting</w:t>
      </w:r>
    </w:p>
    <w:p>
      <w:pPr>
        <w:pStyle w:val="FirstParagraph"/>
      </w:pPr>
      <w:r>
        <w:t xml:space="preserve">Finance manages money.</w:t>
      </w:r>
    </w:p>
    <w:p>
      <w:pPr>
        <w:pStyle w:val="BodyText"/>
      </w:pPr>
      <w:r>
        <w:t xml:space="preserve">Not students.</w:t>
      </w:r>
    </w:p>
    <w:p>
      <w:r>
        <w:pict>
          <v:rect style="width:0;height:1.5pt" o:hralign="center" o:hrstd="t" o:hr="t"/>
        </w:pict>
      </w:r>
    </w:p>
    <w:bookmarkEnd w:id="47"/>
    <w:bookmarkEnd w:id="48"/>
    <w:bookmarkEnd w:id="49"/>
    <w:bookmarkStart w:id="52" w:name="domain-7-digital-services"/>
    <w:p>
      <w:pPr>
        <w:pStyle w:val="Heading1"/>
      </w:pPr>
      <w:r>
        <w:t xml:space="preserve">Domain 7 — Digital Services</w:t>
      </w:r>
    </w:p>
    <w:bookmarkStart w:id="51" w:name="mission-6"/>
    <w:p>
      <w:pPr>
        <w:pStyle w:val="Heading2"/>
      </w:pPr>
      <w:r>
        <w:t xml:space="preserve">Mission</w:t>
      </w:r>
    </w:p>
    <w:p>
      <w:pPr>
        <w:pStyle w:val="FirstParagraph"/>
      </w:pPr>
      <w:r>
        <w:t xml:space="preserve">To provide secure, reliable, and intelligent digital capabilities that enable every other domain.</w:t>
      </w:r>
    </w:p>
    <w:bookmarkStart w:id="50" w:name="owns-6"/>
    <w:p>
      <w:pPr>
        <w:pStyle w:val="Heading3"/>
      </w:pPr>
      <w:r>
        <w:t xml:space="preserve">Owns</w:t>
      </w:r>
    </w:p>
    <w:p>
      <w:pPr>
        <w:pStyle w:val="Compact"/>
        <w:numPr>
          <w:ilvl w:val="0"/>
          <w:numId w:val="1007"/>
        </w:numPr>
      </w:pPr>
      <w:r>
        <w:t xml:space="preserve">Identity Management</w:t>
      </w:r>
    </w:p>
    <w:p>
      <w:pPr>
        <w:pStyle w:val="Compact"/>
        <w:numPr>
          <w:ilvl w:val="0"/>
          <w:numId w:val="1007"/>
        </w:numPr>
      </w:pPr>
      <w:r>
        <w:t xml:space="preserve">Digital Accounts</w:t>
      </w:r>
    </w:p>
    <w:p>
      <w:pPr>
        <w:pStyle w:val="Compact"/>
        <w:numPr>
          <w:ilvl w:val="0"/>
          <w:numId w:val="1007"/>
        </w:numPr>
      </w:pPr>
      <w:r>
        <w:t xml:space="preserve">Infrastructure</w:t>
      </w:r>
    </w:p>
    <w:p>
      <w:pPr>
        <w:pStyle w:val="Compact"/>
        <w:numPr>
          <w:ilvl w:val="0"/>
          <w:numId w:val="1007"/>
        </w:numPr>
      </w:pPr>
      <w:r>
        <w:t xml:space="preserve">Learning Platforms</w:t>
      </w:r>
    </w:p>
    <w:p>
      <w:pPr>
        <w:pStyle w:val="Compact"/>
        <w:numPr>
          <w:ilvl w:val="0"/>
          <w:numId w:val="1007"/>
        </w:numPr>
      </w:pPr>
      <w:r>
        <w:t xml:space="preserve">Integrations</w:t>
      </w:r>
    </w:p>
    <w:p>
      <w:pPr>
        <w:pStyle w:val="Compact"/>
        <w:numPr>
          <w:ilvl w:val="0"/>
          <w:numId w:val="1007"/>
        </w:numPr>
      </w:pPr>
      <w:r>
        <w:t xml:space="preserve">Security</w:t>
      </w:r>
    </w:p>
    <w:p>
      <w:pPr>
        <w:pStyle w:val="Compact"/>
        <w:numPr>
          <w:ilvl w:val="0"/>
          <w:numId w:val="1007"/>
        </w:numPr>
      </w:pPr>
      <w:r>
        <w:t xml:space="preserve">Artificial Intelligence Services</w:t>
      </w:r>
    </w:p>
    <w:p>
      <w:pPr>
        <w:pStyle w:val="Compact"/>
        <w:numPr>
          <w:ilvl w:val="0"/>
          <w:numId w:val="1007"/>
        </w:numPr>
      </w:pPr>
      <w:r>
        <w:t xml:space="preserve">Technical Support</w:t>
      </w:r>
    </w:p>
    <w:p>
      <w:pPr>
        <w:pStyle w:val="FirstParagraph"/>
      </w:pPr>
      <w:r>
        <w:t xml:space="preserve">Digital Services enables.</w:t>
      </w:r>
    </w:p>
    <w:p>
      <w:pPr>
        <w:pStyle w:val="BodyText"/>
      </w:pPr>
      <w:r>
        <w:t xml:space="preserve">It does not govern.</w:t>
      </w:r>
    </w:p>
    <w:p>
      <w:r>
        <w:pict>
          <v:rect style="width:0;height:1.5pt" o:hralign="center" o:hrstd="t" o:hr="t"/>
        </w:pict>
      </w:r>
    </w:p>
    <w:bookmarkEnd w:id="50"/>
    <w:bookmarkEnd w:id="51"/>
    <w:bookmarkEnd w:id="52"/>
    <w:bookmarkStart w:id="55" w:name="domain-8-institutional-quality"/>
    <w:p>
      <w:pPr>
        <w:pStyle w:val="Heading1"/>
      </w:pPr>
      <w:r>
        <w:t xml:space="preserve">Domain 8 — Institutional Quality</w:t>
      </w:r>
    </w:p>
    <w:bookmarkStart w:id="54" w:name="mission-7"/>
    <w:p>
      <w:pPr>
        <w:pStyle w:val="Heading2"/>
      </w:pPr>
      <w:r>
        <w:t xml:space="preserve">Mission</w:t>
      </w:r>
    </w:p>
    <w:p>
      <w:pPr>
        <w:pStyle w:val="FirstParagraph"/>
      </w:pPr>
      <w:r>
        <w:t xml:space="preserve">To ensure that every part of the Academy continuously improves.</w:t>
      </w:r>
    </w:p>
    <w:bookmarkStart w:id="53" w:name="owns-7"/>
    <w:p>
      <w:pPr>
        <w:pStyle w:val="Heading3"/>
      </w:pPr>
      <w:r>
        <w:t xml:space="preserve">Owns</w:t>
      </w:r>
    </w:p>
    <w:p>
      <w:pPr>
        <w:pStyle w:val="Compact"/>
        <w:numPr>
          <w:ilvl w:val="0"/>
          <w:numId w:val="1008"/>
        </w:numPr>
      </w:pPr>
      <w:r>
        <w:t xml:space="preserve">Quality Assurance</w:t>
      </w:r>
    </w:p>
    <w:p>
      <w:pPr>
        <w:pStyle w:val="Compact"/>
        <w:numPr>
          <w:ilvl w:val="0"/>
          <w:numId w:val="1008"/>
        </w:numPr>
      </w:pPr>
      <w:r>
        <w:t xml:space="preserve">Audits</w:t>
      </w:r>
    </w:p>
    <w:p>
      <w:pPr>
        <w:pStyle w:val="Compact"/>
        <w:numPr>
          <w:ilvl w:val="0"/>
          <w:numId w:val="1008"/>
        </w:numPr>
      </w:pPr>
      <w:r>
        <w:t xml:space="preserve">Compliance</w:t>
      </w:r>
    </w:p>
    <w:p>
      <w:pPr>
        <w:pStyle w:val="Compact"/>
        <w:numPr>
          <w:ilvl w:val="0"/>
          <w:numId w:val="1008"/>
        </w:numPr>
      </w:pPr>
      <w:r>
        <w:t xml:space="preserve">Institutional Metrics</w:t>
      </w:r>
    </w:p>
    <w:p>
      <w:pPr>
        <w:pStyle w:val="Compact"/>
        <w:numPr>
          <w:ilvl w:val="0"/>
          <w:numId w:val="1008"/>
        </w:numPr>
      </w:pPr>
      <w:r>
        <w:t xml:space="preserve">Accreditation</w:t>
      </w:r>
    </w:p>
    <w:p>
      <w:pPr>
        <w:pStyle w:val="Compact"/>
        <w:numPr>
          <w:ilvl w:val="0"/>
          <w:numId w:val="1008"/>
        </w:numPr>
      </w:pPr>
      <w:r>
        <w:t xml:space="preserve">Continuous Improvement</w:t>
      </w:r>
    </w:p>
    <w:p>
      <w:pPr>
        <w:pStyle w:val="FirstParagraph"/>
      </w:pPr>
      <w:r>
        <w:t xml:space="preserve">Quality belongs to everyone.</w:t>
      </w:r>
    </w:p>
    <w:p>
      <w:pPr>
        <w:pStyle w:val="BodyText"/>
      </w:pPr>
      <w:r>
        <w:t xml:space="preserve">Its stewardship belongs here.</w:t>
      </w:r>
    </w:p>
    <w:p>
      <w:r>
        <w:pict>
          <v:rect style="width:0;height:1.5pt" o:hralign="center" o:hrstd="t" o:hr="t"/>
        </w:pict>
      </w:r>
    </w:p>
    <w:bookmarkEnd w:id="53"/>
    <w:bookmarkEnd w:id="54"/>
    <w:bookmarkEnd w:id="55"/>
    <w:bookmarkStart w:id="56" w:name="cross-domain-collaboration"/>
    <w:p>
      <w:pPr>
        <w:pStyle w:val="Heading1"/>
      </w:pPr>
      <w:r>
        <w:t xml:space="preserve">Cross-Domain Collaboration</w:t>
      </w:r>
    </w:p>
    <w:p>
      <w:pPr>
        <w:pStyle w:val="FirstParagraph"/>
      </w:pPr>
      <w:r>
        <w:t xml:space="preserve">Domains work together through clearly defined interactions rather than shared ownership.</w:t>
      </w:r>
    </w:p>
    <w:p>
      <w:pPr>
        <w:pStyle w:val="BodyText"/>
      </w:pPr>
      <w:r>
        <w:t xml:space="preserve">Examples:</w:t>
      </w:r>
    </w:p>
    <w:p>
      <w:pPr>
        <w:pStyle w:val="BodyText"/>
      </w:pPr>
      <w:r>
        <w:t xml:space="preserve">Governance defines policy.</w:t>
      </w:r>
    </w:p>
    <w:p>
      <w:pPr>
        <w:pStyle w:val="BodyText"/>
      </w:pPr>
      <w:r>
        <w:t xml:space="preserve">Academic Excellence interprets policy for teaching.</w:t>
      </w:r>
    </w:p>
    <w:p>
      <w:pPr>
        <w:pStyle w:val="BodyText"/>
      </w:pPr>
      <w:r>
        <w:t xml:space="preserve">Student Lifecycle applies it during admissions and progression.</w:t>
      </w:r>
    </w:p>
    <w:p>
      <w:pPr>
        <w:pStyle w:val="BodyText"/>
      </w:pPr>
      <w:r>
        <w:t xml:space="preserve">Digital Services implements it in systems.</w:t>
      </w:r>
    </w:p>
    <w:p>
      <w:pPr>
        <w:pStyle w:val="BodyText"/>
      </w:pPr>
      <w:r>
        <w:t xml:space="preserve">Institutional Quality evaluates its effectiveness.</w:t>
      </w:r>
    </w:p>
    <w:p>
      <w:pPr>
        <w:pStyle w:val="BodyText"/>
      </w:pPr>
      <w:r>
        <w:t xml:space="preserve">No ownership is transferred.</w:t>
      </w:r>
    </w:p>
    <w:p>
      <w:pPr>
        <w:pStyle w:val="BodyText"/>
      </w:pPr>
      <w:r>
        <w:t xml:space="preserve">Only collaboration occurs.</w:t>
      </w:r>
    </w:p>
    <w:p>
      <w:r>
        <w:pict>
          <v:rect style="width:0;height:1.5pt" o:hralign="center" o:hrstd="t" o:hr="t"/>
        </w:pict>
      </w:r>
    </w:p>
    <w:bookmarkEnd w:id="56"/>
    <w:bookmarkStart w:id="57" w:name="information-stewardship"/>
    <w:p>
      <w:pPr>
        <w:pStyle w:val="Heading1"/>
      </w:pPr>
      <w:r>
        <w:t xml:space="preserve">Information Stewardship</w:t>
      </w:r>
    </w:p>
    <w:p>
      <w:pPr>
        <w:pStyle w:val="FirstParagraph"/>
      </w:pPr>
      <w:r>
        <w:t xml:space="preserve">Each domain is the steward of its information.</w:t>
      </w:r>
    </w:p>
    <w:p>
      <w:pPr>
        <w:pStyle w:val="BodyText"/>
      </w:pPr>
      <w:r>
        <w:t xml:space="preserve">Examples:</w:t>
      </w:r>
    </w:p>
    <w:p>
      <w:pPr>
        <w:pStyle w:val="BodyText"/>
      </w:pPr>
      <w:r>
        <w:t xml:space="preserve">Academic Excellence owns lessons.</w:t>
      </w:r>
    </w:p>
    <w:p>
      <w:pPr>
        <w:pStyle w:val="BodyText"/>
      </w:pPr>
      <w:r>
        <w:t xml:space="preserve">Finance owns invoices.</w:t>
      </w:r>
    </w:p>
    <w:p>
      <w:pPr>
        <w:pStyle w:val="BodyText"/>
      </w:pPr>
      <w:r>
        <w:t xml:space="preserve">Student Lifecycle owns enrollment.</w:t>
      </w:r>
    </w:p>
    <w:p>
      <w:pPr>
        <w:pStyle w:val="BodyText"/>
      </w:pPr>
      <w:r>
        <w:t xml:space="preserve">People &amp; Culture owns employment records.</w:t>
      </w:r>
    </w:p>
    <w:p>
      <w:pPr>
        <w:pStyle w:val="BodyText"/>
      </w:pPr>
      <w:r>
        <w:t xml:space="preserve">Family Engagement owns parent interactions.</w:t>
      </w:r>
    </w:p>
    <w:p>
      <w:pPr>
        <w:pStyle w:val="BodyText"/>
      </w:pPr>
      <w:r>
        <w:t xml:space="preserve">Digital Services owns user accounts.</w:t>
      </w:r>
    </w:p>
    <w:p>
      <w:pPr>
        <w:pStyle w:val="BodyText"/>
      </w:pPr>
      <w:r>
        <w:t xml:space="preserve">Governance owns policies.</w:t>
      </w:r>
    </w:p>
    <w:p>
      <w:pPr>
        <w:pStyle w:val="BodyText"/>
      </w:pPr>
      <w:r>
        <w:t xml:space="preserve">Institutional Quality owns audit findings.</w:t>
      </w:r>
    </w:p>
    <w:p>
      <w:pPr>
        <w:pStyle w:val="BodyText"/>
      </w:pPr>
      <w:r>
        <w:t xml:space="preserve">Every institutional record has exactly one steward.</w:t>
      </w:r>
    </w:p>
    <w:p>
      <w:r>
        <w:pict>
          <v:rect style="width:0;height:1.5pt" o:hralign="center" o:hrstd="t" o:hr="t"/>
        </w:pict>
      </w:r>
    </w:p>
    <w:bookmarkEnd w:id="57"/>
    <w:bookmarkStart w:id="58" w:name="ai-within-the-domain-architecture"/>
    <w:p>
      <w:pPr>
        <w:pStyle w:val="Heading1"/>
      </w:pPr>
      <w:r>
        <w:t xml:space="preserve">AI Within the Domain Architecture</w:t>
      </w:r>
    </w:p>
    <w:p>
      <w:pPr>
        <w:pStyle w:val="FirstParagraph"/>
      </w:pPr>
      <w:r>
        <w:t xml:space="preserve">Artificial Intelligence is not a separate domain.</w:t>
      </w:r>
    </w:p>
    <w:p>
      <w:pPr>
        <w:pStyle w:val="BodyText"/>
      </w:pPr>
      <w:r>
        <w:t xml:space="preserve">AI exists inside each domain as a specialized capability.</w:t>
      </w:r>
    </w:p>
    <w:p>
      <w:pPr>
        <w:pStyle w:val="BodyText"/>
      </w:pPr>
      <w:r>
        <w:t xml:space="preserve">For example:</w:t>
      </w:r>
    </w:p>
    <w:p>
      <w:pPr>
        <w:pStyle w:val="BodyText"/>
      </w:pPr>
      <w:r>
        <w:t xml:space="preserve">Academic AI assists teachers.</w:t>
      </w:r>
    </w:p>
    <w:p>
      <w:pPr>
        <w:pStyle w:val="BodyText"/>
      </w:pPr>
      <w:r>
        <w:t xml:space="preserve">Finance AI supports billing and forecasting.</w:t>
      </w:r>
    </w:p>
    <w:p>
      <w:pPr>
        <w:pStyle w:val="BodyText"/>
      </w:pPr>
      <w:r>
        <w:t xml:space="preserve">Admissions AI supports application review.</w:t>
      </w:r>
    </w:p>
    <w:p>
      <w:pPr>
        <w:pStyle w:val="BodyText"/>
      </w:pPr>
      <w:r>
        <w:t xml:space="preserve">HR AI assists recruitment and onboarding.</w:t>
      </w:r>
    </w:p>
    <w:p>
      <w:pPr>
        <w:pStyle w:val="BodyText"/>
      </w:pPr>
      <w:r>
        <w:t xml:space="preserve">Executive AI supports institutional strategy.</w:t>
      </w:r>
    </w:p>
    <w:p>
      <w:pPr>
        <w:pStyle w:val="BodyText"/>
      </w:pPr>
      <w:r>
        <w:t xml:space="preserve">Each AI capability remains accountable to the business domain it serves.</w:t>
      </w:r>
    </w:p>
    <w:p>
      <w:r>
        <w:pict>
          <v:rect style="width:0;height:1.5pt" o:hralign="center" o:hrstd="t" o:hr="t"/>
        </w:pict>
      </w:r>
    </w:p>
    <w:bookmarkEnd w:id="58"/>
    <w:bookmarkStart w:id="59" w:name="closing-statement"/>
    <w:p>
      <w:pPr>
        <w:pStyle w:val="Heading1"/>
      </w:pPr>
      <w:r>
        <w:t xml:space="preserve">Closing Statement</w:t>
      </w:r>
    </w:p>
    <w:p>
      <w:pPr>
        <w:pStyle w:val="FirstParagraph"/>
      </w:pPr>
      <w:r>
        <w:t xml:space="preserve">The Domain Architecture defines how Tiptop Virtual Academy is organized as an institution.</w:t>
      </w:r>
    </w:p>
    <w:p>
      <w:pPr>
        <w:pStyle w:val="BodyText"/>
      </w:pPr>
      <w:r>
        <w:t xml:space="preserve">It ensures that ownership is clear, collaboration is intentional, information is trustworthy, and growth remains sustainable.</w:t>
      </w:r>
    </w:p>
    <w:p>
      <w:pPr>
        <w:pStyle w:val="BodyText"/>
      </w:pPr>
      <w:r>
        <w:t xml:space="preserve">This architecture is expected to endure beyond changes in technology, curriculum, organizational structure, and operational scale, providing the stable foundation upon which every future capability of the Academy will be built.</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2026-07-24T06:49:08Z</dcterms:created>
  <dcterms:modified xsi:type="dcterms:W3CDTF">2026-07-24T06:49:08Z</dcterms:modified>
</cp:coreProperties>
</file>

<file path=docProps/custom.xml><?xml version="1.0" encoding="utf-8"?>
<Properties xmlns="http://schemas.openxmlformats.org/officeDocument/2006/custom-properties" xmlns:vt="http://schemas.openxmlformats.org/officeDocument/2006/docPropsVTypes"/>
</file>