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ptop-virtual-academy-educational-model"/>
    <w:p>
      <w:pPr>
        <w:pStyle w:val="Heading1"/>
      </w:pPr>
      <w:r>
        <w:t xml:space="preserve">Tiptop Virtual Academy Educational Model</w:t>
      </w:r>
    </w:p>
    <w:p>
      <w:pPr>
        <w:pStyle w:val="FirstParagraph"/>
      </w:pPr>
      <w:r>
        <w:rPr>
          <w:b/>
          <w:bCs/>
        </w:rPr>
        <w:t xml:space="preserve">Version:</w:t>
      </w:r>
      <w:r>
        <w:t xml:space="preserve"> </w:t>
      </w:r>
      <w:r>
        <w:t xml:space="preserve">2.0 Foundation Draft</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The Tiptop Virtual Academy Educational Model defines the kind of education the Academy exists to provide.</w:t>
      </w:r>
    </w:p>
    <w:p>
      <w:pPr>
        <w:pStyle w:val="BodyText"/>
      </w:pPr>
      <w:r>
        <w:t xml:space="preserve">It establishes the principles that shape learning, teaching, assessment, student development, and the partnership between the Academy, families, and the wider community.</w:t>
      </w:r>
    </w:p>
    <w:p>
      <w:pPr>
        <w:pStyle w:val="BodyText"/>
      </w:pPr>
      <w:r>
        <w:t xml:space="preserve">This model is independent of curriculum, technology platforms, or delivery methods. Whether learning takes place through live virtual classrooms, independent study, future technologies, or blended experiences, the educational principles contained in this document remain constant.</w:t>
      </w:r>
    </w:p>
    <w:p>
      <w:r>
        <w:pict>
          <v:rect style="width:0;height:1.5pt" o:hralign="center" o:hrstd="t" o:hr="t"/>
        </w:pict>
      </w:r>
    </w:p>
    <w:bookmarkEnd w:id="21"/>
    <w:bookmarkStart w:id="22" w:name="our-educational-purpose"/>
    <w:p>
      <w:pPr>
        <w:pStyle w:val="Heading1"/>
      </w:pPr>
      <w:r>
        <w:t xml:space="preserve">Our Educational Purpose</w:t>
      </w:r>
    </w:p>
    <w:p>
      <w:pPr>
        <w:pStyle w:val="FirstParagraph"/>
      </w:pPr>
      <w:r>
        <w:t xml:space="preserve">The purpose of education at Tiptop Virtual Academy is to develop knowledgeable, confident, ethical, adaptable, and compassionate individuals who are prepared to succeed in higher education, meaningful careers, and responsible citizenship.</w:t>
      </w:r>
    </w:p>
    <w:p>
      <w:pPr>
        <w:pStyle w:val="BodyText"/>
      </w:pPr>
      <w:r>
        <w:t xml:space="preserve">Academic excellence is expected.</w:t>
      </w:r>
    </w:p>
    <w:p>
      <w:pPr>
        <w:pStyle w:val="BodyText"/>
      </w:pPr>
      <w:r>
        <w:t xml:space="preserve">Character development is essential.</w:t>
      </w:r>
    </w:p>
    <w:p>
      <w:pPr>
        <w:pStyle w:val="BodyText"/>
      </w:pPr>
      <w:r>
        <w:t xml:space="preserve">Personal growth is continuous.</w:t>
      </w:r>
    </w:p>
    <w:p>
      <w:pPr>
        <w:pStyle w:val="BodyText"/>
      </w:pPr>
      <w:r>
        <w:t xml:space="preserve">Education must prepare learners not only for examinations, but for life.</w:t>
      </w:r>
    </w:p>
    <w:p>
      <w:r>
        <w:pict>
          <v:rect style="width:0;height:1.5pt" o:hralign="center" o:hrstd="t" o:hr="t"/>
        </w:pict>
      </w:r>
    </w:p>
    <w:bookmarkEnd w:id="22"/>
    <w:bookmarkStart w:id="29" w:name="the-whole-learner-model"/>
    <w:p>
      <w:pPr>
        <w:pStyle w:val="Heading1"/>
      </w:pPr>
      <w:r>
        <w:t xml:space="preserve">The Whole Learner Model</w:t>
      </w:r>
    </w:p>
    <w:p>
      <w:pPr>
        <w:pStyle w:val="FirstParagraph"/>
      </w:pPr>
      <w:r>
        <w:t xml:space="preserve">Every learner is viewed as a whole person rather than simply a candidate for examinations.</w:t>
      </w:r>
    </w:p>
    <w:p>
      <w:pPr>
        <w:pStyle w:val="BodyText"/>
      </w:pPr>
      <w:r>
        <w:t xml:space="preserve">The Academy is committed to nurturing balanced development across six interconnected dimensions:</w:t>
      </w:r>
    </w:p>
    <w:bookmarkStart w:id="23" w:name="academic-development"/>
    <w:p>
      <w:pPr>
        <w:pStyle w:val="Heading3"/>
      </w:pPr>
      <w:r>
        <w:t xml:space="preserve">Academic Development</w:t>
      </w:r>
    </w:p>
    <w:p>
      <w:pPr>
        <w:pStyle w:val="FirstParagraph"/>
      </w:pPr>
      <w:r>
        <w:t xml:space="preserve">Learners acquire strong subject knowledge, critical thinking skills, and intellectual curiosity.</w:t>
      </w:r>
    </w:p>
    <w:bookmarkEnd w:id="23"/>
    <w:bookmarkStart w:id="24" w:name="character-development"/>
    <w:p>
      <w:pPr>
        <w:pStyle w:val="Heading3"/>
      </w:pPr>
      <w:r>
        <w:t xml:space="preserve">Character Development</w:t>
      </w:r>
    </w:p>
    <w:p>
      <w:pPr>
        <w:pStyle w:val="FirstParagraph"/>
      </w:pPr>
      <w:r>
        <w:t xml:space="preserve">Learners cultivate integrity, responsibility, empathy, resilience, and respect for others.</w:t>
      </w:r>
    </w:p>
    <w:bookmarkEnd w:id="24"/>
    <w:bookmarkStart w:id="25" w:name="communication-development"/>
    <w:p>
      <w:pPr>
        <w:pStyle w:val="Heading3"/>
      </w:pPr>
      <w:r>
        <w:t xml:space="preserve">Communication Development</w:t>
      </w:r>
    </w:p>
    <w:p>
      <w:pPr>
        <w:pStyle w:val="FirstParagraph"/>
      </w:pPr>
      <w:r>
        <w:t xml:space="preserve">Learners develop confidence in speaking, writing, listening, presenting, and collaborating across diverse settings.</w:t>
      </w:r>
    </w:p>
    <w:bookmarkEnd w:id="25"/>
    <w:bookmarkStart w:id="26" w:name="digital-development"/>
    <w:p>
      <w:pPr>
        <w:pStyle w:val="Heading3"/>
      </w:pPr>
      <w:r>
        <w:t xml:space="preserve">Digital Development</w:t>
      </w:r>
    </w:p>
    <w:p>
      <w:pPr>
        <w:pStyle w:val="FirstParagraph"/>
      </w:pPr>
      <w:r>
        <w:t xml:space="preserve">Learners become responsible, ethical, and effective users of technology, capable of navigating an increasingly digital world with confidence and discernment.</w:t>
      </w:r>
    </w:p>
    <w:bookmarkEnd w:id="26"/>
    <w:bookmarkStart w:id="27" w:name="personal-development"/>
    <w:p>
      <w:pPr>
        <w:pStyle w:val="Heading3"/>
      </w:pPr>
      <w:r>
        <w:t xml:space="preserve">Personal Development</w:t>
      </w:r>
    </w:p>
    <w:p>
      <w:pPr>
        <w:pStyle w:val="FirstParagraph"/>
      </w:pPr>
      <w:r>
        <w:t xml:space="preserve">Learners strengthen self-awareness, emotional intelligence, independence, time management, and the ability to learn continuously.</w:t>
      </w:r>
    </w:p>
    <w:bookmarkEnd w:id="27"/>
    <w:bookmarkStart w:id="28" w:name="global-development"/>
    <w:p>
      <w:pPr>
        <w:pStyle w:val="Heading3"/>
      </w:pPr>
      <w:r>
        <w:t xml:space="preserve">Global Development</w:t>
      </w:r>
    </w:p>
    <w:p>
      <w:pPr>
        <w:pStyle w:val="FirstParagraph"/>
      </w:pPr>
      <w:r>
        <w:t xml:space="preserve">Learners gain an appreciation for different cultures, perspectives, and global challenges while remaining grounded in their own communities and values.</w:t>
      </w:r>
    </w:p>
    <w:p>
      <w:r>
        <w:pict>
          <v:rect style="width:0;height:1.5pt" o:hralign="center" o:hrstd="t" o:hr="t"/>
        </w:pict>
      </w:r>
    </w:p>
    <w:bookmarkEnd w:id="28"/>
    <w:bookmarkEnd w:id="29"/>
    <w:bookmarkStart w:id="34" w:name="the-learning-partnership"/>
    <w:p>
      <w:pPr>
        <w:pStyle w:val="Heading1"/>
      </w:pPr>
      <w:r>
        <w:t xml:space="preserve">The Learning Partnership</w:t>
      </w:r>
    </w:p>
    <w:p>
      <w:pPr>
        <w:pStyle w:val="FirstParagraph"/>
      </w:pPr>
      <w:r>
        <w:t xml:space="preserve">Education is a shared responsibility.</w:t>
      </w:r>
    </w:p>
    <w:p>
      <w:pPr>
        <w:pStyle w:val="BodyText"/>
      </w:pPr>
      <w:r>
        <w:t xml:space="preserve">The Academy recognizes four primary partners in every learner’s journey.</w:t>
      </w:r>
    </w:p>
    <w:bookmarkStart w:id="30" w:name="the-student"/>
    <w:p>
      <w:pPr>
        <w:pStyle w:val="Heading3"/>
      </w:pPr>
      <w:r>
        <w:t xml:space="preserve">The Student</w:t>
      </w:r>
    </w:p>
    <w:p>
      <w:pPr>
        <w:pStyle w:val="FirstParagraph"/>
      </w:pPr>
      <w:r>
        <w:t xml:space="preserve">The student is an active participant in learning, responsible for engagement, effort, curiosity, and personal growth.</w:t>
      </w:r>
    </w:p>
    <w:bookmarkEnd w:id="30"/>
    <w:bookmarkStart w:id="31" w:name="the-parent-or-guardian"/>
    <w:p>
      <w:pPr>
        <w:pStyle w:val="Heading3"/>
      </w:pPr>
      <w:r>
        <w:t xml:space="preserve">The Parent or Guardian</w:t>
      </w:r>
    </w:p>
    <w:p>
      <w:pPr>
        <w:pStyle w:val="FirstParagraph"/>
      </w:pPr>
      <w:r>
        <w:t xml:space="preserve">Parents provide encouragement, structure, communication, and support beyond the classroom, reinforcing the partnership between home and school.</w:t>
      </w:r>
    </w:p>
    <w:bookmarkEnd w:id="31"/>
    <w:bookmarkStart w:id="32" w:name="the-teacher"/>
    <w:p>
      <w:pPr>
        <w:pStyle w:val="Heading3"/>
      </w:pPr>
      <w:r>
        <w:t xml:space="preserve">The Teacher</w:t>
      </w:r>
    </w:p>
    <w:p>
      <w:pPr>
        <w:pStyle w:val="FirstParagraph"/>
      </w:pPr>
      <w:r>
        <w:t xml:space="preserve">Teachers design meaningful learning experiences, inspire curiosity, provide guidance, assess progress, and cultivate an environment where every learner can thrive.</w:t>
      </w:r>
    </w:p>
    <w:bookmarkEnd w:id="32"/>
    <w:bookmarkStart w:id="33" w:name="the-academy"/>
    <w:p>
      <w:pPr>
        <w:pStyle w:val="Heading3"/>
      </w:pPr>
      <w:r>
        <w:t xml:space="preserve">The Academy</w:t>
      </w:r>
    </w:p>
    <w:p>
      <w:pPr>
        <w:pStyle w:val="FirstParagraph"/>
      </w:pPr>
      <w:r>
        <w:t xml:space="preserve">The Academy provides leadership, resources, systems, safeguarding, quality assurance, and an environment where excellent teaching and learning can flourish.</w:t>
      </w:r>
    </w:p>
    <w:p>
      <w:r>
        <w:pict>
          <v:rect style="width:0;height:1.5pt" o:hralign="center" o:hrstd="t" o:hr="t"/>
        </w:pict>
      </w:r>
    </w:p>
    <w:bookmarkEnd w:id="33"/>
    <w:bookmarkEnd w:id="34"/>
    <w:bookmarkStart w:id="40" w:name="how-learning-happens"/>
    <w:p>
      <w:pPr>
        <w:pStyle w:val="Heading1"/>
      </w:pPr>
      <w:r>
        <w:t xml:space="preserve">How Learning Happens</w:t>
      </w:r>
    </w:p>
    <w:p>
      <w:pPr>
        <w:pStyle w:val="FirstParagraph"/>
      </w:pPr>
      <w:r>
        <w:t xml:space="preserve">Learning at Tiptop Virtual Academy should be:</w:t>
      </w:r>
    </w:p>
    <w:bookmarkStart w:id="35" w:name="purposeful"/>
    <w:p>
      <w:pPr>
        <w:pStyle w:val="Heading3"/>
      </w:pPr>
      <w:r>
        <w:t xml:space="preserve">Purposeful</w:t>
      </w:r>
    </w:p>
    <w:p>
      <w:pPr>
        <w:pStyle w:val="FirstParagraph"/>
      </w:pPr>
      <w:r>
        <w:t xml:space="preserve">Every lesson should have a clear objective and meaningful outcome.</w:t>
      </w:r>
    </w:p>
    <w:bookmarkEnd w:id="35"/>
    <w:bookmarkStart w:id="36" w:name="active"/>
    <w:p>
      <w:pPr>
        <w:pStyle w:val="Heading3"/>
      </w:pPr>
      <w:r>
        <w:t xml:space="preserve">Active</w:t>
      </w:r>
    </w:p>
    <w:p>
      <w:pPr>
        <w:pStyle w:val="FirstParagraph"/>
      </w:pPr>
      <w:r>
        <w:t xml:space="preserve">Learners should participate, question, discuss, create, solve problems, and reflect rather than passively consume information.</w:t>
      </w:r>
    </w:p>
    <w:bookmarkEnd w:id="36"/>
    <w:bookmarkStart w:id="37" w:name="personalized"/>
    <w:p>
      <w:pPr>
        <w:pStyle w:val="Heading3"/>
      </w:pPr>
      <w:r>
        <w:t xml:space="preserve">Personalized</w:t>
      </w:r>
    </w:p>
    <w:p>
      <w:pPr>
        <w:pStyle w:val="FirstParagraph"/>
      </w:pPr>
      <w:r>
        <w:t xml:space="preserve">Teaching should recognize differences in readiness, learning styles, strengths, and support needs, while maintaining high expectations for all.</w:t>
      </w:r>
    </w:p>
    <w:bookmarkEnd w:id="37"/>
    <w:bookmarkStart w:id="38" w:name="collaborative"/>
    <w:p>
      <w:pPr>
        <w:pStyle w:val="Heading3"/>
      </w:pPr>
      <w:r>
        <w:t xml:space="preserve">Collaborative</w:t>
      </w:r>
    </w:p>
    <w:p>
      <w:pPr>
        <w:pStyle w:val="FirstParagraph"/>
      </w:pPr>
      <w:r>
        <w:t xml:space="preserve">Students should learn with and from others through respectful discussion, teamwork, and shared inquiry.</w:t>
      </w:r>
    </w:p>
    <w:bookmarkEnd w:id="38"/>
    <w:bookmarkStart w:id="39" w:name="reflective"/>
    <w:p>
      <w:pPr>
        <w:pStyle w:val="Heading3"/>
      </w:pPr>
      <w:r>
        <w:t xml:space="preserve">Reflective</w:t>
      </w:r>
    </w:p>
    <w:p>
      <w:pPr>
        <w:pStyle w:val="FirstParagraph"/>
      </w:pPr>
      <w:r>
        <w:t xml:space="preserve">Students should regularly evaluate their understanding, identify areas for growth, and develop the habits of lifelong learners.</w:t>
      </w:r>
    </w:p>
    <w:p>
      <w:r>
        <w:pict>
          <v:rect style="width:0;height:1.5pt" o:hralign="center" o:hrstd="t" o:hr="t"/>
        </w:pict>
      </w:r>
    </w:p>
    <w:bookmarkEnd w:id="39"/>
    <w:bookmarkEnd w:id="40"/>
    <w:bookmarkStart w:id="41" w:name="assessment-philosophy"/>
    <w:p>
      <w:pPr>
        <w:pStyle w:val="Heading1"/>
      </w:pPr>
      <w:r>
        <w:t xml:space="preserve">Assessment Philosophy</w:t>
      </w:r>
    </w:p>
    <w:p>
      <w:pPr>
        <w:pStyle w:val="FirstParagraph"/>
      </w:pPr>
      <w:r>
        <w:t xml:space="preserve">Assessment exists to improve learning, not merely to measure it.</w:t>
      </w:r>
    </w:p>
    <w:p>
      <w:pPr>
        <w:pStyle w:val="BodyText"/>
      </w:pPr>
      <w:r>
        <w:t xml:space="preserve">The Academy uses assessment to:</w:t>
      </w:r>
    </w:p>
    <w:p>
      <w:pPr>
        <w:pStyle w:val="Compact"/>
        <w:numPr>
          <w:ilvl w:val="0"/>
          <w:numId w:val="1001"/>
        </w:numPr>
      </w:pPr>
      <w:r>
        <w:t xml:space="preserve">identify strengths,</w:t>
      </w:r>
    </w:p>
    <w:p>
      <w:pPr>
        <w:pStyle w:val="Compact"/>
        <w:numPr>
          <w:ilvl w:val="0"/>
          <w:numId w:val="1001"/>
        </w:numPr>
      </w:pPr>
      <w:r>
        <w:t xml:space="preserve">reveal learning gaps,</w:t>
      </w:r>
    </w:p>
    <w:p>
      <w:pPr>
        <w:pStyle w:val="Compact"/>
        <w:numPr>
          <w:ilvl w:val="0"/>
          <w:numId w:val="1001"/>
        </w:numPr>
      </w:pPr>
      <w:r>
        <w:t xml:space="preserve">provide meaningful feedback,</w:t>
      </w:r>
    </w:p>
    <w:p>
      <w:pPr>
        <w:pStyle w:val="Compact"/>
        <w:numPr>
          <w:ilvl w:val="0"/>
          <w:numId w:val="1001"/>
        </w:numPr>
      </w:pPr>
      <w:r>
        <w:t xml:space="preserve">guide teaching,</w:t>
      </w:r>
    </w:p>
    <w:p>
      <w:pPr>
        <w:pStyle w:val="Compact"/>
        <w:numPr>
          <w:ilvl w:val="0"/>
          <w:numId w:val="1001"/>
        </w:numPr>
      </w:pPr>
      <w:r>
        <w:t xml:space="preserve">celebrate achievement, and</w:t>
      </w:r>
    </w:p>
    <w:p>
      <w:pPr>
        <w:pStyle w:val="Compact"/>
        <w:numPr>
          <w:ilvl w:val="0"/>
          <w:numId w:val="1001"/>
        </w:numPr>
      </w:pPr>
      <w:r>
        <w:t xml:space="preserve">support continuous improvement.</w:t>
      </w:r>
    </w:p>
    <w:p>
      <w:pPr>
        <w:pStyle w:val="FirstParagraph"/>
      </w:pPr>
      <w:r>
        <w:t xml:space="preserve">Examinations are important milestones, but they are not the sole measure of a learner’s potential or progress.</w:t>
      </w:r>
    </w:p>
    <w:p>
      <w:r>
        <w:pict>
          <v:rect style="width:0;height:1.5pt" o:hralign="center" o:hrstd="t" o:hr="t"/>
        </w:pict>
      </w:r>
    </w:p>
    <w:bookmarkEnd w:id="41"/>
    <w:bookmarkStart w:id="42" w:name="excellence-in-teaching"/>
    <w:p>
      <w:pPr>
        <w:pStyle w:val="Heading1"/>
      </w:pPr>
      <w:r>
        <w:t xml:space="preserve">Excellence in Teaching</w:t>
      </w:r>
    </w:p>
    <w:p>
      <w:pPr>
        <w:pStyle w:val="FirstParagraph"/>
      </w:pPr>
      <w:r>
        <w:t xml:space="preserve">Outstanding teaching is characterized by:</w:t>
      </w:r>
    </w:p>
    <w:p>
      <w:pPr>
        <w:pStyle w:val="Compact"/>
        <w:numPr>
          <w:ilvl w:val="0"/>
          <w:numId w:val="1002"/>
        </w:numPr>
      </w:pPr>
      <w:r>
        <w:t xml:space="preserve">strong subject knowledge,</w:t>
      </w:r>
    </w:p>
    <w:p>
      <w:pPr>
        <w:pStyle w:val="Compact"/>
        <w:numPr>
          <w:ilvl w:val="0"/>
          <w:numId w:val="1002"/>
        </w:numPr>
      </w:pPr>
      <w:r>
        <w:t xml:space="preserve">thoughtful planning,</w:t>
      </w:r>
    </w:p>
    <w:p>
      <w:pPr>
        <w:pStyle w:val="Compact"/>
        <w:numPr>
          <w:ilvl w:val="0"/>
          <w:numId w:val="1002"/>
        </w:numPr>
      </w:pPr>
      <w:r>
        <w:t xml:space="preserve">engaging instruction,</w:t>
      </w:r>
    </w:p>
    <w:p>
      <w:pPr>
        <w:pStyle w:val="Compact"/>
        <w:numPr>
          <w:ilvl w:val="0"/>
          <w:numId w:val="1002"/>
        </w:numPr>
      </w:pPr>
      <w:r>
        <w:t xml:space="preserve">clear communication,</w:t>
      </w:r>
    </w:p>
    <w:p>
      <w:pPr>
        <w:pStyle w:val="Compact"/>
        <w:numPr>
          <w:ilvl w:val="0"/>
          <w:numId w:val="1002"/>
        </w:numPr>
      </w:pPr>
      <w:r>
        <w:t xml:space="preserve">meaningful assessment,</w:t>
      </w:r>
    </w:p>
    <w:p>
      <w:pPr>
        <w:pStyle w:val="Compact"/>
        <w:numPr>
          <w:ilvl w:val="0"/>
          <w:numId w:val="1002"/>
        </w:numPr>
      </w:pPr>
      <w:r>
        <w:t xml:space="preserve">timely feedback,</w:t>
      </w:r>
    </w:p>
    <w:p>
      <w:pPr>
        <w:pStyle w:val="Compact"/>
        <w:numPr>
          <w:ilvl w:val="0"/>
          <w:numId w:val="1002"/>
        </w:numPr>
      </w:pPr>
      <w:r>
        <w:t xml:space="preserve">inclusive practice,</w:t>
      </w:r>
    </w:p>
    <w:p>
      <w:pPr>
        <w:pStyle w:val="Compact"/>
        <w:numPr>
          <w:ilvl w:val="0"/>
          <w:numId w:val="1002"/>
        </w:numPr>
      </w:pPr>
      <w:r>
        <w:t xml:space="preserve">professional integrity, and</w:t>
      </w:r>
    </w:p>
    <w:p>
      <w:pPr>
        <w:pStyle w:val="Compact"/>
        <w:numPr>
          <w:ilvl w:val="0"/>
          <w:numId w:val="1002"/>
        </w:numPr>
      </w:pPr>
      <w:r>
        <w:t xml:space="preserve">continuous development.</w:t>
      </w:r>
    </w:p>
    <w:p>
      <w:pPr>
        <w:pStyle w:val="FirstParagraph"/>
      </w:pPr>
      <w:r>
        <w:t xml:space="preserve">Teachers are encouraged to innovate while remaining faithful to sound educational principles.</w:t>
      </w:r>
    </w:p>
    <w:p>
      <w:r>
        <w:pict>
          <v:rect style="width:0;height:1.5pt" o:hralign="center" o:hrstd="t" o:hr="t"/>
        </w:pict>
      </w:r>
    </w:p>
    <w:bookmarkEnd w:id="42"/>
    <w:bookmarkStart w:id="43" w:name="the-responsible-use-of-technology"/>
    <w:p>
      <w:pPr>
        <w:pStyle w:val="Heading1"/>
      </w:pPr>
      <w:r>
        <w:t xml:space="preserve">The Responsible Use of Technology</w:t>
      </w:r>
    </w:p>
    <w:p>
      <w:pPr>
        <w:pStyle w:val="FirstParagraph"/>
      </w:pPr>
      <w:r>
        <w:t xml:space="preserve">Technology is integrated thoughtfully to enhance teaching and learning.</w:t>
      </w:r>
    </w:p>
    <w:p>
      <w:pPr>
        <w:pStyle w:val="BodyText"/>
      </w:pPr>
      <w:r>
        <w:t xml:space="preserve">Its purposes include:</w:t>
      </w:r>
    </w:p>
    <w:p>
      <w:pPr>
        <w:pStyle w:val="Compact"/>
        <w:numPr>
          <w:ilvl w:val="0"/>
          <w:numId w:val="1003"/>
        </w:numPr>
      </w:pPr>
      <w:r>
        <w:t xml:space="preserve">expanding access to education,</w:t>
      </w:r>
    </w:p>
    <w:p>
      <w:pPr>
        <w:pStyle w:val="Compact"/>
        <w:numPr>
          <w:ilvl w:val="0"/>
          <w:numId w:val="1003"/>
        </w:numPr>
      </w:pPr>
      <w:r>
        <w:t xml:space="preserve">supporting collaboration,</w:t>
      </w:r>
    </w:p>
    <w:p>
      <w:pPr>
        <w:pStyle w:val="Compact"/>
        <w:numPr>
          <w:ilvl w:val="0"/>
          <w:numId w:val="1003"/>
        </w:numPr>
      </w:pPr>
      <w:r>
        <w:t xml:space="preserve">improving communication,</w:t>
      </w:r>
    </w:p>
    <w:p>
      <w:pPr>
        <w:pStyle w:val="Compact"/>
        <w:numPr>
          <w:ilvl w:val="0"/>
          <w:numId w:val="1003"/>
        </w:numPr>
      </w:pPr>
      <w:r>
        <w:t xml:space="preserve">increasing efficiency,</w:t>
      </w:r>
    </w:p>
    <w:p>
      <w:pPr>
        <w:pStyle w:val="Compact"/>
        <w:numPr>
          <w:ilvl w:val="0"/>
          <w:numId w:val="1003"/>
        </w:numPr>
      </w:pPr>
      <w:r>
        <w:t xml:space="preserve">enabling personalized learning where appropriate, and</w:t>
      </w:r>
    </w:p>
    <w:p>
      <w:pPr>
        <w:pStyle w:val="Compact"/>
        <w:numPr>
          <w:ilvl w:val="0"/>
          <w:numId w:val="1003"/>
        </w:numPr>
      </w:pPr>
      <w:r>
        <w:t xml:space="preserve">reducing unnecessary administrative burden.</w:t>
      </w:r>
    </w:p>
    <w:p>
      <w:pPr>
        <w:pStyle w:val="FirstParagraph"/>
      </w:pPr>
      <w:r>
        <w:t xml:space="preserve">Technology should never replace meaningful relationships, professional judgment, or authentic learning experiences.</w:t>
      </w:r>
    </w:p>
    <w:p>
      <w:r>
        <w:pict>
          <v:rect style="width:0;height:1.5pt" o:hralign="center" o:hrstd="t" o:hr="t"/>
        </w:pict>
      </w:r>
    </w:p>
    <w:bookmarkEnd w:id="43"/>
    <w:bookmarkStart w:id="44" w:name="the-role-of-artificial-intelligence"/>
    <w:p>
      <w:pPr>
        <w:pStyle w:val="Heading1"/>
      </w:pPr>
      <w:r>
        <w:t xml:space="preserve">The Role of Artificial Intelligence</w:t>
      </w:r>
    </w:p>
    <w:p>
      <w:pPr>
        <w:pStyle w:val="FirstParagraph"/>
      </w:pPr>
      <w:r>
        <w:t xml:space="preserve">Artificial Intelligence is embraced as an educational assistant that strengthens human capability.</w:t>
      </w:r>
    </w:p>
    <w:p>
      <w:pPr>
        <w:pStyle w:val="BodyText"/>
      </w:pPr>
      <w:r>
        <w:t xml:space="preserve">AI may support:</w:t>
      </w:r>
    </w:p>
    <w:p>
      <w:pPr>
        <w:pStyle w:val="Compact"/>
        <w:numPr>
          <w:ilvl w:val="0"/>
          <w:numId w:val="1004"/>
        </w:numPr>
      </w:pPr>
      <w:r>
        <w:t xml:space="preserve">lesson preparation,</w:t>
      </w:r>
    </w:p>
    <w:p>
      <w:pPr>
        <w:pStyle w:val="Compact"/>
        <w:numPr>
          <w:ilvl w:val="0"/>
          <w:numId w:val="1004"/>
        </w:numPr>
      </w:pPr>
      <w:r>
        <w:t xml:space="preserve">differentiated instruction,</w:t>
      </w:r>
    </w:p>
    <w:p>
      <w:pPr>
        <w:pStyle w:val="Compact"/>
        <w:numPr>
          <w:ilvl w:val="0"/>
          <w:numId w:val="1004"/>
        </w:numPr>
      </w:pPr>
      <w:r>
        <w:t xml:space="preserve">administrative efficiency,</w:t>
      </w:r>
    </w:p>
    <w:p>
      <w:pPr>
        <w:pStyle w:val="Compact"/>
        <w:numPr>
          <w:ilvl w:val="0"/>
          <w:numId w:val="1004"/>
        </w:numPr>
      </w:pPr>
      <w:r>
        <w:t xml:space="preserve">personalized practice,</w:t>
      </w:r>
    </w:p>
    <w:p>
      <w:pPr>
        <w:pStyle w:val="Compact"/>
        <w:numPr>
          <w:ilvl w:val="0"/>
          <w:numId w:val="1004"/>
        </w:numPr>
      </w:pPr>
      <w:r>
        <w:t xml:space="preserve">learner feedback,</w:t>
      </w:r>
    </w:p>
    <w:p>
      <w:pPr>
        <w:pStyle w:val="Compact"/>
        <w:numPr>
          <w:ilvl w:val="0"/>
          <w:numId w:val="1004"/>
        </w:numPr>
      </w:pPr>
      <w:r>
        <w:t xml:space="preserve">academic analytics, and</w:t>
      </w:r>
    </w:p>
    <w:p>
      <w:pPr>
        <w:pStyle w:val="Compact"/>
        <w:numPr>
          <w:ilvl w:val="0"/>
          <w:numId w:val="1004"/>
        </w:numPr>
      </w:pPr>
      <w:r>
        <w:t xml:space="preserve">operational decision-making.</w:t>
      </w:r>
    </w:p>
    <w:p>
      <w:pPr>
        <w:pStyle w:val="FirstParagraph"/>
      </w:pPr>
      <w:r>
        <w:t xml:space="preserve">Final responsibility for educational decisions remains with qualified professionals.</w:t>
      </w:r>
    </w:p>
    <w:p>
      <w:r>
        <w:pict>
          <v:rect style="width:0;height:1.5pt" o:hralign="center" o:hrstd="t" o:hr="t"/>
        </w:pict>
      </w:r>
    </w:p>
    <w:bookmarkEnd w:id="44"/>
    <w:bookmarkStart w:id="45" w:name="success-at-tiptop-virtual-academy"/>
    <w:p>
      <w:pPr>
        <w:pStyle w:val="Heading1"/>
      </w:pPr>
      <w:r>
        <w:t xml:space="preserve">Success at Tiptop Virtual Academy</w:t>
      </w:r>
    </w:p>
    <w:p>
      <w:pPr>
        <w:pStyle w:val="FirstParagraph"/>
      </w:pPr>
      <w:r>
        <w:t xml:space="preserve">Success is measured by more than examination results.</w:t>
      </w:r>
    </w:p>
    <w:p>
      <w:pPr>
        <w:pStyle w:val="BodyText"/>
      </w:pPr>
      <w:r>
        <w:t xml:space="preserve">A successful learner demonstrates:</w:t>
      </w:r>
    </w:p>
    <w:p>
      <w:pPr>
        <w:pStyle w:val="Compact"/>
        <w:numPr>
          <w:ilvl w:val="0"/>
          <w:numId w:val="1005"/>
        </w:numPr>
      </w:pPr>
      <w:r>
        <w:t xml:space="preserve">strong academic understanding,</w:t>
      </w:r>
    </w:p>
    <w:p>
      <w:pPr>
        <w:pStyle w:val="Compact"/>
        <w:numPr>
          <w:ilvl w:val="0"/>
          <w:numId w:val="1005"/>
        </w:numPr>
      </w:pPr>
      <w:r>
        <w:t xml:space="preserve">ethical behaviour,</w:t>
      </w:r>
    </w:p>
    <w:p>
      <w:pPr>
        <w:pStyle w:val="Compact"/>
        <w:numPr>
          <w:ilvl w:val="0"/>
          <w:numId w:val="1005"/>
        </w:numPr>
      </w:pPr>
      <w:r>
        <w:t xml:space="preserve">confidence,</w:t>
      </w:r>
    </w:p>
    <w:p>
      <w:pPr>
        <w:pStyle w:val="Compact"/>
        <w:numPr>
          <w:ilvl w:val="0"/>
          <w:numId w:val="1005"/>
        </w:numPr>
      </w:pPr>
      <w:r>
        <w:t xml:space="preserve">curiosity,</w:t>
      </w:r>
    </w:p>
    <w:p>
      <w:pPr>
        <w:pStyle w:val="Compact"/>
        <w:numPr>
          <w:ilvl w:val="0"/>
          <w:numId w:val="1005"/>
        </w:numPr>
      </w:pPr>
      <w:r>
        <w:t xml:space="preserve">resilience,</w:t>
      </w:r>
    </w:p>
    <w:p>
      <w:pPr>
        <w:pStyle w:val="Compact"/>
        <w:numPr>
          <w:ilvl w:val="0"/>
          <w:numId w:val="1005"/>
        </w:numPr>
      </w:pPr>
      <w:r>
        <w:t xml:space="preserve">effective communication,</w:t>
      </w:r>
    </w:p>
    <w:p>
      <w:pPr>
        <w:pStyle w:val="Compact"/>
        <w:numPr>
          <w:ilvl w:val="0"/>
          <w:numId w:val="1005"/>
        </w:numPr>
      </w:pPr>
      <w:r>
        <w:t xml:space="preserve">digital responsibility,</w:t>
      </w:r>
    </w:p>
    <w:p>
      <w:pPr>
        <w:pStyle w:val="Compact"/>
        <w:numPr>
          <w:ilvl w:val="0"/>
          <w:numId w:val="1005"/>
        </w:numPr>
      </w:pPr>
      <w:r>
        <w:t xml:space="preserve">respect for others,</w:t>
      </w:r>
    </w:p>
    <w:p>
      <w:pPr>
        <w:pStyle w:val="Compact"/>
        <w:numPr>
          <w:ilvl w:val="0"/>
          <w:numId w:val="1005"/>
        </w:numPr>
      </w:pPr>
      <w:r>
        <w:t xml:space="preserve">independent thinking, and</w:t>
      </w:r>
    </w:p>
    <w:p>
      <w:pPr>
        <w:pStyle w:val="Compact"/>
        <w:numPr>
          <w:ilvl w:val="0"/>
          <w:numId w:val="1005"/>
        </w:numPr>
      </w:pPr>
      <w:r>
        <w:t xml:space="preserve">readiness for future opportunities.</w:t>
      </w:r>
    </w:p>
    <w:p>
      <w:pPr>
        <w:pStyle w:val="FirstParagraph"/>
      </w:pPr>
      <w:r>
        <w:t xml:space="preserve">These outcomes reflect the Academy’s commitment to educating the whole person.</w:t>
      </w:r>
    </w:p>
    <w:p>
      <w:r>
        <w:pict>
          <v:rect style="width:0;height:1.5pt" o:hralign="center" o:hrstd="t" o:hr="t"/>
        </w:pict>
      </w:r>
    </w:p>
    <w:bookmarkEnd w:id="45"/>
    <w:bookmarkStart w:id="46" w:name="closing-statement"/>
    <w:p>
      <w:pPr>
        <w:pStyle w:val="Heading1"/>
      </w:pPr>
      <w:r>
        <w:t xml:space="preserve">Closing Statement</w:t>
      </w:r>
    </w:p>
    <w:p>
      <w:pPr>
        <w:pStyle w:val="FirstParagraph"/>
      </w:pPr>
      <w:r>
        <w:t xml:space="preserve">The Tiptop Virtual Academy Educational Model affirms that meaningful education is achieved when learners are challenged academically, supported personally, guided ethically, and inspired to become lifelong learners.</w:t>
      </w:r>
    </w:p>
    <w:p>
      <w:pPr>
        <w:pStyle w:val="BodyText"/>
      </w:pPr>
      <w:r>
        <w:t xml:space="preserve">The Academy is committed to providing an educational experience that equips every learner not only to succeed in examinations, but also to contribute positively to their families, communities, and the wider world.</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2026-07-24T06:17:23Z</dcterms:created>
  <dcterms:modified xsi:type="dcterms:W3CDTF">2026-07-24T06:17:23Z</dcterms:modified>
</cp:coreProperties>
</file>

<file path=docProps/custom.xml><?xml version="1.0" encoding="utf-8"?>
<Properties xmlns="http://schemas.openxmlformats.org/officeDocument/2006/custom-properties" xmlns:vt="http://schemas.openxmlformats.org/officeDocument/2006/docPropsVTypes"/>
</file>