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1435769d42b96c31497db3517f4e4073f8e085"/>
    <w:p>
      <w:pPr>
        <w:pStyle w:val="Heading1"/>
      </w:pPr>
      <w:r>
        <w:t xml:space="preserve">Tiptop Virtual Academy Institutional Operating Model</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The Institutional Operating Model defines how Tiptop Virtual Academy functions as an organization.</w:t>
      </w:r>
    </w:p>
    <w:p>
      <w:pPr>
        <w:pStyle w:val="BodyText"/>
      </w:pPr>
      <w:r>
        <w:t xml:space="preserve">It identifies the major operational domains of the Academy, establishes ownership and responsibilities for each domain, and describes how these domains work together to fulfill the mission of the institution.</w:t>
      </w:r>
    </w:p>
    <w:p>
      <w:pPr>
        <w:pStyle w:val="BodyText"/>
      </w:pPr>
      <w:r>
        <w:t xml:space="preserve">The purpose of this document is to ensure that every activity within the Academy has a clearly defined owner, every responsibility has accountability, and every interaction contributes to an efficient, transparent, and learner-centred institution.</w:t>
      </w:r>
    </w:p>
    <w:p>
      <w:pPr>
        <w:pStyle w:val="BodyText"/>
      </w:pPr>
      <w:r>
        <w:t xml:space="preserve">This document is independent of software systems, organizational charts, and technology platforms. It describes how the Academy operates as an institution rather than how it is implemented technologically.</w:t>
      </w:r>
    </w:p>
    <w:p>
      <w:r>
        <w:pict>
          <v:rect style="width:0;height:1.5pt" o:hralign="center" o:hrstd="t" o:hr="t"/>
        </w:pict>
      </w:r>
    </w:p>
    <w:bookmarkEnd w:id="21"/>
    <w:bookmarkStart w:id="27" w:name="operating-philosophy"/>
    <w:p>
      <w:pPr>
        <w:pStyle w:val="Heading1"/>
      </w:pPr>
      <w:r>
        <w:t xml:space="preserve">Operating Philosophy</w:t>
      </w:r>
    </w:p>
    <w:p>
      <w:pPr>
        <w:pStyle w:val="FirstParagraph"/>
      </w:pPr>
      <w:r>
        <w:t xml:space="preserve">The Academy operates according to five foundational principles.</w:t>
      </w:r>
    </w:p>
    <w:bookmarkStart w:id="22" w:name="clear-ownership"/>
    <w:p>
      <w:pPr>
        <w:pStyle w:val="Heading3"/>
      </w:pPr>
      <w:r>
        <w:t xml:space="preserve">1. Clear Ownership</w:t>
      </w:r>
    </w:p>
    <w:p>
      <w:pPr>
        <w:pStyle w:val="FirstParagraph"/>
      </w:pPr>
      <w:r>
        <w:t xml:space="preserve">Every responsibility belongs to one primary owner.</w:t>
      </w:r>
    </w:p>
    <w:p>
      <w:pPr>
        <w:pStyle w:val="BodyText"/>
      </w:pPr>
      <w:r>
        <w:t xml:space="preserve">Collaboration is encouraged.</w:t>
      </w:r>
    </w:p>
    <w:p>
      <w:pPr>
        <w:pStyle w:val="BodyText"/>
      </w:pPr>
      <w:r>
        <w:t xml:space="preserve">Confusion is not.</w:t>
      </w:r>
    </w:p>
    <w:p>
      <w:r>
        <w:pict>
          <v:rect style="width:0;height:1.5pt" o:hralign="center" o:hrstd="t" o:hr="t"/>
        </w:pict>
      </w:r>
    </w:p>
    <w:bookmarkEnd w:id="22"/>
    <w:bookmarkStart w:id="23" w:name="shared-accountability"/>
    <w:p>
      <w:pPr>
        <w:pStyle w:val="Heading3"/>
      </w:pPr>
      <w:r>
        <w:t xml:space="preserve">2. Shared Accountability</w:t>
      </w:r>
    </w:p>
    <w:p>
      <w:pPr>
        <w:pStyle w:val="FirstParagraph"/>
      </w:pPr>
      <w:r>
        <w:t xml:space="preserve">While ownership is singular, success depends upon collaboration between domains.</w:t>
      </w:r>
    </w:p>
    <w:p>
      <w:pPr>
        <w:pStyle w:val="BodyText"/>
      </w:pPr>
      <w:r>
        <w:t xml:space="preserve">No department operates in isolation.</w:t>
      </w:r>
    </w:p>
    <w:p>
      <w:r>
        <w:pict>
          <v:rect style="width:0;height:1.5pt" o:hralign="center" o:hrstd="t" o:hr="t"/>
        </w:pict>
      </w:r>
    </w:p>
    <w:bookmarkEnd w:id="23"/>
    <w:bookmarkStart w:id="24" w:name="information-flows-across-domains"/>
    <w:p>
      <w:pPr>
        <w:pStyle w:val="Heading3"/>
      </w:pPr>
      <w:r>
        <w:t xml:space="preserve">3. Information Flows Across Domains</w:t>
      </w:r>
    </w:p>
    <w:p>
      <w:pPr>
        <w:pStyle w:val="FirstParagraph"/>
      </w:pPr>
      <w:r>
        <w:t xml:space="preserve">Knowledge should move efficiently throughout the Academy while maintaining appropriate security, privacy, and accountability.</w:t>
      </w:r>
    </w:p>
    <w:p>
      <w:pPr>
        <w:pStyle w:val="BodyText"/>
      </w:pPr>
      <w:r>
        <w:t xml:space="preserve">Information should never be duplicated unnecessarily.</w:t>
      </w:r>
    </w:p>
    <w:p>
      <w:r>
        <w:pict>
          <v:rect style="width:0;height:1.5pt" o:hralign="center" o:hrstd="t" o:hr="t"/>
        </w:pict>
      </w:r>
    </w:p>
    <w:bookmarkEnd w:id="24"/>
    <w:bookmarkStart w:id="25" w:name="student-centred-operations"/>
    <w:p>
      <w:pPr>
        <w:pStyle w:val="Heading3"/>
      </w:pPr>
      <w:r>
        <w:t xml:space="preserve">4. Student-Centred Operations</w:t>
      </w:r>
    </w:p>
    <w:p>
      <w:pPr>
        <w:pStyle w:val="FirstParagraph"/>
      </w:pPr>
      <w:r>
        <w:t xml:space="preserve">Every operational decision should ultimately improve the educational experience of learners.</w:t>
      </w:r>
    </w:p>
    <w:p>
      <w:pPr>
        <w:pStyle w:val="BodyText"/>
      </w:pPr>
      <w:r>
        <w:t xml:space="preserve">Administrative efficiency exists to support education.</w:t>
      </w:r>
    </w:p>
    <w:p>
      <w:r>
        <w:pict>
          <v:rect style="width:0;height:1.5pt" o:hralign="center" o:hrstd="t" o:hr="t"/>
        </w:pict>
      </w:r>
    </w:p>
    <w:bookmarkEnd w:id="25"/>
    <w:bookmarkStart w:id="26" w:name="continuous-improvement"/>
    <w:p>
      <w:pPr>
        <w:pStyle w:val="Heading3"/>
      </w:pPr>
      <w:r>
        <w:t xml:space="preserve">5. Continuous Improvement</w:t>
      </w:r>
    </w:p>
    <w:p>
      <w:pPr>
        <w:pStyle w:val="FirstParagraph"/>
      </w:pPr>
      <w:r>
        <w:t xml:space="preserve">Every domain continually evaluates its performance, identifies opportunities for improvement, and contributes to institutional excellence.</w:t>
      </w:r>
    </w:p>
    <w:p>
      <w:r>
        <w:pict>
          <v:rect style="width:0;height:1.5pt" o:hralign="center" o:hrstd="t" o:hr="t"/>
        </w:pict>
      </w:r>
    </w:p>
    <w:bookmarkEnd w:id="26"/>
    <w:bookmarkEnd w:id="27"/>
    <w:bookmarkStart w:id="52" w:name="the-core-operating-domains"/>
    <w:p>
      <w:pPr>
        <w:pStyle w:val="Heading1"/>
      </w:pPr>
      <w:r>
        <w:t xml:space="preserve">The Core Operating Domains</w:t>
      </w:r>
    </w:p>
    <w:p>
      <w:pPr>
        <w:pStyle w:val="FirstParagraph"/>
      </w:pPr>
      <w:r>
        <w:t xml:space="preserve">The Academy is organized into interconnected operational domains.</w:t>
      </w:r>
    </w:p>
    <w:p>
      <w:pPr>
        <w:pStyle w:val="BodyText"/>
      </w:pPr>
      <w:r>
        <w:t xml:space="preserve">Each domain has a distinct purpose, clear responsibilities, and defined relationships with other domains.</w:t>
      </w:r>
    </w:p>
    <w:p>
      <w:r>
        <w:pict>
          <v:rect style="width:0;height:1.5pt" o:hralign="center" o:hrstd="t" o:hr="t"/>
        </w:pict>
      </w:r>
    </w:p>
    <w:bookmarkStart w:id="30" w:name="executive-leadership"/>
    <w:p>
      <w:pPr>
        <w:pStyle w:val="Heading2"/>
      </w:pPr>
      <w:r>
        <w:t xml:space="preserve">1. Executive Leadership</w:t>
      </w:r>
    </w:p>
    <w:bookmarkStart w:id="28" w:name="purpose"/>
    <w:p>
      <w:pPr>
        <w:pStyle w:val="Heading3"/>
      </w:pPr>
      <w:r>
        <w:t xml:space="preserve">Purpose</w:t>
      </w:r>
    </w:p>
    <w:p>
      <w:pPr>
        <w:pStyle w:val="FirstParagraph"/>
      </w:pPr>
      <w:r>
        <w:t xml:space="preserve">Provides strategic direction, governance, institutional leadership, and long-term sustainability.</w:t>
      </w:r>
    </w:p>
    <w:bookmarkEnd w:id="28"/>
    <w:bookmarkStart w:id="29" w:name="owns"/>
    <w:p>
      <w:pPr>
        <w:pStyle w:val="Heading3"/>
      </w:pPr>
      <w:r>
        <w:t xml:space="preserve">Owns</w:t>
      </w:r>
    </w:p>
    <w:p>
      <w:pPr>
        <w:pStyle w:val="Compact"/>
        <w:numPr>
          <w:ilvl w:val="0"/>
          <w:numId w:val="1001"/>
        </w:numPr>
      </w:pPr>
      <w:r>
        <w:t xml:space="preserve">Vision</w:t>
      </w:r>
    </w:p>
    <w:p>
      <w:pPr>
        <w:pStyle w:val="Compact"/>
        <w:numPr>
          <w:ilvl w:val="0"/>
          <w:numId w:val="1001"/>
        </w:numPr>
      </w:pPr>
      <w:r>
        <w:t xml:space="preserve">Strategy</w:t>
      </w:r>
    </w:p>
    <w:p>
      <w:pPr>
        <w:pStyle w:val="Compact"/>
        <w:numPr>
          <w:ilvl w:val="0"/>
          <w:numId w:val="1001"/>
        </w:numPr>
      </w:pPr>
      <w:r>
        <w:t xml:space="preserve">Governance</w:t>
      </w:r>
    </w:p>
    <w:p>
      <w:pPr>
        <w:pStyle w:val="Compact"/>
        <w:numPr>
          <w:ilvl w:val="0"/>
          <w:numId w:val="1001"/>
        </w:numPr>
      </w:pPr>
      <w:r>
        <w:t xml:space="preserve">Institutional Performance</w:t>
      </w:r>
    </w:p>
    <w:p>
      <w:pPr>
        <w:pStyle w:val="Compact"/>
        <w:numPr>
          <w:ilvl w:val="0"/>
          <w:numId w:val="1001"/>
        </w:numPr>
      </w:pPr>
      <w:r>
        <w:t xml:space="preserve">Risk Management</w:t>
      </w:r>
    </w:p>
    <w:p>
      <w:pPr>
        <w:pStyle w:val="Compact"/>
        <w:numPr>
          <w:ilvl w:val="0"/>
          <w:numId w:val="1001"/>
        </w:numPr>
      </w:pPr>
      <w:r>
        <w:t xml:space="preserve">Partnerships</w:t>
      </w:r>
    </w:p>
    <w:p>
      <w:pPr>
        <w:pStyle w:val="Compact"/>
        <w:numPr>
          <w:ilvl w:val="0"/>
          <w:numId w:val="1001"/>
        </w:numPr>
      </w:pPr>
      <w:r>
        <w:t xml:space="preserve">Policy Approval</w:t>
      </w:r>
    </w:p>
    <w:p>
      <w:r>
        <w:pict>
          <v:rect style="width:0;height:1.5pt" o:hralign="center" o:hrstd="t" o:hr="t"/>
        </w:pict>
      </w:r>
    </w:p>
    <w:bookmarkEnd w:id="29"/>
    <w:bookmarkEnd w:id="30"/>
    <w:bookmarkStart w:id="33" w:name="academic-affairs"/>
    <w:p>
      <w:pPr>
        <w:pStyle w:val="Heading2"/>
      </w:pPr>
      <w:r>
        <w:t xml:space="preserve">2. Academic Affairs</w:t>
      </w:r>
    </w:p>
    <w:bookmarkStart w:id="31" w:name="purpose-1"/>
    <w:p>
      <w:pPr>
        <w:pStyle w:val="Heading3"/>
      </w:pPr>
      <w:r>
        <w:t xml:space="preserve">Purpose</w:t>
      </w:r>
    </w:p>
    <w:p>
      <w:pPr>
        <w:pStyle w:val="FirstParagraph"/>
      </w:pPr>
      <w:r>
        <w:t xml:space="preserve">Designs, delivers, and continually improves teaching and learning.</w:t>
      </w:r>
    </w:p>
    <w:bookmarkEnd w:id="31"/>
    <w:bookmarkStart w:id="32" w:name="owns-1"/>
    <w:p>
      <w:pPr>
        <w:pStyle w:val="Heading3"/>
      </w:pPr>
      <w:r>
        <w:t xml:space="preserve">Owns</w:t>
      </w:r>
    </w:p>
    <w:p>
      <w:pPr>
        <w:pStyle w:val="Compact"/>
        <w:numPr>
          <w:ilvl w:val="0"/>
          <w:numId w:val="1002"/>
        </w:numPr>
      </w:pPr>
      <w:r>
        <w:t xml:space="preserve">Curriculum Implementation</w:t>
      </w:r>
    </w:p>
    <w:p>
      <w:pPr>
        <w:pStyle w:val="Compact"/>
        <w:numPr>
          <w:ilvl w:val="0"/>
          <w:numId w:val="1002"/>
        </w:numPr>
      </w:pPr>
      <w:r>
        <w:t xml:space="preserve">Academic Planning</w:t>
      </w:r>
    </w:p>
    <w:p>
      <w:pPr>
        <w:pStyle w:val="Compact"/>
        <w:numPr>
          <w:ilvl w:val="0"/>
          <w:numId w:val="1002"/>
        </w:numPr>
      </w:pPr>
      <w:r>
        <w:t xml:space="preserve">Teaching Standards</w:t>
      </w:r>
    </w:p>
    <w:p>
      <w:pPr>
        <w:pStyle w:val="Compact"/>
        <w:numPr>
          <w:ilvl w:val="0"/>
          <w:numId w:val="1002"/>
        </w:numPr>
      </w:pPr>
      <w:r>
        <w:t xml:space="preserve">Learning Resources</w:t>
      </w:r>
    </w:p>
    <w:p>
      <w:pPr>
        <w:pStyle w:val="Compact"/>
        <w:numPr>
          <w:ilvl w:val="0"/>
          <w:numId w:val="1002"/>
        </w:numPr>
      </w:pPr>
      <w:r>
        <w:t xml:space="preserve">Lesson Quality</w:t>
      </w:r>
    </w:p>
    <w:p>
      <w:pPr>
        <w:pStyle w:val="Compact"/>
        <w:numPr>
          <w:ilvl w:val="0"/>
          <w:numId w:val="1002"/>
        </w:numPr>
      </w:pPr>
      <w:r>
        <w:t xml:space="preserve">Assessment Frameworks</w:t>
      </w:r>
    </w:p>
    <w:p>
      <w:pPr>
        <w:pStyle w:val="Compact"/>
        <w:numPr>
          <w:ilvl w:val="0"/>
          <w:numId w:val="1002"/>
        </w:numPr>
      </w:pPr>
      <w:r>
        <w:t xml:space="preserve">Student Academic Progress</w:t>
      </w:r>
    </w:p>
    <w:p>
      <w:r>
        <w:pict>
          <v:rect style="width:0;height:1.5pt" o:hralign="center" o:hrstd="t" o:hr="t"/>
        </w:pict>
      </w:r>
    </w:p>
    <w:bookmarkEnd w:id="32"/>
    <w:bookmarkEnd w:id="33"/>
    <w:bookmarkStart w:id="36" w:name="student-services"/>
    <w:p>
      <w:pPr>
        <w:pStyle w:val="Heading2"/>
      </w:pPr>
      <w:r>
        <w:t xml:space="preserve">3. Student Services</w:t>
      </w:r>
    </w:p>
    <w:bookmarkStart w:id="34" w:name="purpose-2"/>
    <w:p>
      <w:pPr>
        <w:pStyle w:val="Heading3"/>
      </w:pPr>
      <w:r>
        <w:t xml:space="preserve">Purpose</w:t>
      </w:r>
    </w:p>
    <w:p>
      <w:pPr>
        <w:pStyle w:val="FirstParagraph"/>
      </w:pPr>
      <w:r>
        <w:t xml:space="preserve">Supports every learner throughout their educational journey.</w:t>
      </w:r>
    </w:p>
    <w:bookmarkEnd w:id="34"/>
    <w:bookmarkStart w:id="35" w:name="owns-2"/>
    <w:p>
      <w:pPr>
        <w:pStyle w:val="Heading3"/>
      </w:pPr>
      <w:r>
        <w:t xml:space="preserve">Owns</w:t>
      </w:r>
    </w:p>
    <w:p>
      <w:pPr>
        <w:pStyle w:val="Compact"/>
        <w:numPr>
          <w:ilvl w:val="0"/>
          <w:numId w:val="1003"/>
        </w:numPr>
      </w:pPr>
      <w:r>
        <w:t xml:space="preserve">Admissions</w:t>
      </w:r>
    </w:p>
    <w:p>
      <w:pPr>
        <w:pStyle w:val="Compact"/>
        <w:numPr>
          <w:ilvl w:val="0"/>
          <w:numId w:val="1003"/>
        </w:numPr>
      </w:pPr>
      <w:r>
        <w:t xml:space="preserve">Enrollment</w:t>
      </w:r>
    </w:p>
    <w:p>
      <w:pPr>
        <w:pStyle w:val="Compact"/>
        <w:numPr>
          <w:ilvl w:val="0"/>
          <w:numId w:val="1003"/>
        </w:numPr>
      </w:pPr>
      <w:r>
        <w:t xml:space="preserve">Student Records</w:t>
      </w:r>
    </w:p>
    <w:p>
      <w:pPr>
        <w:pStyle w:val="Compact"/>
        <w:numPr>
          <w:ilvl w:val="0"/>
          <w:numId w:val="1003"/>
        </w:numPr>
      </w:pPr>
      <w:r>
        <w:t xml:space="preserve">Student Wellbeing</w:t>
      </w:r>
    </w:p>
    <w:p>
      <w:pPr>
        <w:pStyle w:val="Compact"/>
        <w:numPr>
          <w:ilvl w:val="0"/>
          <w:numId w:val="1003"/>
        </w:numPr>
      </w:pPr>
      <w:r>
        <w:t xml:space="preserve">Student Support</w:t>
      </w:r>
    </w:p>
    <w:p>
      <w:pPr>
        <w:pStyle w:val="Compact"/>
        <w:numPr>
          <w:ilvl w:val="0"/>
          <w:numId w:val="1003"/>
        </w:numPr>
      </w:pPr>
      <w:r>
        <w:t xml:space="preserve">Student Communication</w:t>
      </w:r>
    </w:p>
    <w:p>
      <w:pPr>
        <w:pStyle w:val="Compact"/>
        <w:numPr>
          <w:ilvl w:val="0"/>
          <w:numId w:val="1003"/>
        </w:numPr>
      </w:pPr>
      <w:r>
        <w:t xml:space="preserve">Student Success</w:t>
      </w:r>
    </w:p>
    <w:p>
      <w:r>
        <w:pict>
          <v:rect style="width:0;height:1.5pt" o:hralign="center" o:hrstd="t" o:hr="t"/>
        </w:pict>
      </w:r>
    </w:p>
    <w:bookmarkEnd w:id="35"/>
    <w:bookmarkEnd w:id="36"/>
    <w:bookmarkStart w:id="39" w:name="parent-and-community-engagement"/>
    <w:p>
      <w:pPr>
        <w:pStyle w:val="Heading2"/>
      </w:pPr>
      <w:r>
        <w:t xml:space="preserve">4. Parent and Community Engagement</w:t>
      </w:r>
    </w:p>
    <w:bookmarkStart w:id="37" w:name="purpose-3"/>
    <w:p>
      <w:pPr>
        <w:pStyle w:val="Heading3"/>
      </w:pPr>
      <w:r>
        <w:t xml:space="preserve">Purpose</w:t>
      </w:r>
    </w:p>
    <w:p>
      <w:pPr>
        <w:pStyle w:val="FirstParagraph"/>
      </w:pPr>
      <w:r>
        <w:t xml:space="preserve">Builds trusted relationships between the Academy, families, and the wider community.</w:t>
      </w:r>
    </w:p>
    <w:bookmarkEnd w:id="37"/>
    <w:bookmarkStart w:id="38" w:name="owns-3"/>
    <w:p>
      <w:pPr>
        <w:pStyle w:val="Heading3"/>
      </w:pPr>
      <w:r>
        <w:t xml:space="preserve">Owns</w:t>
      </w:r>
    </w:p>
    <w:p>
      <w:pPr>
        <w:pStyle w:val="Compact"/>
        <w:numPr>
          <w:ilvl w:val="0"/>
          <w:numId w:val="1004"/>
        </w:numPr>
      </w:pPr>
      <w:r>
        <w:t xml:space="preserve">Parent Communication</w:t>
      </w:r>
    </w:p>
    <w:p>
      <w:pPr>
        <w:pStyle w:val="Compact"/>
        <w:numPr>
          <w:ilvl w:val="0"/>
          <w:numId w:val="1004"/>
        </w:numPr>
      </w:pPr>
      <w:r>
        <w:t xml:space="preserve">Parent Experience</w:t>
      </w:r>
    </w:p>
    <w:p>
      <w:pPr>
        <w:pStyle w:val="Compact"/>
        <w:numPr>
          <w:ilvl w:val="0"/>
          <w:numId w:val="1004"/>
        </w:numPr>
      </w:pPr>
      <w:r>
        <w:t xml:space="preserve">Feedback</w:t>
      </w:r>
    </w:p>
    <w:p>
      <w:pPr>
        <w:pStyle w:val="Compact"/>
        <w:numPr>
          <w:ilvl w:val="0"/>
          <w:numId w:val="1004"/>
        </w:numPr>
      </w:pPr>
      <w:r>
        <w:t xml:space="preserve">Community Engagement</w:t>
      </w:r>
    </w:p>
    <w:p>
      <w:pPr>
        <w:pStyle w:val="Compact"/>
        <w:numPr>
          <w:ilvl w:val="0"/>
          <w:numId w:val="1004"/>
        </w:numPr>
      </w:pPr>
      <w:r>
        <w:t xml:space="preserve">Events</w:t>
      </w:r>
    </w:p>
    <w:p>
      <w:pPr>
        <w:pStyle w:val="Compact"/>
        <w:numPr>
          <w:ilvl w:val="0"/>
          <w:numId w:val="1004"/>
        </w:numPr>
      </w:pPr>
      <w:r>
        <w:t xml:space="preserve">Customer Care</w:t>
      </w:r>
    </w:p>
    <w:p>
      <w:r>
        <w:pict>
          <v:rect style="width:0;height:1.5pt" o:hralign="center" o:hrstd="t" o:hr="t"/>
        </w:pict>
      </w:r>
    </w:p>
    <w:bookmarkEnd w:id="38"/>
    <w:bookmarkEnd w:id="39"/>
    <w:bookmarkStart w:id="42" w:name="human-resources"/>
    <w:p>
      <w:pPr>
        <w:pStyle w:val="Heading2"/>
      </w:pPr>
      <w:r>
        <w:t xml:space="preserve">5. Human Resources</w:t>
      </w:r>
    </w:p>
    <w:bookmarkStart w:id="40" w:name="purpose-4"/>
    <w:p>
      <w:pPr>
        <w:pStyle w:val="Heading3"/>
      </w:pPr>
      <w:r>
        <w:t xml:space="preserve">Purpose</w:t>
      </w:r>
    </w:p>
    <w:p>
      <w:pPr>
        <w:pStyle w:val="FirstParagraph"/>
      </w:pPr>
      <w:r>
        <w:t xml:space="preserve">Develops, supports, and manages all employees of the Academy.</w:t>
      </w:r>
    </w:p>
    <w:bookmarkEnd w:id="40"/>
    <w:bookmarkStart w:id="41" w:name="owns-4"/>
    <w:p>
      <w:pPr>
        <w:pStyle w:val="Heading3"/>
      </w:pPr>
      <w:r>
        <w:t xml:space="preserve">Owns</w:t>
      </w:r>
    </w:p>
    <w:p>
      <w:pPr>
        <w:pStyle w:val="Compact"/>
        <w:numPr>
          <w:ilvl w:val="0"/>
          <w:numId w:val="1005"/>
        </w:numPr>
      </w:pPr>
      <w:r>
        <w:t xml:space="preserve">Recruitment</w:t>
      </w:r>
    </w:p>
    <w:p>
      <w:pPr>
        <w:pStyle w:val="Compact"/>
        <w:numPr>
          <w:ilvl w:val="0"/>
          <w:numId w:val="1005"/>
        </w:numPr>
      </w:pPr>
      <w:r>
        <w:t xml:space="preserve">Onboarding</w:t>
      </w:r>
    </w:p>
    <w:p>
      <w:pPr>
        <w:pStyle w:val="Compact"/>
        <w:numPr>
          <w:ilvl w:val="0"/>
          <w:numId w:val="1005"/>
        </w:numPr>
      </w:pPr>
      <w:r>
        <w:t xml:space="preserve">Professional Development</w:t>
      </w:r>
    </w:p>
    <w:p>
      <w:pPr>
        <w:pStyle w:val="Compact"/>
        <w:numPr>
          <w:ilvl w:val="0"/>
          <w:numId w:val="1005"/>
        </w:numPr>
      </w:pPr>
      <w:r>
        <w:t xml:space="preserve">Performance Management</w:t>
      </w:r>
    </w:p>
    <w:p>
      <w:pPr>
        <w:pStyle w:val="Compact"/>
        <w:numPr>
          <w:ilvl w:val="0"/>
          <w:numId w:val="1005"/>
        </w:numPr>
      </w:pPr>
      <w:r>
        <w:t xml:space="preserve">Staff Records</w:t>
      </w:r>
    </w:p>
    <w:p>
      <w:pPr>
        <w:pStyle w:val="Compact"/>
        <w:numPr>
          <w:ilvl w:val="0"/>
          <w:numId w:val="1005"/>
        </w:numPr>
      </w:pPr>
      <w:r>
        <w:t xml:space="preserve">Organizational Culture</w:t>
      </w:r>
    </w:p>
    <w:p>
      <w:r>
        <w:pict>
          <v:rect style="width:0;height:1.5pt" o:hralign="center" o:hrstd="t" o:hr="t"/>
        </w:pict>
      </w:r>
    </w:p>
    <w:bookmarkEnd w:id="41"/>
    <w:bookmarkEnd w:id="42"/>
    <w:bookmarkStart w:id="45" w:name="finance-and-administration"/>
    <w:p>
      <w:pPr>
        <w:pStyle w:val="Heading2"/>
      </w:pPr>
      <w:r>
        <w:t xml:space="preserve">6. Finance and Administration</w:t>
      </w:r>
    </w:p>
    <w:bookmarkStart w:id="43" w:name="purpose-5"/>
    <w:p>
      <w:pPr>
        <w:pStyle w:val="Heading3"/>
      </w:pPr>
      <w:r>
        <w:t xml:space="preserve">Purpose</w:t>
      </w:r>
    </w:p>
    <w:p>
      <w:pPr>
        <w:pStyle w:val="FirstParagraph"/>
      </w:pPr>
      <w:r>
        <w:t xml:space="preserve">Ensures financial sustainability and responsible stewardship of institutional resources.</w:t>
      </w:r>
    </w:p>
    <w:bookmarkEnd w:id="43"/>
    <w:bookmarkStart w:id="44" w:name="owns-5"/>
    <w:p>
      <w:pPr>
        <w:pStyle w:val="Heading3"/>
      </w:pPr>
      <w:r>
        <w:t xml:space="preserve">Owns</w:t>
      </w:r>
    </w:p>
    <w:p>
      <w:pPr>
        <w:pStyle w:val="Compact"/>
        <w:numPr>
          <w:ilvl w:val="0"/>
          <w:numId w:val="1006"/>
        </w:numPr>
      </w:pPr>
      <w:r>
        <w:t xml:space="preserve">Budgeting</w:t>
      </w:r>
    </w:p>
    <w:p>
      <w:pPr>
        <w:pStyle w:val="Compact"/>
        <w:numPr>
          <w:ilvl w:val="0"/>
          <w:numId w:val="1006"/>
        </w:numPr>
      </w:pPr>
      <w:r>
        <w:t xml:space="preserve">Tuition Management</w:t>
      </w:r>
    </w:p>
    <w:p>
      <w:pPr>
        <w:pStyle w:val="Compact"/>
        <w:numPr>
          <w:ilvl w:val="0"/>
          <w:numId w:val="1006"/>
        </w:numPr>
      </w:pPr>
      <w:r>
        <w:t xml:space="preserve">Payroll</w:t>
      </w:r>
    </w:p>
    <w:p>
      <w:pPr>
        <w:pStyle w:val="Compact"/>
        <w:numPr>
          <w:ilvl w:val="0"/>
          <w:numId w:val="1006"/>
        </w:numPr>
      </w:pPr>
      <w:r>
        <w:t xml:space="preserve">Procurement</w:t>
      </w:r>
    </w:p>
    <w:p>
      <w:pPr>
        <w:pStyle w:val="Compact"/>
        <w:numPr>
          <w:ilvl w:val="0"/>
          <w:numId w:val="1006"/>
        </w:numPr>
      </w:pPr>
      <w:r>
        <w:t xml:space="preserve">Financial Reporting</w:t>
      </w:r>
    </w:p>
    <w:p>
      <w:pPr>
        <w:pStyle w:val="Compact"/>
        <w:numPr>
          <w:ilvl w:val="0"/>
          <w:numId w:val="1006"/>
        </w:numPr>
      </w:pPr>
      <w:r>
        <w:t xml:space="preserve">Compliance</w:t>
      </w:r>
    </w:p>
    <w:p>
      <w:pPr>
        <w:pStyle w:val="Compact"/>
        <w:numPr>
          <w:ilvl w:val="0"/>
          <w:numId w:val="1006"/>
        </w:numPr>
      </w:pPr>
      <w:r>
        <w:t xml:space="preserve">Asset Management</w:t>
      </w:r>
    </w:p>
    <w:p>
      <w:r>
        <w:pict>
          <v:rect style="width:0;height:1.5pt" o:hralign="center" o:hrstd="t" o:hr="t"/>
        </w:pict>
      </w:r>
    </w:p>
    <w:bookmarkEnd w:id="44"/>
    <w:bookmarkEnd w:id="45"/>
    <w:bookmarkStart w:id="48" w:name="digital-learning-and-technology"/>
    <w:p>
      <w:pPr>
        <w:pStyle w:val="Heading2"/>
      </w:pPr>
      <w:r>
        <w:t xml:space="preserve">7. Digital Learning and Technology</w:t>
      </w:r>
    </w:p>
    <w:bookmarkStart w:id="46" w:name="purpose-6"/>
    <w:p>
      <w:pPr>
        <w:pStyle w:val="Heading3"/>
      </w:pPr>
      <w:r>
        <w:t xml:space="preserve">Purpose</w:t>
      </w:r>
    </w:p>
    <w:p>
      <w:pPr>
        <w:pStyle w:val="FirstParagraph"/>
      </w:pPr>
      <w:r>
        <w:t xml:space="preserve">Provides the digital infrastructure that enables learning and institutional operations.</w:t>
      </w:r>
    </w:p>
    <w:bookmarkEnd w:id="46"/>
    <w:bookmarkStart w:id="47" w:name="owns-6"/>
    <w:p>
      <w:pPr>
        <w:pStyle w:val="Heading3"/>
      </w:pPr>
      <w:r>
        <w:t xml:space="preserve">Owns</w:t>
      </w:r>
    </w:p>
    <w:p>
      <w:pPr>
        <w:pStyle w:val="Compact"/>
        <w:numPr>
          <w:ilvl w:val="0"/>
          <w:numId w:val="1007"/>
        </w:numPr>
      </w:pPr>
      <w:r>
        <w:t xml:space="preserve">Learning Platforms</w:t>
      </w:r>
    </w:p>
    <w:p>
      <w:pPr>
        <w:pStyle w:val="Compact"/>
        <w:numPr>
          <w:ilvl w:val="0"/>
          <w:numId w:val="1007"/>
        </w:numPr>
      </w:pPr>
      <w:r>
        <w:t xml:space="preserve">Digital Identity</w:t>
      </w:r>
    </w:p>
    <w:p>
      <w:pPr>
        <w:pStyle w:val="Compact"/>
        <w:numPr>
          <w:ilvl w:val="0"/>
          <w:numId w:val="1007"/>
        </w:numPr>
      </w:pPr>
      <w:r>
        <w:t xml:space="preserve">Infrastructure</w:t>
      </w:r>
    </w:p>
    <w:p>
      <w:pPr>
        <w:pStyle w:val="Compact"/>
        <w:numPr>
          <w:ilvl w:val="0"/>
          <w:numId w:val="1007"/>
        </w:numPr>
      </w:pPr>
      <w:r>
        <w:t xml:space="preserve">Cybersecurity</w:t>
      </w:r>
    </w:p>
    <w:p>
      <w:pPr>
        <w:pStyle w:val="Compact"/>
        <w:numPr>
          <w:ilvl w:val="0"/>
          <w:numId w:val="1007"/>
        </w:numPr>
      </w:pPr>
      <w:r>
        <w:t xml:space="preserve">Technology Support</w:t>
      </w:r>
    </w:p>
    <w:p>
      <w:pPr>
        <w:pStyle w:val="Compact"/>
        <w:numPr>
          <w:ilvl w:val="0"/>
          <w:numId w:val="1007"/>
        </w:numPr>
      </w:pPr>
      <w:r>
        <w:t xml:space="preserve">Systems Integration</w:t>
      </w:r>
    </w:p>
    <w:p>
      <w:pPr>
        <w:pStyle w:val="Compact"/>
        <w:numPr>
          <w:ilvl w:val="0"/>
          <w:numId w:val="1007"/>
        </w:numPr>
      </w:pPr>
      <w:r>
        <w:t xml:space="preserve">AI Services</w:t>
      </w:r>
    </w:p>
    <w:p>
      <w:pPr>
        <w:pStyle w:val="FirstParagraph"/>
      </w:pPr>
      <w:r>
        <w:t xml:space="preserve">Technology supports every domain but does not govern them.</w:t>
      </w:r>
    </w:p>
    <w:p>
      <w:r>
        <w:pict>
          <v:rect style="width:0;height:1.5pt" o:hralign="center" o:hrstd="t" o:hr="t"/>
        </w:pict>
      </w:r>
    </w:p>
    <w:bookmarkEnd w:id="47"/>
    <w:bookmarkEnd w:id="48"/>
    <w:bookmarkStart w:id="51" w:name="X231b12b0c574a197a3ab29139e3ff5baa2c57ba"/>
    <w:p>
      <w:pPr>
        <w:pStyle w:val="Heading2"/>
      </w:pPr>
      <w:r>
        <w:t xml:space="preserve">8. Quality Assurance and Continuous Improvement</w:t>
      </w:r>
    </w:p>
    <w:bookmarkStart w:id="49" w:name="purpose-7"/>
    <w:p>
      <w:pPr>
        <w:pStyle w:val="Heading3"/>
      </w:pPr>
      <w:r>
        <w:t xml:space="preserve">Purpose</w:t>
      </w:r>
    </w:p>
    <w:p>
      <w:pPr>
        <w:pStyle w:val="FirstParagraph"/>
      </w:pPr>
      <w:r>
        <w:t xml:space="preserve">Protects educational standards and drives institutional excellence.</w:t>
      </w:r>
    </w:p>
    <w:bookmarkEnd w:id="49"/>
    <w:bookmarkStart w:id="50" w:name="owns-7"/>
    <w:p>
      <w:pPr>
        <w:pStyle w:val="Heading3"/>
      </w:pPr>
      <w:r>
        <w:t xml:space="preserve">Owns</w:t>
      </w:r>
    </w:p>
    <w:p>
      <w:pPr>
        <w:pStyle w:val="Compact"/>
        <w:numPr>
          <w:ilvl w:val="0"/>
          <w:numId w:val="1008"/>
        </w:numPr>
      </w:pPr>
      <w:r>
        <w:t xml:space="preserve">Quality Reviews</w:t>
      </w:r>
    </w:p>
    <w:p>
      <w:pPr>
        <w:pStyle w:val="Compact"/>
        <w:numPr>
          <w:ilvl w:val="0"/>
          <w:numId w:val="1008"/>
        </w:numPr>
      </w:pPr>
      <w:r>
        <w:t xml:space="preserve">Internal Audits</w:t>
      </w:r>
    </w:p>
    <w:p>
      <w:pPr>
        <w:pStyle w:val="Compact"/>
        <w:numPr>
          <w:ilvl w:val="0"/>
          <w:numId w:val="1008"/>
        </w:numPr>
      </w:pPr>
      <w:r>
        <w:t xml:space="preserve">Policy Compliance</w:t>
      </w:r>
    </w:p>
    <w:p>
      <w:pPr>
        <w:pStyle w:val="Compact"/>
        <w:numPr>
          <w:ilvl w:val="0"/>
          <w:numId w:val="1008"/>
        </w:numPr>
      </w:pPr>
      <w:r>
        <w:t xml:space="preserve">Performance Measurement</w:t>
      </w:r>
    </w:p>
    <w:p>
      <w:pPr>
        <w:pStyle w:val="Compact"/>
        <w:numPr>
          <w:ilvl w:val="0"/>
          <w:numId w:val="1008"/>
        </w:numPr>
      </w:pPr>
      <w:r>
        <w:t xml:space="preserve">Improvement Initiatives</w:t>
      </w:r>
    </w:p>
    <w:p>
      <w:pPr>
        <w:pStyle w:val="Compact"/>
        <w:numPr>
          <w:ilvl w:val="0"/>
          <w:numId w:val="1008"/>
        </w:numPr>
      </w:pPr>
      <w:r>
        <w:t xml:space="preserve">Accreditation Support</w:t>
      </w:r>
    </w:p>
    <w:p>
      <w:r>
        <w:pict>
          <v:rect style="width:0;height:1.5pt" o:hralign="center" o:hrstd="t" o:hr="t"/>
        </w:pict>
      </w:r>
    </w:p>
    <w:bookmarkEnd w:id="50"/>
    <w:bookmarkEnd w:id="51"/>
    <w:bookmarkEnd w:id="52"/>
    <w:bookmarkStart w:id="53" w:name="domain-relationships"/>
    <w:p>
      <w:pPr>
        <w:pStyle w:val="Heading1"/>
      </w:pPr>
      <w:r>
        <w:t xml:space="preserve">Domain Relationships</w:t>
      </w:r>
    </w:p>
    <w:p>
      <w:pPr>
        <w:pStyle w:val="FirstParagraph"/>
      </w:pPr>
      <w:r>
        <w:t xml:space="preserve">The Academy functions as one integrated institution.</w:t>
      </w:r>
    </w:p>
    <w:p>
      <w:pPr>
        <w:pStyle w:val="BodyText"/>
      </w:pPr>
      <w:r>
        <w:t xml:space="preserve">Executive Leadership provides direction.</w:t>
      </w:r>
    </w:p>
    <w:p>
      <w:pPr>
        <w:pStyle w:val="BodyText"/>
      </w:pPr>
      <w:r>
        <w:t xml:space="preserve">Academic Affairs delivers education.</w:t>
      </w:r>
    </w:p>
    <w:p>
      <w:pPr>
        <w:pStyle w:val="BodyText"/>
      </w:pPr>
      <w:r>
        <w:t xml:space="preserve">Student Services manages learner journeys.</w:t>
      </w:r>
    </w:p>
    <w:p>
      <w:pPr>
        <w:pStyle w:val="BodyText"/>
      </w:pPr>
      <w:r>
        <w:t xml:space="preserve">Parent and Community Engagement strengthens relationships.</w:t>
      </w:r>
    </w:p>
    <w:p>
      <w:pPr>
        <w:pStyle w:val="BodyText"/>
      </w:pPr>
      <w:r>
        <w:t xml:space="preserve">Human Resources develops people.</w:t>
      </w:r>
    </w:p>
    <w:p>
      <w:pPr>
        <w:pStyle w:val="BodyText"/>
      </w:pPr>
      <w:r>
        <w:t xml:space="preserve">Finance and Administration sustains operations.</w:t>
      </w:r>
    </w:p>
    <w:p>
      <w:pPr>
        <w:pStyle w:val="BodyText"/>
      </w:pPr>
      <w:r>
        <w:t xml:space="preserve">Digital Learning and Technology enables every domain.</w:t>
      </w:r>
    </w:p>
    <w:p>
      <w:pPr>
        <w:pStyle w:val="BodyText"/>
      </w:pPr>
      <w:r>
        <w:t xml:space="preserve">Quality Assurance ensures excellence across them all.</w:t>
      </w:r>
    </w:p>
    <w:p>
      <w:pPr>
        <w:pStyle w:val="BodyText"/>
      </w:pPr>
      <w:r>
        <w:t xml:space="preserve">No domain exists independently.</w:t>
      </w:r>
    </w:p>
    <w:p>
      <w:pPr>
        <w:pStyle w:val="BodyText"/>
      </w:pPr>
      <w:r>
        <w:t xml:space="preserve">Every domain contributes to the Academy’s mission.</w:t>
      </w:r>
    </w:p>
    <w:p>
      <w:r>
        <w:pict>
          <v:rect style="width:0;height:1.5pt" o:hralign="center" o:hrstd="t" o:hr="t"/>
        </w:pict>
      </w:r>
    </w:p>
    <w:bookmarkEnd w:id="53"/>
    <w:bookmarkStart w:id="54" w:name="decision-making-principles"/>
    <w:p>
      <w:pPr>
        <w:pStyle w:val="Heading1"/>
      </w:pPr>
      <w:r>
        <w:t xml:space="preserve">Decision-Making Principles</w:t>
      </w:r>
    </w:p>
    <w:p>
      <w:pPr>
        <w:pStyle w:val="FirstParagraph"/>
      </w:pPr>
      <w:r>
        <w:t xml:space="preserve">Operational decisions should be made:</w:t>
      </w:r>
    </w:p>
    <w:p>
      <w:pPr>
        <w:pStyle w:val="Compact"/>
        <w:numPr>
          <w:ilvl w:val="0"/>
          <w:numId w:val="1009"/>
        </w:numPr>
      </w:pPr>
      <w:r>
        <w:t xml:space="preserve">at the lowest appropriate level,</w:t>
      </w:r>
    </w:p>
    <w:p>
      <w:pPr>
        <w:pStyle w:val="Compact"/>
        <w:numPr>
          <w:ilvl w:val="0"/>
          <w:numId w:val="1009"/>
        </w:numPr>
      </w:pPr>
      <w:r>
        <w:t xml:space="preserve">by those closest to the work,</w:t>
      </w:r>
    </w:p>
    <w:p>
      <w:pPr>
        <w:pStyle w:val="Compact"/>
        <w:numPr>
          <w:ilvl w:val="0"/>
          <w:numId w:val="1009"/>
        </w:numPr>
      </w:pPr>
      <w:r>
        <w:t xml:space="preserve">using reliable information,</w:t>
      </w:r>
    </w:p>
    <w:p>
      <w:pPr>
        <w:pStyle w:val="Compact"/>
        <w:numPr>
          <w:ilvl w:val="0"/>
          <w:numId w:val="1009"/>
        </w:numPr>
      </w:pPr>
      <w:r>
        <w:t xml:space="preserve">within established institutional policies,</w:t>
      </w:r>
    </w:p>
    <w:p>
      <w:pPr>
        <w:pStyle w:val="Compact"/>
        <w:numPr>
          <w:ilvl w:val="0"/>
          <w:numId w:val="1009"/>
        </w:numPr>
      </w:pPr>
      <w:r>
        <w:t xml:space="preserve">with accountability for outcomes.</w:t>
      </w:r>
    </w:p>
    <w:p>
      <w:pPr>
        <w:pStyle w:val="FirstParagraph"/>
      </w:pPr>
      <w:r>
        <w:t xml:space="preserve">Strategic decisions remain the responsibility of Executive Leadership.</w:t>
      </w:r>
    </w:p>
    <w:p>
      <w:r>
        <w:pict>
          <v:rect style="width:0;height:1.5pt" o:hralign="center" o:hrstd="t" o:hr="t"/>
        </w:pict>
      </w:r>
    </w:p>
    <w:bookmarkEnd w:id="54"/>
    <w:bookmarkStart w:id="55" w:name="information-ownership"/>
    <w:p>
      <w:pPr>
        <w:pStyle w:val="Heading1"/>
      </w:pPr>
      <w:r>
        <w:t xml:space="preserve">Information Ownership</w:t>
      </w:r>
    </w:p>
    <w:p>
      <w:pPr>
        <w:pStyle w:val="FirstParagraph"/>
      </w:pPr>
      <w:r>
        <w:t xml:space="preserve">Every piece of institutional information has one authoritative owner.</w:t>
      </w:r>
    </w:p>
    <w:p>
      <w:pPr>
        <w:pStyle w:val="BodyText"/>
      </w:pPr>
      <w:r>
        <w:t xml:space="preserve">Examples include:</w:t>
      </w:r>
    </w:p>
    <w:p>
      <w:pPr>
        <w:pStyle w:val="Compact"/>
        <w:numPr>
          <w:ilvl w:val="0"/>
          <w:numId w:val="1010"/>
        </w:numPr>
      </w:pPr>
      <w:r>
        <w:t xml:space="preserve">Student records belong to Student Services.</w:t>
      </w:r>
    </w:p>
    <w:p>
      <w:pPr>
        <w:pStyle w:val="Compact"/>
        <w:numPr>
          <w:ilvl w:val="0"/>
          <w:numId w:val="1010"/>
        </w:numPr>
      </w:pPr>
      <w:r>
        <w:t xml:space="preserve">Academic records belong to Academic Affairs.</w:t>
      </w:r>
    </w:p>
    <w:p>
      <w:pPr>
        <w:pStyle w:val="Compact"/>
        <w:numPr>
          <w:ilvl w:val="0"/>
          <w:numId w:val="1010"/>
        </w:numPr>
      </w:pPr>
      <w:r>
        <w:t xml:space="preserve">Employee records belong to Human Resources.</w:t>
      </w:r>
    </w:p>
    <w:p>
      <w:pPr>
        <w:pStyle w:val="Compact"/>
        <w:numPr>
          <w:ilvl w:val="0"/>
          <w:numId w:val="1010"/>
        </w:numPr>
      </w:pPr>
      <w:r>
        <w:t xml:space="preserve">Financial records belong to Finance and Administration.</w:t>
      </w:r>
    </w:p>
    <w:p>
      <w:pPr>
        <w:pStyle w:val="Compact"/>
        <w:numPr>
          <w:ilvl w:val="0"/>
          <w:numId w:val="1010"/>
        </w:numPr>
      </w:pPr>
      <w:r>
        <w:t xml:space="preserve">Institutional policies belong to Executive Leadership.</w:t>
      </w:r>
    </w:p>
    <w:p>
      <w:pPr>
        <w:pStyle w:val="Compact"/>
        <w:numPr>
          <w:ilvl w:val="0"/>
          <w:numId w:val="1010"/>
        </w:numPr>
      </w:pPr>
      <w:r>
        <w:t xml:space="preserve">Technology assets belong to Digital Learning and Technology.</w:t>
      </w:r>
    </w:p>
    <w:p>
      <w:pPr>
        <w:pStyle w:val="FirstParagraph"/>
      </w:pPr>
      <w:r>
        <w:t xml:space="preserve">Other domains may use information, but ownership remains clear.</w:t>
      </w:r>
    </w:p>
    <w:p>
      <w:r>
        <w:pict>
          <v:rect style="width:0;height:1.5pt" o:hralign="center" o:hrstd="t" o:hr="t"/>
        </w:pict>
      </w:r>
    </w:p>
    <w:bookmarkEnd w:id="55"/>
    <w:bookmarkStart w:id="56" w:name="measures-of-operational-excellence"/>
    <w:p>
      <w:pPr>
        <w:pStyle w:val="Heading1"/>
      </w:pPr>
      <w:r>
        <w:t xml:space="preserve">Measures of Operational Excellence</w:t>
      </w:r>
    </w:p>
    <w:p>
      <w:pPr>
        <w:pStyle w:val="FirstParagraph"/>
      </w:pPr>
      <w:r>
        <w:t xml:space="preserve">The Academy measures operational excellence through:</w:t>
      </w:r>
    </w:p>
    <w:p>
      <w:pPr>
        <w:pStyle w:val="Compact"/>
        <w:numPr>
          <w:ilvl w:val="0"/>
          <w:numId w:val="1011"/>
        </w:numPr>
      </w:pPr>
      <w:r>
        <w:t xml:space="preserve">Educational outcomes.</w:t>
      </w:r>
    </w:p>
    <w:p>
      <w:pPr>
        <w:pStyle w:val="Compact"/>
        <w:numPr>
          <w:ilvl w:val="0"/>
          <w:numId w:val="1011"/>
        </w:numPr>
      </w:pPr>
      <w:r>
        <w:t xml:space="preserve">Student satisfaction.</w:t>
      </w:r>
    </w:p>
    <w:p>
      <w:pPr>
        <w:pStyle w:val="Compact"/>
        <w:numPr>
          <w:ilvl w:val="0"/>
          <w:numId w:val="1011"/>
        </w:numPr>
      </w:pPr>
      <w:r>
        <w:t xml:space="preserve">Parent confidence.</w:t>
      </w:r>
    </w:p>
    <w:p>
      <w:pPr>
        <w:pStyle w:val="Compact"/>
        <w:numPr>
          <w:ilvl w:val="0"/>
          <w:numId w:val="1011"/>
        </w:numPr>
      </w:pPr>
      <w:r>
        <w:t xml:space="preserve">Teacher effectiveness.</w:t>
      </w:r>
    </w:p>
    <w:p>
      <w:pPr>
        <w:pStyle w:val="Compact"/>
        <w:numPr>
          <w:ilvl w:val="0"/>
          <w:numId w:val="1011"/>
        </w:numPr>
      </w:pPr>
      <w:r>
        <w:t xml:space="preserve">Staff engagement.</w:t>
      </w:r>
    </w:p>
    <w:p>
      <w:pPr>
        <w:pStyle w:val="Compact"/>
        <w:numPr>
          <w:ilvl w:val="0"/>
          <w:numId w:val="1011"/>
        </w:numPr>
      </w:pPr>
      <w:r>
        <w:t xml:space="preserve">Financial sustainability.</w:t>
      </w:r>
    </w:p>
    <w:p>
      <w:pPr>
        <w:pStyle w:val="Compact"/>
        <w:numPr>
          <w:ilvl w:val="0"/>
          <w:numId w:val="1011"/>
        </w:numPr>
      </w:pPr>
      <w:r>
        <w:t xml:space="preserve">Operational efficiency.</w:t>
      </w:r>
    </w:p>
    <w:p>
      <w:pPr>
        <w:pStyle w:val="Compact"/>
        <w:numPr>
          <w:ilvl w:val="0"/>
          <w:numId w:val="1011"/>
        </w:numPr>
      </w:pPr>
      <w:r>
        <w:t xml:space="preserve">Regulatory compliance.</w:t>
      </w:r>
    </w:p>
    <w:p>
      <w:pPr>
        <w:pStyle w:val="Compact"/>
        <w:numPr>
          <w:ilvl w:val="0"/>
          <w:numId w:val="1011"/>
        </w:numPr>
      </w:pPr>
      <w:r>
        <w:t xml:space="preserve">Innovation.</w:t>
      </w:r>
    </w:p>
    <w:p>
      <w:pPr>
        <w:pStyle w:val="Compact"/>
        <w:numPr>
          <w:ilvl w:val="0"/>
          <w:numId w:val="1011"/>
        </w:numPr>
      </w:pPr>
      <w:r>
        <w:t xml:space="preserve">Continuous improvement.</w:t>
      </w:r>
    </w:p>
    <w:p>
      <w:pPr>
        <w:pStyle w:val="FirstParagraph"/>
      </w:pPr>
      <w:r>
        <w:t xml:space="preserve">These measures provide a balanced view of institutional performance.</w:t>
      </w:r>
    </w:p>
    <w:p>
      <w:r>
        <w:pict>
          <v:rect style="width:0;height:1.5pt" o:hralign="center" o:hrstd="t" o:hr="t"/>
        </w:pict>
      </w:r>
    </w:p>
    <w:bookmarkEnd w:id="56"/>
    <w:bookmarkStart w:id="57" w:name="closing-statement"/>
    <w:p>
      <w:pPr>
        <w:pStyle w:val="Heading1"/>
      </w:pPr>
      <w:r>
        <w:t xml:space="preserve">Closing Statement</w:t>
      </w:r>
    </w:p>
    <w:p>
      <w:pPr>
        <w:pStyle w:val="FirstParagraph"/>
      </w:pPr>
      <w:r>
        <w:t xml:space="preserve">The Institutional Operating Model establishes the framework through which Tiptop Virtual Academy fulfills its mission.</w:t>
      </w:r>
    </w:p>
    <w:p>
      <w:pPr>
        <w:pStyle w:val="BodyText"/>
      </w:pPr>
      <w:r>
        <w:t xml:space="preserve">It ensures that every responsibility has an owner, every process has purpose, every decision supports learning, and every part of the Academy works together as one coherent institution dedicated to educational excellence.</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2026-07-24T06:22:08Z</dcterms:created>
  <dcterms:modified xsi:type="dcterms:W3CDTF">2026-07-24T06:22:08Z</dcterms:modified>
</cp:coreProperties>
</file>

<file path=docProps/custom.xml><?xml version="1.0" encoding="utf-8"?>
<Properties xmlns="http://schemas.openxmlformats.org/officeDocument/2006/custom-properties" xmlns:vt="http://schemas.openxmlformats.org/officeDocument/2006/docPropsVTypes"/>
</file>