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Declaration of Competing Interest</w:t>
      </w:r>
    </w:p>
    <w:p>
      <w:pPr>
        <w:spacing w:before="240"/>
      </w:pPr>
      <w:r>
        <w:rPr>
          <w:b/>
        </w:rPr>
        <w:t xml:space="preserve">Manuscript title: </w:t>
      </w:r>
      <w:r>
        <w:t>A Reproducible ROI-Robust Evaluation and Mobile Distillation Framework for Ultrasound Lesion Classification</w:t>
      </w:r>
    </w:p>
    <w:p>
      <w:pPr>
        <w:spacing w:before="240"/>
      </w:pPr>
      <w:r>
        <w:rPr>
          <w:b/>
        </w:rPr>
        <w:t xml:space="preserve">Declaration: </w:t>
      </w:r>
      <w:r>
        <w:t>The authors declare that they have no known competing financial interests or personal relationships that could have appeared to influence the work reported in this paper.</w:t>
      </w:r>
    </w:p>
    <w:p>
      <w:pPr>
        <w:spacing w:before="240"/>
      </w:pPr>
      <w:r>
        <w:rPr>
          <w:b/>
        </w:rPr>
        <w:t xml:space="preserve">Author confirmation: </w:t>
      </w:r>
      <w:r>
        <w:t>This draft should be checked by the corresponding author and, if required by Editorial Manager, replaced by the document generated from the Elsevier Declaration of Competing Interest tool at submission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