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DATA PROTECTION IMPACT ASSESSMENT</w:t>
      </w:r>
    </w:p>
    <w:p>
      <w:pPr>
        <w:jc w:val="center"/>
      </w:pPr>
      <w:r>
        <w:rPr>
          <w:i/>
        </w:rPr>
        <w:t>For Hosting Personal Data Outside Rwanda — AfriStay LTD</w:t>
      </w:r>
    </w:p>
    <w:p>
      <w:r>
        <w:rPr>
          <w:sz w:val="18"/>
        </w:rPr>
        <w:t>Document Reference: AfriStay-DPIA-001  |  Version 1.1  |  Date: 17 July 2026  |  Updated: 30 July 2026  |  Prepared by: Emmanuel BUTERA, CEO &amp; Data Protection Officer, AfriStay LTD</w:t>
      </w:r>
    </w:p>
    <w:p>
      <w:pPr>
        <w:pStyle w:val="Heading2"/>
      </w:pPr>
      <w:r>
        <w:t>1. Purpose and Scope</w:t>
      </w:r>
    </w:p>
    <w:p>
      <w:pPr>
        <w:jc w:val="both"/>
      </w:pPr>
      <w:r>
        <w:t>This Data Protection Impact Assessment (DPIA) evaluates the risks associated with AfriStay LTD's processing and storage of personal data using cloud infrastructure providers located outside Rwanda — specifically Supabase (database, authentication, file storage, application backend) and Resend (transactional email delivery) — and the safeguards AfriStay has put in place to mitigate those risks, in support of AfriStay's application to the National Cyber Security Authority (NCSA) under Law N° 058/2021 of 13/10/2021.</w:t>
      </w:r>
    </w:p>
    <w:p>
      <w:pPr>
        <w:pStyle w:val="Heading2"/>
      </w:pPr>
      <w:r>
        <w:t>2. Description of Processing</w:t>
      </w:r>
    </w:p>
    <w:p>
      <w:pPr>
        <w:jc w:val="both"/>
      </w:pPr>
      <w:r>
        <w:t>AfriStay operates a booking platform connecting accommodation Guests with property Owners in Rwanda. To deliver this service, AfriStay collects and processes account, booking, listing, review, and contact-form data (see Section 4 of the accompanying Storage Architecture document for the full data inventory). This data is stored in a Supabase-managed PostgreSQL database and processed by Supabase Edge Functions to run the booking lifecycle (request → owner approval → payment → confirmation) and by Resend to deliver related email notifications.</w:t>
      </w:r>
    </w:p>
    <w:p>
      <w:pPr>
        <w:pStyle w:val="Heading2"/>
      </w:pPr>
      <w:r>
        <w:t>3. Necessity and Proportionality</w:t>
      </w:r>
    </w:p>
    <w:p>
      <w:pPr>
        <w:jc w:val="both"/>
      </w:pPr>
      <w:r>
        <w:t>AfriStay evaluated Rwanda-based hosting alternatives and found no local provider currently offering an equivalent integrated managed database, authentication, row-level access control, serverless compute, and file storage platform required to operate a real-time, multi-role (Guest/Owner/Admin) booking system securely and cost-effectively at AfriStay's current early stage. Supabase and Resend were selected because they (a) provide the specific technical capabilities the platform requires, (b) publish independent security compliance documentation, and (c) offer Data Processing Agreements governing their handling of AfriStay's data. Only the minimum personal data necessary to operate the platform is collected (see Data Protection Commitments, AfriStay-DPC-001); no payment data, national ID data, or biometric data is collected or transferred.</w:t>
      </w:r>
    </w:p>
    <w:p>
      <w:pPr>
        <w:pStyle w:val="Heading2"/>
      </w:pPr>
      <w:r>
        <w:t>4. Data Subjects and Current Volumes</w:t>
      </w:r>
    </w:p>
    <w:p>
      <w:pPr>
        <w:jc w:val="both"/>
      </w:pPr>
      <w:r>
        <w:t>As of 30 July 2026, the platform is in its pre-launch phase. Development/test booking, listing, and message data generated during platform build-out has been purged from the database; only genuine account holders (AfriStay team members and early testers) remain. Current approximate volumes: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Data subject category</w:t>
            </w:r>
          </w:p>
        </w:tc>
        <w:tc>
          <w:tcPr>
            <w:tcW w:type="dxa" w:w="3135"/>
          </w:tcPr>
          <w:p>
            <w:r>
              <w:rPr>
                <w:b/>
              </w:rPr>
              <w:t>Approx. current volume</w:t>
            </w:r>
          </w:p>
        </w:tc>
        <w:tc>
          <w:tcPr>
            <w:tcW w:type="dxa" w:w="3135"/>
          </w:tcPr>
          <w:p>
            <w:r>
              <w:rPr>
                <w:b/>
              </w:rPr>
              <w:t>Notes</w:t>
            </w:r>
          </w:p>
        </w:tc>
      </w:tr>
      <w:tr>
        <w:tc>
          <w:tcPr>
            <w:tcW w:type="dxa" w:w="3135"/>
          </w:tcPr>
          <w:p>
            <w:r>
              <w:t>Registered user accounts (Guests)</w:t>
            </w:r>
          </w:p>
        </w:tc>
        <w:tc>
          <w:tcPr>
            <w:tcW w:type="dxa" w:w="3135"/>
          </w:tcPr>
          <w:p>
            <w:r>
              <w:t>7</w:t>
            </w:r>
          </w:p>
        </w:tc>
        <w:tc>
          <w:tcPr>
            <w:tcW w:type="dxa" w:w="3135"/>
          </w:tcPr>
          <w:p>
            <w:r>
              <w:t>Grows with public launch and marketing</w:t>
            </w:r>
          </w:p>
        </w:tc>
      </w:tr>
      <w:tr>
        <w:tc>
          <w:tcPr>
            <w:tcW w:type="dxa" w:w="3135"/>
          </w:tcPr>
          <w:p>
            <w:r>
              <w:t>Registered property Owners</w:t>
            </w:r>
          </w:p>
        </w:tc>
        <w:tc>
          <w:tcPr>
            <w:tcW w:type="dxa" w:w="3135"/>
          </w:tcPr>
          <w:p>
            <w:r>
              <w:t>3</w:t>
            </w:r>
          </w:p>
        </w:tc>
        <w:tc>
          <w:tcPr>
            <w:tcW w:type="dxa" w:w="3135"/>
          </w:tcPr>
          <w:p>
            <w:r>
              <w:t>Includes pending owner applications</w:t>
            </w:r>
          </w:p>
        </w:tc>
      </w:tr>
      <w:tr>
        <w:tc>
          <w:tcPr>
            <w:tcW w:type="dxa" w:w="3135"/>
          </w:tcPr>
          <w:p>
            <w:r>
              <w:t>Internal admin/staff accounts</w:t>
            </w:r>
          </w:p>
        </w:tc>
        <w:tc>
          <w:tcPr>
            <w:tcW w:type="dxa" w:w="3135"/>
          </w:tcPr>
          <w:p>
            <w:r>
              <w:t>4</w:t>
            </w:r>
          </w:p>
        </w:tc>
        <w:tc>
          <w:tcPr>
            <w:tcW w:type="dxa" w:w="3135"/>
          </w:tcPr>
          <w:p>
            <w:r>
              <w:t>AfriStay team members</w:t>
            </w:r>
          </w:p>
        </w:tc>
      </w:tr>
      <w:tr>
        <w:tc>
          <w:tcPr>
            <w:tcW w:type="dxa" w:w="3135"/>
          </w:tcPr>
          <w:p>
            <w:r>
              <w:t>Bookings on record</w:t>
            </w:r>
          </w:p>
        </w:tc>
        <w:tc>
          <w:tcPr>
            <w:tcW w:type="dxa" w:w="3135"/>
          </w:tcPr>
          <w:p>
            <w:r>
              <w:t>0</w:t>
            </w:r>
          </w:p>
        </w:tc>
        <w:tc>
          <w:tcPr>
            <w:tcW w:type="dxa" w:w="3135"/>
          </w:tcPr>
          <w:p>
            <w:r>
              <w:t>Test/development bookings purged pre-launch</w:t>
            </w:r>
          </w:p>
        </w:tc>
      </w:tr>
      <w:tr>
        <w:tc>
          <w:tcPr>
            <w:tcW w:type="dxa" w:w="3135"/>
          </w:tcPr>
          <w:p>
            <w:r>
              <w:t>Property listings</w:t>
            </w:r>
          </w:p>
        </w:tc>
        <w:tc>
          <w:tcPr>
            <w:tcW w:type="dxa" w:w="3135"/>
          </w:tcPr>
          <w:p>
            <w:r>
              <w:t>0</w:t>
            </w:r>
          </w:p>
        </w:tc>
        <w:tc>
          <w:tcPr>
            <w:tcW w:type="dxa" w:w="3135"/>
          </w:tcPr>
          <w:p>
            <w:r>
              <w:t>Test/development listings purged pre-launch</w:t>
            </w:r>
          </w:p>
        </w:tc>
      </w:tr>
      <w:tr>
        <w:tc>
          <w:tcPr>
            <w:tcW w:type="dxa" w:w="3135"/>
          </w:tcPr>
          <w:p>
            <w:r>
              <w:t>Contact-form submissions</w:t>
            </w:r>
          </w:p>
        </w:tc>
        <w:tc>
          <w:tcPr>
            <w:tcW w:type="dxa" w:w="3135"/>
          </w:tcPr>
          <w:p>
            <w:r>
              <w:t>0</w:t>
            </w:r>
          </w:p>
        </w:tc>
        <w:tc>
          <w:tcPr>
            <w:tcW w:type="dxa" w:w="3135"/>
          </w:tcPr>
          <w:p>
            <w:r>
              <w:t>Test submissions purged pre-launch</w:t>
            </w:r>
          </w:p>
        </w:tc>
      </w:tr>
    </w:tbl>
    <w:p/>
    <w:p>
      <w:pPr>
        <w:jc w:val="both"/>
      </w:pPr>
      <w:r>
        <w:t>These figures represent current state prior to public launch and are expected to increase materially once the platform goes live. AfriStay will keep this DPIA under review as volumes grow (see Section 8).</w:t>
      </w:r>
    </w:p>
    <w:p>
      <w:pPr>
        <w:pStyle w:val="Heading2"/>
      </w:pPr>
      <w:r>
        <w:t>5. Data Flow Summary</w:t>
      </w:r>
    </w:p>
    <w:p>
      <w:pPr>
        <w:jc w:val="both"/>
      </w:pPr>
      <w:r>
        <w:t>A full diagram is provided in the accompanying Data Flow Diagram &amp; Sub-Processor Register. In summary: a user's browser submits data over HTTPS directly to Supabase (database/auth/storage) and, for approval/payment emails, Supabase's Edge Functions call Resend's API over HTTPS to dispatch email. Payment itself is redirected to IremboPay, which is not passed any AfriStay-collected personal data beyond the guest's name, email, and phone number needed to generate the payment invoice; AfriStay never receives or stores card/mobile-money credentials from IremboPay.</w:t>
      </w:r>
    </w:p>
    <w:p>
      <w:pPr>
        <w:pStyle w:val="Heading2"/>
      </w:pPr>
      <w:r>
        <w:t>6. Risk Assessment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Risk</w:t>
            </w:r>
          </w:p>
        </w:tc>
        <w:tc>
          <w:tcPr>
            <w:tcW w:type="dxa" w:w="2351"/>
          </w:tcPr>
          <w:p>
            <w:r>
              <w:rPr>
                <w:b/>
              </w:rPr>
              <w:t>Likelihood</w:t>
            </w:r>
          </w:p>
        </w:tc>
        <w:tc>
          <w:tcPr>
            <w:tcW w:type="dxa" w:w="2351"/>
          </w:tcPr>
          <w:p>
            <w:r>
              <w:rPr>
                <w:b/>
              </w:rPr>
              <w:t>Impact</w:t>
            </w:r>
          </w:p>
        </w:tc>
        <w:tc>
          <w:tcPr>
            <w:tcW w:type="dxa" w:w="2351"/>
          </w:tcPr>
          <w:p>
            <w:r>
              <w:rPr>
                <w:b/>
              </w:rPr>
              <w:t>Mitigation</w:t>
            </w:r>
          </w:p>
        </w:tc>
      </w:tr>
      <w:tr>
        <w:tc>
          <w:tcPr>
            <w:tcW w:type="dxa" w:w="2351"/>
          </w:tcPr>
          <w:p>
            <w:r>
              <w:t>Unauthorized access to personal data (e.g. compromised credentials, misconfigured access)</w:t>
            </w:r>
          </w:p>
        </w:tc>
        <w:tc>
          <w:tcPr>
            <w:tcW w:type="dxa" w:w="2351"/>
          </w:tcPr>
          <w:p>
            <w:r>
              <w:t>Low–Medium</w:t>
            </w:r>
          </w:p>
        </w:tc>
        <w:tc>
          <w:tcPr>
            <w:tcW w:type="dxa" w:w="2351"/>
          </w:tcPr>
          <w:p>
            <w:r>
              <w:t>High</w:t>
            </w:r>
          </w:p>
        </w:tc>
        <w:tc>
          <w:tcPr>
            <w:tcW w:type="dxa" w:w="2351"/>
          </w:tcPr>
          <w:p>
            <w:r>
              <w:t>Row Level Security enforced on every table; service-role key confined to server-side Edge Functions; Supabase Auth with hashed credentials; mandatory two-factor authentication for administrative accounts; automated audit logging of access to sensitive tables; periodic review of dormant/unrecognised administrator accounts.</w:t>
            </w:r>
          </w:p>
        </w:tc>
      </w:tr>
      <w:tr>
        <w:tc>
          <w:tcPr>
            <w:tcW w:type="dxa" w:w="2351"/>
          </w:tcPr>
          <w:p>
            <w:r>
              <w:t>Data interception in transit</w:t>
            </w:r>
          </w:p>
        </w:tc>
        <w:tc>
          <w:tcPr>
            <w:tcW w:type="dxa" w:w="2351"/>
          </w:tcPr>
          <w:p>
            <w:r>
              <w:t>Low</w:t>
            </w:r>
          </w:p>
        </w:tc>
        <w:tc>
          <w:tcPr>
            <w:tcW w:type="dxa" w:w="2351"/>
          </w:tcPr>
          <w:p>
            <w:r>
              <w:t>Medium</w:t>
            </w:r>
          </w:p>
        </w:tc>
        <w:tc>
          <w:tcPr>
            <w:tcW w:type="dxa" w:w="2351"/>
          </w:tcPr>
          <w:p>
            <w:r>
              <w:t>All traffic encrypted via HTTPS/TLS between client, Supabase, and Resend.</w:t>
            </w:r>
          </w:p>
        </w:tc>
      </w:tr>
      <w:tr>
        <w:tc>
          <w:tcPr>
            <w:tcW w:type="dxa" w:w="2351"/>
          </w:tcPr>
          <w:p>
            <w:r>
              <w:t>Foreign legal access to data (database hosted in the EU under GDPR; email delivery data processed in the United States)</w:t>
            </w:r>
          </w:p>
        </w:tc>
        <w:tc>
          <w:tcPr>
            <w:tcW w:type="dxa" w:w="2351"/>
          </w:tcPr>
          <w:p>
            <w:r>
              <w:t>Low</w:t>
            </w:r>
          </w:p>
        </w:tc>
        <w:tc>
          <w:tcPr>
            <w:tcW w:type="dxa" w:w="2351"/>
          </w:tcPr>
          <w:p>
            <w:r>
              <w:t>Medium</w:t>
            </w:r>
          </w:p>
        </w:tc>
        <w:tc>
          <w:tcPr>
            <w:tcW w:type="dxa" w:w="2351"/>
          </w:tcPr>
          <w:p>
            <w:r>
              <w:t>Data minimisation limits what is stored (no payment/ID/biometric data); Data Processing Agreements restrict provider use of data to service delivery; Resend's Data Processing Addendum incorporates EU Standard Contractual Clauses and the EU-U.S. Data Privacy Framework governing its handling of any EU-linked data; AfriStay monitors provider transparency reports.</w:t>
            </w:r>
          </w:p>
        </w:tc>
      </w:tr>
      <w:tr>
        <w:tc>
          <w:tcPr>
            <w:tcW w:type="dxa" w:w="2351"/>
          </w:tcPr>
          <w:p>
            <w:r>
              <w:t>Sub-processor data breach at Supabase or Resend</w:t>
            </w:r>
          </w:p>
        </w:tc>
        <w:tc>
          <w:tcPr>
            <w:tcW w:type="dxa" w:w="2351"/>
          </w:tcPr>
          <w:p>
            <w:r>
              <w:t>Low</w:t>
            </w:r>
          </w:p>
        </w:tc>
        <w:tc>
          <w:tcPr>
            <w:tcW w:type="dxa" w:w="2351"/>
          </w:tcPr>
          <w:p>
            <w:r>
              <w:t>High</w:t>
            </w:r>
          </w:p>
        </w:tc>
        <w:tc>
          <w:tcPr>
            <w:tcW w:type="dxa" w:w="2351"/>
          </w:tcPr>
          <w:p>
            <w:r>
              <w:t>Providers selected for published independent security compliance (e.g. SOC 2 Type II); AfriStay's Data Breach Response and Notification Procedure (AfriStay-DBRP-001) governs escalation and NSCA/user notification within legal timeframes regardless of where the breach originates.</w:t>
            </w:r>
          </w:p>
        </w:tc>
      </w:tr>
      <w:tr>
        <w:tc>
          <w:tcPr>
            <w:tcW w:type="dxa" w:w="2351"/>
          </w:tcPr>
          <w:p>
            <w:r>
              <w:t>Excessive data retention</w:t>
            </w:r>
          </w:p>
        </w:tc>
        <w:tc>
          <w:tcPr>
            <w:tcW w:type="dxa" w:w="2351"/>
          </w:tcPr>
          <w:p>
            <w:r>
              <w:t>Low</w:t>
            </w:r>
          </w:p>
        </w:tc>
        <w:tc>
          <w:tcPr>
            <w:tcW w:type="dxa" w:w="2351"/>
          </w:tcPr>
          <w:p>
            <w:r>
              <w:t>Low–Medium</w:t>
            </w:r>
          </w:p>
        </w:tc>
        <w:tc>
          <w:tcPr>
            <w:tcW w:type="dxa" w:w="2351"/>
          </w:tcPr>
          <w:p>
            <w:r>
              <w:t>Retention periods and deletion defined in Data Retention Policy (AfriStay-DRP-001); deletion requests actioned within 30 days.</w:t>
            </w:r>
          </w:p>
        </w:tc>
      </w:tr>
      <w:tr>
        <w:tc>
          <w:tcPr>
            <w:tcW w:type="dxa" w:w="2351"/>
          </w:tcPr>
          <w:p>
            <w:r>
              <w:t>Vendor lock-in / service discontinuation</w:t>
            </w:r>
          </w:p>
        </w:tc>
        <w:tc>
          <w:tcPr>
            <w:tcW w:type="dxa" w:w="2351"/>
          </w:tcPr>
          <w:p>
            <w:r>
              <w:t>Low</w:t>
            </w:r>
          </w:p>
        </w:tc>
        <w:tc>
          <w:tcPr>
            <w:tcW w:type="dxa" w:w="2351"/>
          </w:tcPr>
          <w:p>
            <w:r>
              <w:t>Medium</w:t>
            </w:r>
          </w:p>
        </w:tc>
        <w:tc>
          <w:tcPr>
            <w:tcW w:type="dxa" w:w="2351"/>
          </w:tcPr>
          <w:p>
            <w:r>
              <w:t>Standard PostgreSQL database (portable/exportable); AfriStay retains ability to migrate to an alternative or Rwanda-based provider should one become available.</w:t>
            </w:r>
          </w:p>
        </w:tc>
      </w:tr>
    </w:tbl>
    <w:p/>
    <w:p>
      <w:pPr>
        <w:pStyle w:val="Heading2"/>
      </w:pPr>
      <w:r>
        <w:t>7. Data Subject Rights and Redress</w:t>
      </w:r>
    </w:p>
    <w:p>
      <w:pPr>
        <w:jc w:val="both"/>
      </w:pPr>
      <w:r>
        <w:t>Affected individuals may exercise their rights (access, rectification, erasure, objection, portability, restriction) under Law N° 058/2021 by contacting AfriStay's Data Protection Officer at emmanuel.butera@afristay.rw or info@afristay.rw. Requests are actioned within 30 days per AfriStay's Privacy Policy and Data Protection Commitments.</w:t>
      </w:r>
    </w:p>
    <w:p>
      <w:pPr>
        <w:pStyle w:val="Heading2"/>
      </w:pPr>
      <w:r>
        <w:t>8. Conclusion and Ongoing Review</w:t>
      </w:r>
    </w:p>
    <w:p>
      <w:pPr>
        <w:jc w:val="both"/>
      </w:pPr>
      <w:r>
        <w:t>Having assessed the necessity, proportionality, and residual risks of storing personal data with Supabase and Resend outside Rwanda, and having implemented the technical and organisational safeguards described above and in the accompanying Storage Architecture document, AfriStay LTD considers the residual risk to data subjects to be low and proportionate to the legitimate business need. This DPIA will be reviewed annually, upon material growth in data volumes, upon onboarding any new outside-Rwanda service provider, or following any data breach, consistent with AfriStay's Data Breach Response and Notification Procedure (AfriStay-DBRP-001).</w:t>
      </w:r>
    </w:p>
    <w:p/>
    <w:p>
      <w:r>
        <w:t>_____________________________</w:t>
      </w:r>
    </w:p>
    <w:p>
      <w:r>
        <w:t>Emmanuel BUTERA</w:t>
        <w:br/>
        <w:t>Chief Executive Officer &amp; Data Protection Officer</w:t>
        <w:br/>
        <w:t>AfriStay LTD</w:t>
        <w:br/>
        <w:t>17 July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AfriStay - Data Protection Impact Assessment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