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Data Flow Diagram &amp; Sub-Processor Register</w:t>
      </w:r>
    </w:p>
    <w:p>
      <w:pPr>
        <w:jc w:val="center"/>
      </w:pPr>
      <w:r>
        <w:rPr>
          <w:i/>
        </w:rPr>
        <w:t>Supporting document for NCSA Application for Authorization to Store Personal Data Outside Rwanda</w:t>
      </w:r>
    </w:p>
    <w:p>
      <w:r>
        <w:rPr>
          <w:sz w:val="18"/>
        </w:rPr>
        <w:t>Document Reference: AfriStay-DFR-001  |  Version 1.1  |  Date: 17 July 2026  |  Updated: 30 July 2026  |  Prepared by: Emmanuel BUTERA, CEO &amp; Data Protection Officer, AfriStay LTD</w:t>
      </w:r>
    </w:p>
    <w:p>
      <w:pPr>
        <w:pStyle w:val="Heading2"/>
      </w:pPr>
      <w:r>
        <w:t>1. Data Flow Diagram (textual)</w:t>
      </w:r>
    </w:p>
    <w:p/>
    <w:p>
      <w:r>
        <w:rPr>
          <w:rFonts w:ascii="Courier New" w:hAnsi="Courier New"/>
          <w:sz w:val="18"/>
        </w:rPr>
        <w:t>[Guest / Owner Browser]</w:t>
      </w:r>
    </w:p>
    <w:p>
      <w:r>
        <w:rPr>
          <w:rFonts w:ascii="Courier New" w:hAnsi="Courier New"/>
          <w:sz w:val="18"/>
        </w:rPr>
        <w:t xml:space="preserve">        |  HTTPS (TLS)</w:t>
      </w:r>
    </w:p>
    <w:p>
      <w:r>
        <w:rPr>
          <w:rFonts w:ascii="Courier New" w:hAnsi="Courier New"/>
          <w:sz w:val="18"/>
        </w:rPr>
        <w:t xml:space="preserve">        v</w:t>
      </w:r>
    </w:p>
    <w:p>
      <w:r>
        <w:rPr>
          <w:rFonts w:ascii="Courier New" w:hAnsi="Courier New"/>
          <w:sz w:val="18"/>
        </w:rPr>
        <w:t>[AfriStay Website — static pages]</w:t>
      </w:r>
    </w:p>
    <w:p>
      <w:r>
        <w:rPr>
          <w:rFonts w:ascii="Courier New" w:hAnsi="Courier New"/>
          <w:sz w:val="18"/>
        </w:rPr>
        <w:t xml:space="preserve">   hosted by AOS Ltd, Rwanda</w:t>
      </w:r>
    </w:p>
    <w:p>
      <w:r>
        <w:rPr>
          <w:rFonts w:ascii="Courier New" w:hAnsi="Courier New"/>
          <w:sz w:val="18"/>
        </w:rPr>
        <w:t xml:space="preserve">        |</w:t>
      </w:r>
    </w:p>
    <w:p>
      <w:r>
        <w:rPr>
          <w:rFonts w:ascii="Courier New" w:hAnsi="Courier New"/>
          <w:sz w:val="18"/>
        </w:rPr>
        <w:t xml:space="preserve">        |  HTTPS (TLS) — direct client calls using</w:t>
      </w:r>
    </w:p>
    <w:p>
      <w:r>
        <w:rPr>
          <w:rFonts w:ascii="Courier New" w:hAnsi="Courier New"/>
          <w:sz w:val="18"/>
        </w:rPr>
        <w:t xml:space="preserve">        |  a restricted "anon" API key (RLS-enforced)</w:t>
      </w:r>
    </w:p>
    <w:p>
      <w:r>
        <w:rPr>
          <w:rFonts w:ascii="Courier New" w:hAnsi="Courier New"/>
          <w:sz w:val="18"/>
        </w:rPr>
        <w:t xml:space="preserve">        v</w:t>
      </w:r>
    </w:p>
    <w:p>
      <w:r>
        <w:rPr>
          <w:rFonts w:ascii="Courier New" w:hAnsi="Courier New"/>
          <w:sz w:val="18"/>
        </w:rPr>
        <w:t>[Supabase Platform — Ireland, European Union]</w:t>
      </w:r>
    </w:p>
    <w:p>
      <w:r>
        <w:rPr>
          <w:rFonts w:ascii="Courier New" w:hAnsi="Courier New"/>
          <w:sz w:val="18"/>
        </w:rPr>
        <w:t xml:space="preserve">   - PostgreSQL database (34 tables, RLS on all)</w:t>
      </w:r>
    </w:p>
    <w:p>
      <w:r>
        <w:rPr>
          <w:rFonts w:ascii="Courier New" w:hAnsi="Courier New"/>
          <w:sz w:val="18"/>
        </w:rPr>
        <w:t xml:space="preserve">   - Supabase Auth (sign up / sign in, 2FA for admins)</w:t>
      </w:r>
    </w:p>
    <w:p>
      <w:r>
        <w:rPr>
          <w:rFonts w:ascii="Courier New" w:hAnsi="Courier New"/>
          <w:sz w:val="18"/>
        </w:rPr>
        <w:t xml:space="preserve">   - Supabase Storage (listing/event/promo media)</w:t>
      </w:r>
    </w:p>
    <w:p>
      <w:r>
        <w:rPr>
          <w:rFonts w:ascii="Courier New" w:hAnsi="Courier New"/>
          <w:sz w:val="18"/>
        </w:rPr>
        <w:t xml:space="preserve">   - Edge Functions (booking approval, payments,</w:t>
      </w:r>
    </w:p>
    <w:p>
      <w:r>
        <w:rPr>
          <w:rFonts w:ascii="Courier New" w:hAnsi="Courier New"/>
          <w:sz w:val="18"/>
        </w:rPr>
        <w:t xml:space="preserve">     account deletion, admin actions — hold the</w:t>
      </w:r>
    </w:p>
    <w:p>
      <w:r>
        <w:rPr>
          <w:rFonts w:ascii="Courier New" w:hAnsi="Courier New"/>
          <w:sz w:val="18"/>
        </w:rPr>
        <w:t xml:space="preserve">     service-role key; never exposed to browser)</w:t>
      </w:r>
    </w:p>
    <w:p>
      <w:r>
        <w:rPr>
          <w:rFonts w:ascii="Courier New" w:hAnsi="Courier New"/>
          <w:sz w:val="18"/>
        </w:rPr>
        <w:t xml:space="preserve">   - Field-level encryption of sensitive payout data</w:t>
      </w:r>
    </w:p>
    <w:p>
      <w:r>
        <w:rPr>
          <w:rFonts w:ascii="Courier New" w:hAnsi="Courier New"/>
          <w:sz w:val="18"/>
        </w:rPr>
        <w:t xml:space="preserve">   - Automated audit logging + data retention jobs</w:t>
      </w:r>
    </w:p>
    <w:p>
      <w:r>
        <w:rPr>
          <w:rFonts w:ascii="Courier New" w:hAnsi="Courier New"/>
          <w:sz w:val="18"/>
        </w:rPr>
        <w:t xml:space="preserve">        |</w:t>
      </w:r>
    </w:p>
    <w:p>
      <w:r>
        <w:rPr>
          <w:rFonts w:ascii="Courier New" w:hAnsi="Courier New"/>
          <w:sz w:val="18"/>
        </w:rPr>
        <w:t xml:space="preserve">        |-- HTTPS (TLS) --&gt; [Resend, United States]</w:t>
      </w:r>
    </w:p>
    <w:p>
      <w:r>
        <w:rPr>
          <w:rFonts w:ascii="Courier New" w:hAnsi="Courier New"/>
          <w:sz w:val="18"/>
        </w:rPr>
        <w:t xml:space="preserve">        |                    sends booking/notification</w:t>
      </w:r>
    </w:p>
    <w:p>
      <w:r>
        <w:rPr>
          <w:rFonts w:ascii="Courier New" w:hAnsi="Courier New"/>
          <w:sz w:val="18"/>
        </w:rPr>
        <w:t xml:space="preserve">        |                    emails (recipient name,</w:t>
      </w:r>
    </w:p>
    <w:p>
      <w:r>
        <w:rPr>
          <w:rFonts w:ascii="Courier New" w:hAnsi="Courier New"/>
          <w:sz w:val="18"/>
        </w:rPr>
        <w:t xml:space="preserve">        |                    email address, email content)</w:t>
      </w:r>
    </w:p>
    <w:p>
      <w:r>
        <w:rPr>
          <w:rFonts w:ascii="Courier New" w:hAnsi="Courier New"/>
          <w:sz w:val="18"/>
        </w:rPr>
        <w:t xml:space="preserve">        |</w:t>
      </w:r>
    </w:p>
    <w:p>
      <w:r>
        <w:rPr>
          <w:rFonts w:ascii="Courier New" w:hAnsi="Courier New"/>
          <w:sz w:val="18"/>
        </w:rPr>
        <w:t xml:space="preserve">        |-- HTTPS (TLS) --&gt; [IremboPay, Rwanda]</w:t>
      </w:r>
    </w:p>
    <w:p>
      <w:r>
        <w:rPr>
          <w:rFonts w:ascii="Courier New" w:hAnsi="Courier New"/>
          <w:sz w:val="18"/>
        </w:rPr>
        <w:t xml:space="preserve">                             creates payment invoice using</w:t>
      </w:r>
    </w:p>
    <w:p>
      <w:r>
        <w:rPr>
          <w:rFonts w:ascii="Courier New" w:hAnsi="Courier New"/>
          <w:sz w:val="18"/>
        </w:rPr>
        <w:t xml:space="preserve">                             guest name/email/phone; AfriStay</w:t>
      </w:r>
    </w:p>
    <w:p>
      <w:r>
        <w:rPr>
          <w:rFonts w:ascii="Courier New" w:hAnsi="Courier New"/>
          <w:sz w:val="18"/>
        </w:rPr>
        <w:t xml:space="preserve">                             never receives card or mobile-</w:t>
      </w:r>
    </w:p>
    <w:p>
      <w:r>
        <w:rPr>
          <w:rFonts w:ascii="Courier New" w:hAnsi="Courier New"/>
          <w:sz w:val="18"/>
        </w:rPr>
        <w:t xml:space="preserve">                             money credentials back</w:t>
      </w:r>
    </w:p>
    <w:p/>
    <w:p>
      <w:pPr>
        <w:pStyle w:val="Heading2"/>
      </w:pPr>
      <w:r>
        <w:t>2. Sub-Processor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</w:rPr>
              <w:t>#</w:t>
            </w:r>
          </w:p>
        </w:tc>
        <w:tc>
          <w:tcPr>
            <w:tcW w:type="dxa" w:w="1568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156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568"/>
          </w:tcPr>
          <w:p>
            <w:r>
              <w:rPr>
                <w:b/>
              </w:rPr>
              <w:t>Data processed</w:t>
            </w:r>
          </w:p>
        </w:tc>
        <w:tc>
          <w:tcPr>
            <w:tcW w:type="dxa" w:w="156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568"/>
          </w:tcPr>
          <w:p>
            <w:r>
              <w:rPr>
                <w:b/>
              </w:rPr>
              <w:t>Agreement status</w:t>
            </w:r>
          </w:p>
        </w:tc>
      </w:tr>
      <w:tr>
        <w:tc>
          <w:tcPr>
            <w:tcW w:type="dxa" w:w="1568"/>
          </w:tcPr>
          <w:p>
            <w:r>
              <w:t>1</w:t>
            </w:r>
          </w:p>
        </w:tc>
        <w:tc>
          <w:tcPr>
            <w:tcW w:type="dxa" w:w="1568"/>
          </w:tcPr>
          <w:p>
            <w:r>
              <w:t>Supabase Inc.</w:t>
            </w:r>
          </w:p>
        </w:tc>
        <w:tc>
          <w:tcPr>
            <w:tcW w:type="dxa" w:w="1568"/>
          </w:tcPr>
          <w:p>
            <w:r>
              <w:t>Primary storage: database, authentication, file storage, application backend</w:t>
            </w:r>
          </w:p>
        </w:tc>
        <w:tc>
          <w:tcPr>
            <w:tcW w:type="dxa" w:w="1568"/>
          </w:tcPr>
          <w:p>
            <w:r>
              <w:t>Full personal data inventory (see Storage Architecture, Section 4)</w:t>
            </w:r>
          </w:p>
        </w:tc>
        <w:tc>
          <w:tcPr>
            <w:tcW w:type="dxa" w:w="1568"/>
          </w:tcPr>
          <w:p>
            <w:r>
              <w:t>Ireland, European Union (region: eu-west-1)</w:t>
            </w:r>
          </w:p>
        </w:tc>
        <w:tc>
          <w:tcPr>
            <w:tcW w:type="dxa" w:w="1568"/>
          </w:tcPr>
          <w:p>
            <w:r>
              <w:t>Data Processing Agreement to be obtained from Supabase and attached to this application</w:t>
            </w:r>
          </w:p>
        </w:tc>
      </w:tr>
      <w:tr>
        <w:tc>
          <w:tcPr>
            <w:tcW w:type="dxa" w:w="1568"/>
          </w:tcPr>
          <w:p>
            <w:r>
              <w:t>2</w:t>
            </w:r>
          </w:p>
        </w:tc>
        <w:tc>
          <w:tcPr>
            <w:tcW w:type="dxa" w:w="1568"/>
          </w:tcPr>
          <w:p>
            <w:r>
              <w:t>Resend</w:t>
            </w:r>
          </w:p>
        </w:tc>
        <w:tc>
          <w:tcPr>
            <w:tcW w:type="dxa" w:w="1568"/>
          </w:tcPr>
          <w:p>
            <w:r>
              <w:t>Transactional email delivery only</w:t>
            </w:r>
          </w:p>
        </w:tc>
        <w:tc>
          <w:tcPr>
            <w:tcW w:type="dxa" w:w="1568"/>
          </w:tcPr>
          <w:p>
            <w:r>
              <w:t>Recipient name, email address, email content (booking/notification templates)</w:t>
            </w:r>
          </w:p>
        </w:tc>
        <w:tc>
          <w:tcPr>
            <w:tcW w:type="dxa" w:w="1568"/>
          </w:tcPr>
          <w:p>
            <w:r>
              <w:t>United States</w:t>
            </w:r>
          </w:p>
        </w:tc>
        <w:tc>
          <w:tcPr>
            <w:tcW w:type="dxa" w:w="1568"/>
          </w:tcPr>
          <w:p>
            <w:r>
              <w:t>Signed — see resend-dpa-signed.pdf (enclosed)</w:t>
            </w:r>
          </w:p>
        </w:tc>
      </w:tr>
      <w:tr>
        <w:tc>
          <w:tcPr>
            <w:tcW w:type="dxa" w:w="1568"/>
          </w:tcPr>
          <w:p>
            <w:r>
              <w:t>3</w:t>
            </w:r>
          </w:p>
        </w:tc>
        <w:tc>
          <w:tcPr>
            <w:tcW w:type="dxa" w:w="1568"/>
          </w:tcPr>
          <w:p>
            <w:r>
              <w:t>AOS Ltd (aos.rw)</w:t>
            </w:r>
          </w:p>
        </w:tc>
        <w:tc>
          <w:tcPr>
            <w:tcW w:type="dxa" w:w="1568"/>
          </w:tcPr>
          <w:p>
            <w:r>
              <w:t>Static website hosting (front-end pages only — does not process personal data submitted by users, which goes directly to Supabase)</w:t>
            </w:r>
          </w:p>
        </w:tc>
        <w:tc>
          <w:tcPr>
            <w:tcW w:type="dxa" w:w="1568"/>
          </w:tcPr>
          <w:p>
            <w:r>
              <w:t>None (front-end code only)</w:t>
            </w:r>
          </w:p>
        </w:tc>
        <w:tc>
          <w:tcPr>
            <w:tcW w:type="dxa" w:w="1568"/>
          </w:tcPr>
          <w:p>
            <w:r>
              <w:t>Rwanda</w:t>
            </w:r>
          </w:p>
        </w:tc>
        <w:tc>
          <w:tcPr>
            <w:tcW w:type="dxa" w:w="1568"/>
          </w:tcPr>
          <w:p>
            <w:r>
              <w:t>Local provider — outside Rwanda authorization not applicable</w:t>
            </w:r>
          </w:p>
        </w:tc>
      </w:tr>
      <w:tr>
        <w:tc>
          <w:tcPr>
            <w:tcW w:type="dxa" w:w="1568"/>
          </w:tcPr>
          <w:p>
            <w:r>
              <w:t>4</w:t>
            </w:r>
          </w:p>
        </w:tc>
        <w:tc>
          <w:tcPr>
            <w:tcW w:type="dxa" w:w="1568"/>
          </w:tcPr>
          <w:p>
            <w:r>
              <w:t>IremboPay</w:t>
            </w:r>
          </w:p>
        </w:tc>
        <w:tc>
          <w:tcPr>
            <w:tcW w:type="dxa" w:w="1568"/>
          </w:tcPr>
          <w:p>
            <w:r>
              <w:t>Independent payment processing (guest redirected to IremboPay to pay; AfriStay does not process the payment itself)</w:t>
            </w:r>
          </w:p>
        </w:tc>
        <w:tc>
          <w:tcPr>
            <w:tcW w:type="dxa" w:w="1568"/>
          </w:tcPr>
          <w:p>
            <w:r>
              <w:t>Guest name, email, phone (sent to generate invoice); no card/mobile-money data returned to or stored by AfriStay</w:t>
            </w:r>
          </w:p>
        </w:tc>
        <w:tc>
          <w:tcPr>
            <w:tcW w:type="dxa" w:w="1568"/>
          </w:tcPr>
          <w:p>
            <w:r>
              <w:t>Rwanda</w:t>
            </w:r>
          </w:p>
        </w:tc>
        <w:tc>
          <w:tcPr>
            <w:tcW w:type="dxa" w:w="1568"/>
          </w:tcPr>
          <w:p>
            <w:r>
              <w:t>Local provider — outside Rwanda authorization not applicable</w:t>
            </w:r>
          </w:p>
        </w:tc>
      </w:tr>
    </w:tbl>
    <w:p/>
    <w:p>
      <w:pPr>
        <w:pStyle w:val="Heading2"/>
      </w:pPr>
      <w:r>
        <w:t>3. Outstanding Item</w:t>
      </w:r>
    </w:p>
    <w:p>
      <w:pPr>
        <w:jc w:val="both"/>
      </w:pPr>
      <w:r>
        <w:t>Row 1 above (Supabase) is the primary basis for this application. AfriStay should obtain Supabase's standard Data Processing Agreement (available via the Supabase Dashboard under organization/legal settings, or by request to Supabase's support/legal team) and attach it as the "Hosting agreement(s) with service provider(s)" item required by Section 5 of the NCSA Application Form, alongside the already-signed Resend DPA.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AfriStay - Data Flow Diagram and Sub-Processor Register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