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B7D41" w14:textId="7504C461" w:rsidR="00767EC2" w:rsidRPr="00A80FFE" w:rsidRDefault="00416956" w:rsidP="00767EC2">
      <w:pPr>
        <w:pBdr>
          <w:bottom w:val="single" w:sz="12" w:space="1" w:color="004B78"/>
        </w:pBdr>
        <w:spacing w:before="120" w:after="120" w:line="240" w:lineRule="auto"/>
        <w:jc w:val="center"/>
        <w:rPr>
          <w:rFonts w:eastAsia="MS Gothic" w:cstheme="minorHAnsi"/>
          <w:b/>
          <w:color w:val="00253C" w:themeColor="accent3" w:themeShade="80"/>
          <w:sz w:val="40"/>
          <w:szCs w:val="72"/>
        </w:rPr>
      </w:pPr>
      <w:r w:rsidRPr="00416956">
        <w:rPr>
          <w:rFonts w:eastAsia="MS Gothic" w:cstheme="minorHAnsi"/>
          <w:b/>
          <w:color w:val="00253C" w:themeColor="accent3" w:themeShade="80"/>
          <w:sz w:val="40"/>
          <w:szCs w:val="72"/>
        </w:rPr>
        <w:t>Design and Implementation of the M300 Implementation Monitoring Dashboard for Nigeria</w:t>
      </w:r>
    </w:p>
    <w:p w14:paraId="0CD49646" w14:textId="0A084D7A" w:rsidR="00767EC2" w:rsidRDefault="00416956" w:rsidP="00767EC2">
      <w:pPr>
        <w:spacing w:before="120" w:after="120" w:line="240" w:lineRule="auto"/>
        <w:jc w:val="center"/>
        <w:rPr>
          <w:rFonts w:eastAsia="MS Gothic" w:cstheme="minorHAnsi"/>
          <w:b/>
          <w:color w:val="003759" w:themeColor="accent3" w:themeShade="BF"/>
          <w:sz w:val="40"/>
          <w:szCs w:val="72"/>
        </w:rPr>
      </w:pPr>
      <w:r>
        <w:rPr>
          <w:rFonts w:eastAsia="MS Gothic" w:cstheme="minorHAnsi"/>
          <w:b/>
          <w:color w:val="00253C" w:themeColor="accent3" w:themeShade="80"/>
          <w:sz w:val="40"/>
          <w:szCs w:val="72"/>
        </w:rPr>
        <w:t>Inception Report</w:t>
      </w:r>
    </w:p>
    <w:p w14:paraId="5893FDF4" w14:textId="77777777" w:rsidR="00416956" w:rsidRDefault="00416956" w:rsidP="00767EC2">
      <w:pPr>
        <w:spacing w:before="120" w:after="120" w:line="240" w:lineRule="auto"/>
        <w:jc w:val="center"/>
        <w:rPr>
          <w:rFonts w:eastAsia="MS Gothic" w:cstheme="minorHAnsi"/>
          <w:b/>
          <w:color w:val="003759" w:themeColor="accent3" w:themeShade="BF"/>
          <w:sz w:val="28"/>
          <w:szCs w:val="48"/>
        </w:rPr>
      </w:pPr>
    </w:p>
    <w:p w14:paraId="2CB45D64" w14:textId="3A86DF7A" w:rsidR="00767EC2" w:rsidRDefault="00416956" w:rsidP="00416956">
      <w:pPr>
        <w:spacing w:before="120" w:after="120" w:line="240" w:lineRule="auto"/>
        <w:jc w:val="center"/>
        <w:rPr>
          <w:rFonts w:eastAsia="MS Gothic" w:cstheme="minorHAnsi"/>
          <w:b/>
          <w:color w:val="003759" w:themeColor="accent3" w:themeShade="BF"/>
          <w:sz w:val="40"/>
          <w:szCs w:val="72"/>
        </w:rPr>
      </w:pPr>
      <w:r>
        <w:rPr>
          <w:rFonts w:eastAsia="MS Gothic" w:cstheme="minorHAnsi"/>
          <w:b/>
          <w:color w:val="003759" w:themeColor="accent3" w:themeShade="BF"/>
          <w:sz w:val="28"/>
          <w:szCs w:val="48"/>
        </w:rPr>
        <w:t>F</w:t>
      </w:r>
      <w:r w:rsidR="00767EC2" w:rsidRPr="00C0657D">
        <w:rPr>
          <w:rFonts w:eastAsia="MS Gothic" w:cstheme="minorHAnsi"/>
          <w:b/>
          <w:color w:val="003759" w:themeColor="accent3" w:themeShade="BF"/>
          <w:sz w:val="28"/>
          <w:szCs w:val="48"/>
        </w:rPr>
        <w:t>or</w:t>
      </w:r>
    </w:p>
    <w:p w14:paraId="15BDCD65" w14:textId="77777777" w:rsidR="00416956" w:rsidRDefault="00416956" w:rsidP="00416956">
      <w:pPr>
        <w:spacing w:before="120" w:after="120" w:line="240" w:lineRule="auto"/>
        <w:jc w:val="center"/>
        <w:rPr>
          <w:rFonts w:eastAsia="MS Gothic" w:cstheme="minorHAnsi"/>
          <w:b/>
          <w:color w:val="003759" w:themeColor="accent3" w:themeShade="BF"/>
          <w:sz w:val="40"/>
          <w:szCs w:val="72"/>
        </w:rPr>
      </w:pPr>
    </w:p>
    <w:p w14:paraId="1E6F992D" w14:textId="578E440F" w:rsidR="00767EC2" w:rsidRPr="00EA32DD" w:rsidRDefault="00416956" w:rsidP="00767EC2">
      <w:pPr>
        <w:spacing w:before="120" w:after="120" w:line="240" w:lineRule="auto"/>
        <w:jc w:val="center"/>
        <w:rPr>
          <w:rFonts w:eastAsia="MS Gothic" w:cstheme="minorHAnsi"/>
          <w:b/>
          <w:color w:val="003759" w:themeColor="accent3" w:themeShade="BF"/>
          <w:sz w:val="40"/>
          <w:szCs w:val="72"/>
        </w:rPr>
      </w:pPr>
      <w:r>
        <w:rPr>
          <w:noProof/>
          <w:color w:val="000000"/>
          <w:sz w:val="20"/>
          <w:szCs w:val="20"/>
        </w:rPr>
        <w:drawing>
          <wp:inline distT="0" distB="0" distL="0" distR="0" wp14:anchorId="07D5D5D5" wp14:editId="17DDCEEE">
            <wp:extent cx="2065020" cy="388620"/>
            <wp:effectExtent l="0" t="0" r="0" b="0"/>
            <wp:docPr id="7743337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33770"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2065020" cy="388620"/>
                    </a:xfrm>
                    <a:prstGeom prst="rect">
                      <a:avLst/>
                    </a:prstGeom>
                  </pic:spPr>
                </pic:pic>
              </a:graphicData>
            </a:graphic>
          </wp:inline>
        </w:drawing>
      </w:r>
    </w:p>
    <w:p w14:paraId="606F25AF" w14:textId="77777777" w:rsidR="00767EC2" w:rsidRPr="005E5987" w:rsidRDefault="00767EC2" w:rsidP="00416956">
      <w:pPr>
        <w:spacing w:before="120" w:after="120" w:line="240" w:lineRule="auto"/>
        <w:rPr>
          <w:rFonts w:ascii="Calibri" w:eastAsia="Calibri" w:hAnsi="Calibri" w:cs="Times New Roman"/>
          <w:color w:val="1C1C1C"/>
        </w:rPr>
      </w:pPr>
    </w:p>
    <w:p w14:paraId="4EC2C2B8" w14:textId="3626EB93" w:rsidR="005E5987" w:rsidRPr="00DE4952" w:rsidRDefault="009D61E7" w:rsidP="00177341">
      <w:pPr>
        <w:spacing w:before="120" w:after="120" w:line="240" w:lineRule="auto"/>
        <w:jc w:val="center"/>
        <w:rPr>
          <w:rFonts w:eastAsia="Calibri" w:cstheme="minorHAnsi"/>
          <w:color w:val="003759" w:themeColor="accent3" w:themeShade="BF"/>
        </w:rPr>
      </w:pPr>
      <w:r>
        <w:rPr>
          <w:rFonts w:eastAsia="Calibri" w:cstheme="minorHAnsi"/>
          <w:color w:val="003759" w:themeColor="accent3" w:themeShade="BF"/>
        </w:rPr>
        <w:t>April</w:t>
      </w:r>
      <w:r w:rsidR="00416956">
        <w:rPr>
          <w:rFonts w:eastAsia="Calibri" w:cstheme="minorHAnsi"/>
          <w:color w:val="003759" w:themeColor="accent3" w:themeShade="BF"/>
        </w:rPr>
        <w:t xml:space="preserve"> 2026</w:t>
      </w:r>
    </w:p>
    <w:p w14:paraId="364A5D10" w14:textId="1CFB1740" w:rsidR="00767EC2" w:rsidRDefault="00782982" w:rsidP="00845F62">
      <w:r w:rsidRPr="00EA32DD">
        <w:rPr>
          <w:rFonts w:cstheme="minorHAnsi"/>
          <w:noProof/>
        </w:rPr>
        <mc:AlternateContent>
          <mc:Choice Requires="wps">
            <w:drawing>
              <wp:anchor distT="0" distB="0" distL="114300" distR="114300" simplePos="0" relativeHeight="251658240" behindDoc="0" locked="0" layoutInCell="1" allowOverlap="1" wp14:anchorId="5D37EB2F" wp14:editId="60C9BAD0">
                <wp:simplePos x="0" y="0"/>
                <wp:positionH relativeFrom="column">
                  <wp:posOffset>152400</wp:posOffset>
                </wp:positionH>
                <wp:positionV relativeFrom="paragraph">
                  <wp:posOffset>66040</wp:posOffset>
                </wp:positionV>
                <wp:extent cx="5500369" cy="1172844"/>
                <wp:effectExtent l="0" t="0" r="5715" b="889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0369" cy="1172844"/>
                        </a:xfrm>
                        <a:prstGeom prst="rect">
                          <a:avLst/>
                        </a:prstGeom>
                        <a:solidFill>
                          <a:srgbClr val="FFFFFF"/>
                        </a:solidFill>
                        <a:ln w="9525">
                          <a:noFill/>
                          <a:miter lim="800000"/>
                          <a:headEnd/>
                          <a:tailEnd/>
                        </a:ln>
                      </wps:spPr>
                      <wps:txbx>
                        <w:txbxContent>
                          <w:p w14:paraId="1F72019D" w14:textId="77777777" w:rsidR="00767EC2" w:rsidRPr="00D15C03" w:rsidRDefault="00767EC2" w:rsidP="00767EC2">
                            <w:pPr>
                              <w:pStyle w:val="Header"/>
                              <w:jc w:val="center"/>
                              <w:rPr>
                                <w:rFonts w:cstheme="minorHAnsi"/>
                                <w:b/>
                                <w:bCs/>
                                <w:color w:val="698973"/>
                                <w:sz w:val="20"/>
                                <w:szCs w:val="20"/>
                              </w:rPr>
                            </w:pPr>
                            <w:r w:rsidRPr="00D15C03">
                              <w:rPr>
                                <w:rFonts w:cstheme="minorHAnsi"/>
                                <w:b/>
                                <w:bCs/>
                                <w:color w:val="698973"/>
                                <w:sz w:val="20"/>
                                <w:szCs w:val="20"/>
                              </w:rPr>
                              <w:t>Energy Market and Rates Consultants Limited</w:t>
                            </w:r>
                          </w:p>
                          <w:p w14:paraId="73B499E8" w14:textId="77777777" w:rsidR="00767EC2" w:rsidRPr="00D15C03" w:rsidRDefault="00767EC2" w:rsidP="00767EC2">
                            <w:pPr>
                              <w:pStyle w:val="Header"/>
                              <w:jc w:val="center"/>
                              <w:rPr>
                                <w:rFonts w:cstheme="minorHAnsi"/>
                                <w:color w:val="698973"/>
                                <w:sz w:val="20"/>
                                <w:szCs w:val="20"/>
                              </w:rPr>
                            </w:pPr>
                            <w:r w:rsidRPr="00D15C03">
                              <w:rPr>
                                <w:rFonts w:cstheme="minorHAnsi"/>
                                <w:color w:val="698973"/>
                                <w:sz w:val="20"/>
                                <w:szCs w:val="20"/>
                              </w:rPr>
                              <w:t>Suite 217-219, Plot 1099</w:t>
                            </w:r>
                          </w:p>
                          <w:p w14:paraId="72814A1F" w14:textId="77777777" w:rsidR="00767EC2" w:rsidRPr="00D15C03" w:rsidRDefault="00767EC2" w:rsidP="00767EC2">
                            <w:pPr>
                              <w:pStyle w:val="Header"/>
                              <w:jc w:val="center"/>
                              <w:rPr>
                                <w:rFonts w:cstheme="minorHAnsi"/>
                                <w:color w:val="698973"/>
                                <w:sz w:val="20"/>
                                <w:szCs w:val="20"/>
                              </w:rPr>
                            </w:pPr>
                            <w:r w:rsidRPr="00D15C03">
                              <w:rPr>
                                <w:rFonts w:cstheme="minorHAnsi"/>
                                <w:color w:val="698973"/>
                                <w:sz w:val="20"/>
                                <w:szCs w:val="20"/>
                              </w:rPr>
                              <w:t>Adamawa Plaza</w:t>
                            </w:r>
                          </w:p>
                          <w:p w14:paraId="65057661" w14:textId="77777777" w:rsidR="00767EC2" w:rsidRPr="00D15C03" w:rsidRDefault="00767EC2" w:rsidP="00767EC2">
                            <w:pPr>
                              <w:pStyle w:val="Header"/>
                              <w:jc w:val="center"/>
                              <w:rPr>
                                <w:rFonts w:cstheme="minorHAnsi"/>
                                <w:color w:val="698973"/>
                                <w:sz w:val="20"/>
                                <w:szCs w:val="20"/>
                              </w:rPr>
                            </w:pPr>
                            <w:r w:rsidRPr="00D15C03">
                              <w:rPr>
                                <w:rFonts w:cstheme="minorHAnsi"/>
                                <w:color w:val="698973"/>
                                <w:sz w:val="20"/>
                                <w:szCs w:val="20"/>
                              </w:rPr>
                              <w:t>Central Business District</w:t>
                            </w:r>
                          </w:p>
                          <w:p w14:paraId="1D9B4F77" w14:textId="77777777" w:rsidR="00767EC2" w:rsidRPr="00D15C03" w:rsidRDefault="00767EC2" w:rsidP="00767EC2">
                            <w:pPr>
                              <w:pStyle w:val="Header"/>
                              <w:jc w:val="center"/>
                              <w:rPr>
                                <w:rFonts w:cstheme="minorHAnsi"/>
                                <w:color w:val="698973"/>
                                <w:sz w:val="20"/>
                                <w:szCs w:val="20"/>
                                <w:lang w:val="de-DE"/>
                              </w:rPr>
                            </w:pPr>
                            <w:r w:rsidRPr="00D15C03">
                              <w:rPr>
                                <w:rFonts w:cstheme="minorHAnsi"/>
                                <w:color w:val="698973"/>
                                <w:sz w:val="20"/>
                                <w:szCs w:val="20"/>
                                <w:lang w:val="de-DE"/>
                              </w:rPr>
                              <w:t xml:space="preserve">Abuja, FCT </w:t>
                            </w:r>
                          </w:p>
                          <w:p w14:paraId="6A44551B" w14:textId="77777777" w:rsidR="00767EC2" w:rsidRPr="00D15C03" w:rsidRDefault="00767EC2" w:rsidP="00767EC2">
                            <w:pPr>
                              <w:pStyle w:val="Header"/>
                              <w:jc w:val="center"/>
                              <w:rPr>
                                <w:rFonts w:cstheme="minorHAnsi"/>
                                <w:color w:val="698973"/>
                                <w:sz w:val="20"/>
                                <w:szCs w:val="20"/>
                                <w:lang w:val="de-DE"/>
                              </w:rPr>
                            </w:pPr>
                            <w:r w:rsidRPr="00D15C03">
                              <w:rPr>
                                <w:rFonts w:cstheme="minorHAnsi"/>
                                <w:color w:val="698973"/>
                                <w:sz w:val="20"/>
                                <w:szCs w:val="20"/>
                                <w:lang w:val="de-DE"/>
                              </w:rPr>
                              <w:t xml:space="preserve">E: </w:t>
                            </w:r>
                            <w:hyperlink r:id="rId12" w:history="1">
                              <w:r w:rsidRPr="00D15C03">
                                <w:rPr>
                                  <w:rFonts w:cstheme="minorHAnsi"/>
                                  <w:color w:val="698973"/>
                                  <w:sz w:val="20"/>
                                  <w:szCs w:val="20"/>
                                  <w:lang w:val="de-DE"/>
                                </w:rPr>
                                <w:t>mail@energy-mrc.com</w:t>
                              </w:r>
                            </w:hyperlink>
                          </w:p>
                          <w:p w14:paraId="5A81D495" w14:textId="77777777" w:rsidR="00767EC2" w:rsidRPr="00D15C03" w:rsidRDefault="00767EC2" w:rsidP="00767EC2">
                            <w:pPr>
                              <w:pStyle w:val="Header"/>
                              <w:jc w:val="center"/>
                              <w:rPr>
                                <w:rFonts w:cstheme="minorHAnsi"/>
                                <w:color w:val="698973"/>
                                <w:sz w:val="20"/>
                                <w:szCs w:val="20"/>
                              </w:rPr>
                            </w:pPr>
                            <w:r w:rsidRPr="00D15C03">
                              <w:rPr>
                                <w:rFonts w:cstheme="minorHAnsi"/>
                                <w:color w:val="698973"/>
                                <w:sz w:val="20"/>
                                <w:szCs w:val="20"/>
                              </w:rPr>
                              <w:t>W: www.energy-mrc.com</w:t>
                            </w:r>
                          </w:p>
                          <w:p w14:paraId="41C547EC" w14:textId="77777777" w:rsidR="00767EC2" w:rsidRPr="00D15C03" w:rsidRDefault="00767EC2" w:rsidP="00767EC2">
                            <w:pPr>
                              <w:pStyle w:val="Header"/>
                              <w:jc w:val="right"/>
                              <w:rPr>
                                <w:rFonts w:cstheme="minorHAnsi"/>
                                <w:color w:val="698973"/>
                                <w:sz w:val="20"/>
                                <w:szCs w:val="20"/>
                              </w:rPr>
                            </w:pPr>
                          </w:p>
                          <w:p w14:paraId="486502DF" w14:textId="77777777" w:rsidR="00767EC2" w:rsidRPr="00D15C03" w:rsidRDefault="00767EC2" w:rsidP="00767EC2">
                            <w:pPr>
                              <w:pStyle w:val="Header"/>
                              <w:jc w:val="right"/>
                              <w:rPr>
                                <w:rFonts w:cstheme="minorHAnsi"/>
                                <w:color w:val="698973"/>
                                <w:sz w:val="20"/>
                                <w:szCs w:val="20"/>
                              </w:rPr>
                            </w:pPr>
                            <w:r w:rsidRPr="00D15C03">
                              <w:rPr>
                                <w:rFonts w:cstheme="minorHAnsi"/>
                                <w:color w:val="698973"/>
                                <w:sz w:val="20"/>
                                <w:szCs w:val="20"/>
                              </w:rPr>
                              <w:t>www.energy-mrc.com</w:t>
                            </w:r>
                          </w:p>
                          <w:p w14:paraId="662C128E" w14:textId="77777777" w:rsidR="00767EC2" w:rsidRPr="00D15C03" w:rsidRDefault="00767EC2" w:rsidP="00767EC2">
                            <w:pPr>
                              <w:rPr>
                                <w:rFonts w:cstheme="minorHAnsi"/>
                                <w:sz w:val="20"/>
                                <w:szCs w:val="20"/>
                              </w:rPr>
                            </w:pP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type w14:anchorId="5D37EB2F" id="_x0000_t202" coordsize="21600,21600" o:spt="202" path="m,l,21600r21600,l21600,xe">
                <v:stroke joinstyle="miter"/>
                <v:path gradientshapeok="t" o:connecttype="rect"/>
              </v:shapetype>
              <v:shape id="Text Box 1" o:spid="_x0000_s1026" type="#_x0000_t202" style="position:absolute;margin-left:12pt;margin-top:5.2pt;width:433.1pt;height:92.35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" stroked="f">
                <v:textbox>
                  <w:txbxContent>
                    <w:p w14:paraId="1F72019D" w14:textId="77777777" w:rsidR="00767EC2" w:rsidRPr="00D15C03" w:rsidRDefault="00767EC2" w:rsidP="00767EC2">
                      <w:pPr>
                        <w:pStyle w:val="Header"/>
                        <w:jc w:val="center"/>
                        <w:rPr>
                          <w:rFonts w:cstheme="minorHAnsi"/>
                          <w:b/>
                          <w:bCs/>
                          <w:color w:val="698973"/>
                          <w:sz w:val="20"/>
                          <w:szCs w:val="20"/>
                        </w:rPr>
                      </w:pPr>
                      <w:r w:rsidRPr="00D15C03">
                        <w:rPr>
                          <w:rFonts w:cstheme="minorHAnsi"/>
                          <w:b/>
                          <w:bCs/>
                          <w:color w:val="698973"/>
                          <w:sz w:val="20"/>
                          <w:szCs w:val="20"/>
                        </w:rPr>
                        <w:t>Energy Market and Rates Consultants Limited</w:t>
                      </w:r>
                    </w:p>
                    <w:p w14:paraId="73B499E8" w14:textId="77777777" w:rsidR="00767EC2" w:rsidRPr="00D15C03" w:rsidRDefault="00767EC2" w:rsidP="00767EC2">
                      <w:pPr>
                        <w:pStyle w:val="Header"/>
                        <w:jc w:val="center"/>
                        <w:rPr>
                          <w:rFonts w:cstheme="minorHAnsi"/>
                          <w:color w:val="698973"/>
                          <w:sz w:val="20"/>
                          <w:szCs w:val="20"/>
                        </w:rPr>
                      </w:pPr>
                      <w:r w:rsidRPr="00D15C03">
                        <w:rPr>
                          <w:rFonts w:cstheme="minorHAnsi"/>
                          <w:color w:val="698973"/>
                          <w:sz w:val="20"/>
                          <w:szCs w:val="20"/>
                        </w:rPr>
                        <w:t>Suite 217-219, Plot 1099</w:t>
                      </w:r>
                    </w:p>
                    <w:p w14:paraId="72814A1F" w14:textId="77777777" w:rsidR="00767EC2" w:rsidRPr="00D15C03" w:rsidRDefault="00767EC2" w:rsidP="00767EC2">
                      <w:pPr>
                        <w:pStyle w:val="Header"/>
                        <w:jc w:val="center"/>
                        <w:rPr>
                          <w:rFonts w:cstheme="minorHAnsi"/>
                          <w:color w:val="698973"/>
                          <w:sz w:val="20"/>
                          <w:szCs w:val="20"/>
                        </w:rPr>
                      </w:pPr>
                      <w:r w:rsidRPr="00D15C03">
                        <w:rPr>
                          <w:rFonts w:cstheme="minorHAnsi"/>
                          <w:color w:val="698973"/>
                          <w:sz w:val="20"/>
                          <w:szCs w:val="20"/>
                        </w:rPr>
                        <w:t>Adamawa Plaza</w:t>
                      </w:r>
                    </w:p>
                    <w:p w14:paraId="65057661" w14:textId="77777777" w:rsidR="00767EC2" w:rsidRPr="00D15C03" w:rsidRDefault="00767EC2" w:rsidP="00767EC2">
                      <w:pPr>
                        <w:pStyle w:val="Header"/>
                        <w:jc w:val="center"/>
                        <w:rPr>
                          <w:rFonts w:cstheme="minorHAnsi"/>
                          <w:color w:val="698973"/>
                          <w:sz w:val="20"/>
                          <w:szCs w:val="20"/>
                        </w:rPr>
                      </w:pPr>
                      <w:r w:rsidRPr="00D15C03">
                        <w:rPr>
                          <w:rFonts w:cstheme="minorHAnsi"/>
                          <w:color w:val="698973"/>
                          <w:sz w:val="20"/>
                          <w:szCs w:val="20"/>
                        </w:rPr>
                        <w:t>Central Business District</w:t>
                      </w:r>
                    </w:p>
                    <w:p w14:paraId="1D9B4F77" w14:textId="77777777" w:rsidR="00767EC2" w:rsidRPr="00D15C03" w:rsidRDefault="00767EC2" w:rsidP="00767EC2">
                      <w:pPr>
                        <w:pStyle w:val="Header"/>
                        <w:jc w:val="center"/>
                        <w:rPr>
                          <w:rFonts w:cstheme="minorHAnsi"/>
                          <w:color w:val="698973"/>
                          <w:sz w:val="20"/>
                          <w:szCs w:val="20"/>
                          <w:lang w:val="de-DE"/>
                        </w:rPr>
                      </w:pPr>
                      <w:r w:rsidRPr="00D15C03">
                        <w:rPr>
                          <w:rFonts w:cstheme="minorHAnsi"/>
                          <w:color w:val="698973"/>
                          <w:sz w:val="20"/>
                          <w:szCs w:val="20"/>
                          <w:lang w:val="de-DE"/>
                        </w:rPr>
                        <w:t xml:space="preserve">Abuja, FCT </w:t>
                      </w:r>
                    </w:p>
                    <w:p w14:paraId="6A44551B" w14:textId="77777777" w:rsidR="00767EC2" w:rsidRPr="00D15C03" w:rsidRDefault="00767EC2" w:rsidP="00767EC2">
                      <w:pPr>
                        <w:pStyle w:val="Header"/>
                        <w:jc w:val="center"/>
                        <w:rPr>
                          <w:rFonts w:cstheme="minorHAnsi"/>
                          <w:color w:val="698973"/>
                          <w:sz w:val="20"/>
                          <w:szCs w:val="20"/>
                          <w:lang w:val="de-DE"/>
                        </w:rPr>
                      </w:pPr>
                      <w:r w:rsidRPr="00D15C03">
                        <w:rPr>
                          <w:rFonts w:cstheme="minorHAnsi"/>
                          <w:color w:val="698973"/>
                          <w:sz w:val="20"/>
                          <w:szCs w:val="20"/>
                          <w:lang w:val="de-DE"/>
                        </w:rPr>
                        <w:t xml:space="preserve">E: </w:t>
                      </w:r>
                      <w:hyperlink r:id="rId13" w:history="1">
                        <w:r w:rsidRPr="00D15C03">
                          <w:rPr>
                            <w:rFonts w:cstheme="minorHAnsi"/>
                            <w:color w:val="698973"/>
                            <w:sz w:val="20"/>
                            <w:szCs w:val="20"/>
                            <w:lang w:val="de-DE"/>
                          </w:rPr>
                          <w:t>mail@energy-mrc.com</w:t>
                        </w:r>
                      </w:hyperlink>
                    </w:p>
                    <w:p w14:paraId="5A81D495" w14:textId="77777777" w:rsidR="00767EC2" w:rsidRPr="00D15C03" w:rsidRDefault="00767EC2" w:rsidP="00767EC2">
                      <w:pPr>
                        <w:pStyle w:val="Header"/>
                        <w:jc w:val="center"/>
                        <w:rPr>
                          <w:rFonts w:cstheme="minorHAnsi"/>
                          <w:color w:val="698973"/>
                          <w:sz w:val="20"/>
                          <w:szCs w:val="20"/>
                        </w:rPr>
                      </w:pPr>
                      <w:r w:rsidRPr="00D15C03">
                        <w:rPr>
                          <w:rFonts w:cstheme="minorHAnsi"/>
                          <w:color w:val="698973"/>
                          <w:sz w:val="20"/>
                          <w:szCs w:val="20"/>
                        </w:rPr>
                        <w:t>W: www.energy-mrc.com</w:t>
                      </w:r>
                    </w:p>
                    <w:p w14:paraId="41C547EC" w14:textId="77777777" w:rsidR="00767EC2" w:rsidRPr="00D15C03" w:rsidRDefault="00767EC2" w:rsidP="00767EC2">
                      <w:pPr>
                        <w:pStyle w:val="Header"/>
                        <w:jc w:val="right"/>
                        <w:rPr>
                          <w:rFonts w:cstheme="minorHAnsi"/>
                          <w:color w:val="698973"/>
                          <w:sz w:val="20"/>
                          <w:szCs w:val="20"/>
                        </w:rPr>
                      </w:pPr>
                    </w:p>
                    <w:p w14:paraId="486502DF" w14:textId="77777777" w:rsidR="00767EC2" w:rsidRPr="00D15C03" w:rsidRDefault="00767EC2" w:rsidP="00767EC2">
                      <w:pPr>
                        <w:pStyle w:val="Header"/>
                        <w:jc w:val="right"/>
                        <w:rPr>
                          <w:rFonts w:cstheme="minorHAnsi"/>
                          <w:color w:val="698973"/>
                          <w:sz w:val="20"/>
                          <w:szCs w:val="20"/>
                        </w:rPr>
                      </w:pPr>
                      <w:r w:rsidRPr="00D15C03">
                        <w:rPr>
                          <w:rFonts w:cstheme="minorHAnsi"/>
                          <w:color w:val="698973"/>
                          <w:sz w:val="20"/>
                          <w:szCs w:val="20"/>
                        </w:rPr>
                        <w:t>www.energy-mrc.com</w:t>
                      </w:r>
                    </w:p>
                    <w:p w14:paraId="662C128E" w14:textId="77777777" w:rsidR="00767EC2" w:rsidRPr="00D15C03" w:rsidRDefault="00767EC2" w:rsidP="00767EC2">
                      <w:pPr>
                        <w:rPr>
                          <w:rFonts w:cstheme="minorHAnsi"/>
                          <w:sz w:val="20"/>
                          <w:szCs w:val="20"/>
                        </w:rPr>
                      </w:pPr>
                    </w:p>
                  </w:txbxContent>
                </v:textbox>
              </v:shape>
            </w:pict>
          </mc:Fallback>
        </mc:AlternateContent>
      </w:r>
    </w:p>
    <w:p w14:paraId="1CD9630F" w14:textId="14E61ADD" w:rsidR="00767EC2" w:rsidRDefault="00767EC2" w:rsidP="00845F62"/>
    <w:p w14:paraId="11F9721D" w14:textId="77777777" w:rsidR="00767EC2" w:rsidRDefault="00767EC2" w:rsidP="00845F62"/>
    <w:p w14:paraId="4FCB3791" w14:textId="77777777" w:rsidR="00767EC2" w:rsidRDefault="00767EC2" w:rsidP="00845F62"/>
    <w:p w14:paraId="50728562" w14:textId="3ACCF1C7" w:rsidR="00767EC2" w:rsidRDefault="00767EC2" w:rsidP="00845F62"/>
    <w:p w14:paraId="0BBF5DD9" w14:textId="33D55387" w:rsidR="00782982" w:rsidRDefault="00F5613C" w:rsidP="00F5613C">
      <w:pPr>
        <w:ind w:hanging="1418"/>
      </w:pPr>
      <w:r>
        <w:rPr>
          <w:noProof/>
        </w:rPr>
        <w:drawing>
          <wp:inline distT="0" distB="0" distL="0" distR="0" wp14:anchorId="19F22A80" wp14:editId="6EB2C1BC">
            <wp:extent cx="7775575" cy="3733800"/>
            <wp:effectExtent l="0" t="0" r="0" b="0"/>
            <wp:docPr id="1255900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795875" cy="3743548"/>
                    </a:xfrm>
                    <a:prstGeom prst="rect">
                      <a:avLst/>
                    </a:prstGeom>
                    <a:noFill/>
                  </pic:spPr>
                </pic:pic>
              </a:graphicData>
            </a:graphic>
          </wp:inline>
        </w:drawing>
      </w:r>
    </w:p>
    <w:p w14:paraId="1FF305C1" w14:textId="751D6E4B" w:rsidR="002B3E70" w:rsidRDefault="002B3E70" w:rsidP="00845F62">
      <w:pPr>
        <w:sectPr w:rsidR="002B3E70" w:rsidSect="00D70C35">
          <w:headerReference w:type="default" r:id="rId15"/>
          <w:pgSz w:w="11906" w:h="16838"/>
          <w:pgMar w:top="2694" w:right="1440" w:bottom="0" w:left="1440" w:header="708" w:footer="708" w:gutter="0"/>
          <w:cols w:space="708"/>
          <w:docGrid w:linePitch="360"/>
        </w:sectPr>
      </w:pPr>
    </w:p>
    <w:p w14:paraId="4930869E" w14:textId="77777777" w:rsidR="008B72D3" w:rsidRPr="002C2D51" w:rsidRDefault="00B64AF2" w:rsidP="0099200E">
      <w:pPr>
        <w:pStyle w:val="Title"/>
        <w:rPr>
          <w:rFonts w:asciiTheme="minorHAnsi" w:hAnsiTheme="minorHAnsi" w:cstheme="minorHAnsi"/>
          <w:b/>
          <w:bCs/>
          <w:color w:val="00253C" w:themeColor="accent3" w:themeShade="80"/>
          <w:sz w:val="32"/>
          <w:szCs w:val="32"/>
        </w:rPr>
      </w:pPr>
      <w:r w:rsidRPr="002C2D51">
        <w:rPr>
          <w:rFonts w:asciiTheme="minorHAnsi" w:hAnsiTheme="minorHAnsi" w:cstheme="minorHAnsi"/>
          <w:b/>
          <w:bCs/>
          <w:color w:val="00253C" w:themeColor="accent3" w:themeShade="80"/>
          <w:sz w:val="32"/>
          <w:szCs w:val="32"/>
        </w:rPr>
        <w:lastRenderedPageBreak/>
        <w:t>Table of Contents</w:t>
      </w:r>
    </w:p>
    <w:p w14:paraId="65A93C81" w14:textId="77777777" w:rsidR="0099200E" w:rsidRPr="0099200E" w:rsidRDefault="0099200E" w:rsidP="0099200E"/>
    <w:p w14:paraId="11D94EC3" w14:textId="688C60F9" w:rsidR="002C5C74" w:rsidRDefault="000A0445">
      <w:pPr>
        <w:pStyle w:val="TOC1"/>
        <w:rPr>
          <w:rFonts w:eastAsiaTheme="minorEastAsia"/>
          <w:b w:val="0"/>
          <w:noProof/>
          <w:kern w:val="2"/>
          <w:sz w:val="24"/>
          <w:szCs w:val="24"/>
          <w:lang w:val="en-NG" w:eastAsia="en-NG"/>
          <w14:ligatures w14:val="standardContextual"/>
        </w:rPr>
      </w:pPr>
      <w:r>
        <w:rPr>
          <w:b w:val="0"/>
          <w:bCs/>
          <w:color w:val="004B78"/>
          <w:sz w:val="32"/>
          <w:szCs w:val="32"/>
        </w:rPr>
        <w:fldChar w:fldCharType="begin"/>
      </w:r>
      <w:r>
        <w:rPr>
          <w:b w:val="0"/>
          <w:bCs/>
          <w:color w:val="004B78"/>
          <w:sz w:val="32"/>
          <w:szCs w:val="32"/>
        </w:rPr>
        <w:instrText xml:space="preserve"> TOC \o "1-2" \h \z \t "Annex Heading 1,1,Annex Heading 2,2" </w:instrText>
      </w:r>
      <w:r>
        <w:rPr>
          <w:b w:val="0"/>
          <w:bCs/>
          <w:color w:val="004B78"/>
          <w:sz w:val="32"/>
          <w:szCs w:val="32"/>
        </w:rPr>
        <w:fldChar w:fldCharType="separate"/>
      </w:r>
      <w:hyperlink w:anchor="_Toc227601122" w:history="1">
        <w:r w:rsidR="002C5C74" w:rsidRPr="00FC3044">
          <w:rPr>
            <w:rStyle w:val="Hyperlink"/>
            <w:noProof/>
          </w:rPr>
          <w:t>Acronyms</w:t>
        </w:r>
        <w:r w:rsidR="002C5C74">
          <w:rPr>
            <w:noProof/>
            <w:webHidden/>
          </w:rPr>
          <w:tab/>
        </w:r>
        <w:r w:rsidR="002C5C74">
          <w:rPr>
            <w:noProof/>
            <w:webHidden/>
          </w:rPr>
          <w:fldChar w:fldCharType="begin"/>
        </w:r>
        <w:r w:rsidR="002C5C74">
          <w:rPr>
            <w:noProof/>
            <w:webHidden/>
          </w:rPr>
          <w:instrText xml:space="preserve"> PAGEREF _Toc227601122 \h </w:instrText>
        </w:r>
        <w:r w:rsidR="002C5C74">
          <w:rPr>
            <w:noProof/>
            <w:webHidden/>
          </w:rPr>
        </w:r>
        <w:r w:rsidR="002C5C74">
          <w:rPr>
            <w:noProof/>
            <w:webHidden/>
          </w:rPr>
          <w:fldChar w:fldCharType="separate"/>
        </w:r>
        <w:r w:rsidR="002C5C74">
          <w:rPr>
            <w:noProof/>
            <w:webHidden/>
          </w:rPr>
          <w:t>1</w:t>
        </w:r>
        <w:r w:rsidR="002C5C74">
          <w:rPr>
            <w:noProof/>
            <w:webHidden/>
          </w:rPr>
          <w:fldChar w:fldCharType="end"/>
        </w:r>
      </w:hyperlink>
    </w:p>
    <w:p w14:paraId="58AF42FD" w14:textId="4CFD19B9" w:rsidR="002C5C74" w:rsidRDefault="002C5C74">
      <w:pPr>
        <w:pStyle w:val="TOC1"/>
        <w:rPr>
          <w:rFonts w:eastAsiaTheme="minorEastAsia"/>
          <w:b w:val="0"/>
          <w:noProof/>
          <w:kern w:val="2"/>
          <w:sz w:val="24"/>
          <w:szCs w:val="24"/>
          <w:lang w:val="en-NG" w:eastAsia="en-NG"/>
          <w14:ligatures w14:val="standardContextual"/>
        </w:rPr>
      </w:pPr>
      <w:hyperlink w:anchor="_Toc227601123" w:history="1">
        <w:r w:rsidRPr="00FC3044">
          <w:rPr>
            <w:rStyle w:val="Hyperlink"/>
            <w:noProof/>
          </w:rPr>
          <w:t>1</w:t>
        </w:r>
        <w:r>
          <w:rPr>
            <w:rFonts w:eastAsiaTheme="minorEastAsia"/>
            <w:b w:val="0"/>
            <w:noProof/>
            <w:kern w:val="2"/>
            <w:sz w:val="24"/>
            <w:szCs w:val="24"/>
            <w:lang w:val="en-NG" w:eastAsia="en-NG"/>
            <w14:ligatures w14:val="standardContextual"/>
          </w:rPr>
          <w:tab/>
        </w:r>
        <w:r w:rsidRPr="00FC3044">
          <w:rPr>
            <w:rStyle w:val="Hyperlink"/>
            <w:noProof/>
          </w:rPr>
          <w:t>Executive Summary</w:t>
        </w:r>
        <w:r>
          <w:rPr>
            <w:noProof/>
            <w:webHidden/>
          </w:rPr>
          <w:tab/>
        </w:r>
        <w:r>
          <w:rPr>
            <w:noProof/>
            <w:webHidden/>
          </w:rPr>
          <w:fldChar w:fldCharType="begin"/>
        </w:r>
        <w:r>
          <w:rPr>
            <w:noProof/>
            <w:webHidden/>
          </w:rPr>
          <w:instrText xml:space="preserve"> PAGEREF _Toc227601123 \h </w:instrText>
        </w:r>
        <w:r>
          <w:rPr>
            <w:noProof/>
            <w:webHidden/>
          </w:rPr>
        </w:r>
        <w:r>
          <w:rPr>
            <w:noProof/>
            <w:webHidden/>
          </w:rPr>
          <w:fldChar w:fldCharType="separate"/>
        </w:r>
        <w:r>
          <w:rPr>
            <w:noProof/>
            <w:webHidden/>
          </w:rPr>
          <w:t>2</w:t>
        </w:r>
        <w:r>
          <w:rPr>
            <w:noProof/>
            <w:webHidden/>
          </w:rPr>
          <w:fldChar w:fldCharType="end"/>
        </w:r>
      </w:hyperlink>
    </w:p>
    <w:p w14:paraId="56A9CDEF" w14:textId="72FCAF57" w:rsidR="002C5C74" w:rsidRDefault="002C5C74">
      <w:pPr>
        <w:pStyle w:val="TOC2"/>
        <w:tabs>
          <w:tab w:val="left" w:pos="709"/>
          <w:tab w:val="right" w:leader="dot" w:pos="8494"/>
        </w:tabs>
        <w:rPr>
          <w:rFonts w:eastAsiaTheme="minorEastAsia"/>
          <w:noProof/>
          <w:kern w:val="2"/>
          <w:sz w:val="24"/>
          <w:szCs w:val="24"/>
          <w:lang w:val="en-NG" w:eastAsia="en-NG"/>
          <w14:ligatures w14:val="standardContextual"/>
        </w:rPr>
      </w:pPr>
      <w:hyperlink w:anchor="_Toc227601124" w:history="1">
        <w:r w:rsidRPr="00FC3044">
          <w:rPr>
            <w:rStyle w:val="Hyperlink"/>
            <w:noProof/>
          </w:rPr>
          <w:t>1.1</w:t>
        </w:r>
        <w:r>
          <w:rPr>
            <w:rFonts w:eastAsiaTheme="minorEastAsia"/>
            <w:noProof/>
            <w:kern w:val="2"/>
            <w:sz w:val="24"/>
            <w:szCs w:val="24"/>
            <w:lang w:val="en-NG" w:eastAsia="en-NG"/>
            <w14:ligatures w14:val="standardContextual"/>
          </w:rPr>
          <w:tab/>
        </w:r>
        <w:r w:rsidRPr="00FC3044">
          <w:rPr>
            <w:rStyle w:val="Hyperlink"/>
            <w:noProof/>
          </w:rPr>
          <w:t>Purpose of the Assignment</w:t>
        </w:r>
        <w:r>
          <w:rPr>
            <w:noProof/>
            <w:webHidden/>
          </w:rPr>
          <w:tab/>
        </w:r>
        <w:r>
          <w:rPr>
            <w:noProof/>
            <w:webHidden/>
          </w:rPr>
          <w:fldChar w:fldCharType="begin"/>
        </w:r>
        <w:r>
          <w:rPr>
            <w:noProof/>
            <w:webHidden/>
          </w:rPr>
          <w:instrText xml:space="preserve"> PAGEREF _Toc227601124 \h </w:instrText>
        </w:r>
        <w:r>
          <w:rPr>
            <w:noProof/>
            <w:webHidden/>
          </w:rPr>
        </w:r>
        <w:r>
          <w:rPr>
            <w:noProof/>
            <w:webHidden/>
          </w:rPr>
          <w:fldChar w:fldCharType="separate"/>
        </w:r>
        <w:r>
          <w:rPr>
            <w:noProof/>
            <w:webHidden/>
          </w:rPr>
          <w:t>2</w:t>
        </w:r>
        <w:r>
          <w:rPr>
            <w:noProof/>
            <w:webHidden/>
          </w:rPr>
          <w:fldChar w:fldCharType="end"/>
        </w:r>
      </w:hyperlink>
    </w:p>
    <w:p w14:paraId="4B4E247D" w14:textId="35F75550" w:rsidR="002C5C74" w:rsidRDefault="002C5C74">
      <w:pPr>
        <w:pStyle w:val="TOC2"/>
        <w:tabs>
          <w:tab w:val="left" w:pos="709"/>
          <w:tab w:val="right" w:leader="dot" w:pos="8494"/>
        </w:tabs>
        <w:rPr>
          <w:rFonts w:eastAsiaTheme="minorEastAsia"/>
          <w:noProof/>
          <w:kern w:val="2"/>
          <w:sz w:val="24"/>
          <w:szCs w:val="24"/>
          <w:lang w:val="en-NG" w:eastAsia="en-NG"/>
          <w14:ligatures w14:val="standardContextual"/>
        </w:rPr>
      </w:pPr>
      <w:hyperlink w:anchor="_Toc227601125" w:history="1">
        <w:r w:rsidRPr="00FC3044">
          <w:rPr>
            <w:rStyle w:val="Hyperlink"/>
            <w:noProof/>
          </w:rPr>
          <w:t>1.2</w:t>
        </w:r>
        <w:r>
          <w:rPr>
            <w:rFonts w:eastAsiaTheme="minorEastAsia"/>
            <w:noProof/>
            <w:kern w:val="2"/>
            <w:sz w:val="24"/>
            <w:szCs w:val="24"/>
            <w:lang w:val="en-NG" w:eastAsia="en-NG"/>
            <w14:ligatures w14:val="standardContextual"/>
          </w:rPr>
          <w:tab/>
        </w:r>
        <w:r w:rsidRPr="00FC3044">
          <w:rPr>
            <w:rStyle w:val="Hyperlink"/>
            <w:noProof/>
          </w:rPr>
          <w:t>Scope of Work</w:t>
        </w:r>
        <w:r>
          <w:rPr>
            <w:noProof/>
            <w:webHidden/>
          </w:rPr>
          <w:tab/>
        </w:r>
        <w:r>
          <w:rPr>
            <w:noProof/>
            <w:webHidden/>
          </w:rPr>
          <w:fldChar w:fldCharType="begin"/>
        </w:r>
        <w:r>
          <w:rPr>
            <w:noProof/>
            <w:webHidden/>
          </w:rPr>
          <w:instrText xml:space="preserve"> PAGEREF _Toc227601125 \h </w:instrText>
        </w:r>
        <w:r>
          <w:rPr>
            <w:noProof/>
            <w:webHidden/>
          </w:rPr>
        </w:r>
        <w:r>
          <w:rPr>
            <w:noProof/>
            <w:webHidden/>
          </w:rPr>
          <w:fldChar w:fldCharType="separate"/>
        </w:r>
        <w:r>
          <w:rPr>
            <w:noProof/>
            <w:webHidden/>
          </w:rPr>
          <w:t>2</w:t>
        </w:r>
        <w:r>
          <w:rPr>
            <w:noProof/>
            <w:webHidden/>
          </w:rPr>
          <w:fldChar w:fldCharType="end"/>
        </w:r>
      </w:hyperlink>
    </w:p>
    <w:p w14:paraId="0FDAA103" w14:textId="039BF0BF" w:rsidR="002C5C74" w:rsidRDefault="002C5C74">
      <w:pPr>
        <w:pStyle w:val="TOC2"/>
        <w:tabs>
          <w:tab w:val="left" w:pos="709"/>
          <w:tab w:val="right" w:leader="dot" w:pos="8494"/>
        </w:tabs>
        <w:rPr>
          <w:rFonts w:eastAsiaTheme="minorEastAsia"/>
          <w:noProof/>
          <w:kern w:val="2"/>
          <w:sz w:val="24"/>
          <w:szCs w:val="24"/>
          <w:lang w:val="en-NG" w:eastAsia="en-NG"/>
          <w14:ligatures w14:val="standardContextual"/>
        </w:rPr>
      </w:pPr>
      <w:hyperlink w:anchor="_Toc227601126" w:history="1">
        <w:r w:rsidRPr="00FC3044">
          <w:rPr>
            <w:rStyle w:val="Hyperlink"/>
            <w:noProof/>
          </w:rPr>
          <w:t>1.3</w:t>
        </w:r>
        <w:r>
          <w:rPr>
            <w:rFonts w:eastAsiaTheme="minorEastAsia"/>
            <w:noProof/>
            <w:kern w:val="2"/>
            <w:sz w:val="24"/>
            <w:szCs w:val="24"/>
            <w:lang w:val="en-NG" w:eastAsia="en-NG"/>
            <w14:ligatures w14:val="standardContextual"/>
          </w:rPr>
          <w:tab/>
        </w:r>
        <w:r w:rsidRPr="00FC3044">
          <w:rPr>
            <w:rStyle w:val="Hyperlink"/>
            <w:noProof/>
          </w:rPr>
          <w:t>Implementation Structure</w:t>
        </w:r>
        <w:r>
          <w:rPr>
            <w:noProof/>
            <w:webHidden/>
          </w:rPr>
          <w:tab/>
        </w:r>
        <w:r>
          <w:rPr>
            <w:noProof/>
            <w:webHidden/>
          </w:rPr>
          <w:fldChar w:fldCharType="begin"/>
        </w:r>
        <w:r>
          <w:rPr>
            <w:noProof/>
            <w:webHidden/>
          </w:rPr>
          <w:instrText xml:space="preserve"> PAGEREF _Toc227601126 \h </w:instrText>
        </w:r>
        <w:r>
          <w:rPr>
            <w:noProof/>
            <w:webHidden/>
          </w:rPr>
        </w:r>
        <w:r>
          <w:rPr>
            <w:noProof/>
            <w:webHidden/>
          </w:rPr>
          <w:fldChar w:fldCharType="separate"/>
        </w:r>
        <w:r>
          <w:rPr>
            <w:noProof/>
            <w:webHidden/>
          </w:rPr>
          <w:t>3</w:t>
        </w:r>
        <w:r>
          <w:rPr>
            <w:noProof/>
            <w:webHidden/>
          </w:rPr>
          <w:fldChar w:fldCharType="end"/>
        </w:r>
      </w:hyperlink>
    </w:p>
    <w:p w14:paraId="515F9C26" w14:textId="1F24BF2B" w:rsidR="002C5C74" w:rsidRDefault="002C5C74">
      <w:pPr>
        <w:pStyle w:val="TOC2"/>
        <w:tabs>
          <w:tab w:val="left" w:pos="709"/>
          <w:tab w:val="right" w:leader="dot" w:pos="8494"/>
        </w:tabs>
        <w:rPr>
          <w:rFonts w:eastAsiaTheme="minorEastAsia"/>
          <w:noProof/>
          <w:kern w:val="2"/>
          <w:sz w:val="24"/>
          <w:szCs w:val="24"/>
          <w:lang w:val="en-NG" w:eastAsia="en-NG"/>
          <w14:ligatures w14:val="standardContextual"/>
        </w:rPr>
      </w:pPr>
      <w:hyperlink w:anchor="_Toc227601127" w:history="1">
        <w:r w:rsidRPr="00FC3044">
          <w:rPr>
            <w:rStyle w:val="Hyperlink"/>
            <w:noProof/>
          </w:rPr>
          <w:t>1.4</w:t>
        </w:r>
        <w:r>
          <w:rPr>
            <w:rFonts w:eastAsiaTheme="minorEastAsia"/>
            <w:noProof/>
            <w:kern w:val="2"/>
            <w:sz w:val="24"/>
            <w:szCs w:val="24"/>
            <w:lang w:val="en-NG" w:eastAsia="en-NG"/>
            <w14:ligatures w14:val="standardContextual"/>
          </w:rPr>
          <w:tab/>
        </w:r>
        <w:r w:rsidRPr="00FC3044">
          <w:rPr>
            <w:rStyle w:val="Hyperlink"/>
            <w:noProof/>
          </w:rPr>
          <w:t>Key Deliverables</w:t>
        </w:r>
        <w:r>
          <w:rPr>
            <w:noProof/>
            <w:webHidden/>
          </w:rPr>
          <w:tab/>
        </w:r>
        <w:r>
          <w:rPr>
            <w:noProof/>
            <w:webHidden/>
          </w:rPr>
          <w:fldChar w:fldCharType="begin"/>
        </w:r>
        <w:r>
          <w:rPr>
            <w:noProof/>
            <w:webHidden/>
          </w:rPr>
          <w:instrText xml:space="preserve"> PAGEREF _Toc227601127 \h </w:instrText>
        </w:r>
        <w:r>
          <w:rPr>
            <w:noProof/>
            <w:webHidden/>
          </w:rPr>
        </w:r>
        <w:r>
          <w:rPr>
            <w:noProof/>
            <w:webHidden/>
          </w:rPr>
          <w:fldChar w:fldCharType="separate"/>
        </w:r>
        <w:r>
          <w:rPr>
            <w:noProof/>
            <w:webHidden/>
          </w:rPr>
          <w:t>5</w:t>
        </w:r>
        <w:r>
          <w:rPr>
            <w:noProof/>
            <w:webHidden/>
          </w:rPr>
          <w:fldChar w:fldCharType="end"/>
        </w:r>
      </w:hyperlink>
    </w:p>
    <w:p w14:paraId="5BF63026" w14:textId="61DB10A9" w:rsidR="002C5C74" w:rsidRDefault="002C5C74">
      <w:pPr>
        <w:pStyle w:val="TOC2"/>
        <w:tabs>
          <w:tab w:val="left" w:pos="709"/>
          <w:tab w:val="right" w:leader="dot" w:pos="8494"/>
        </w:tabs>
        <w:rPr>
          <w:rFonts w:eastAsiaTheme="minorEastAsia"/>
          <w:noProof/>
          <w:kern w:val="2"/>
          <w:sz w:val="24"/>
          <w:szCs w:val="24"/>
          <w:lang w:val="en-NG" w:eastAsia="en-NG"/>
          <w14:ligatures w14:val="standardContextual"/>
        </w:rPr>
      </w:pPr>
      <w:hyperlink w:anchor="_Toc227601128" w:history="1">
        <w:r w:rsidRPr="00FC3044">
          <w:rPr>
            <w:rStyle w:val="Hyperlink"/>
            <w:noProof/>
          </w:rPr>
          <w:t>1.5</w:t>
        </w:r>
        <w:r>
          <w:rPr>
            <w:rFonts w:eastAsiaTheme="minorEastAsia"/>
            <w:noProof/>
            <w:kern w:val="2"/>
            <w:sz w:val="24"/>
            <w:szCs w:val="24"/>
            <w:lang w:val="en-NG" w:eastAsia="en-NG"/>
            <w14:ligatures w14:val="standardContextual"/>
          </w:rPr>
          <w:tab/>
        </w:r>
        <w:r w:rsidRPr="00FC3044">
          <w:rPr>
            <w:rStyle w:val="Hyperlink"/>
            <w:noProof/>
          </w:rPr>
          <w:t>Timeline</w:t>
        </w:r>
        <w:r>
          <w:rPr>
            <w:noProof/>
            <w:webHidden/>
          </w:rPr>
          <w:tab/>
        </w:r>
        <w:r>
          <w:rPr>
            <w:noProof/>
            <w:webHidden/>
          </w:rPr>
          <w:fldChar w:fldCharType="begin"/>
        </w:r>
        <w:r>
          <w:rPr>
            <w:noProof/>
            <w:webHidden/>
          </w:rPr>
          <w:instrText xml:space="preserve"> PAGEREF _Toc227601128 \h </w:instrText>
        </w:r>
        <w:r>
          <w:rPr>
            <w:noProof/>
            <w:webHidden/>
          </w:rPr>
        </w:r>
        <w:r>
          <w:rPr>
            <w:noProof/>
            <w:webHidden/>
          </w:rPr>
          <w:fldChar w:fldCharType="separate"/>
        </w:r>
        <w:r>
          <w:rPr>
            <w:noProof/>
            <w:webHidden/>
          </w:rPr>
          <w:t>7</w:t>
        </w:r>
        <w:r>
          <w:rPr>
            <w:noProof/>
            <w:webHidden/>
          </w:rPr>
          <w:fldChar w:fldCharType="end"/>
        </w:r>
      </w:hyperlink>
    </w:p>
    <w:p w14:paraId="0EA2138D" w14:textId="26658AF3" w:rsidR="002C5C74" w:rsidRDefault="002C5C74">
      <w:pPr>
        <w:pStyle w:val="TOC2"/>
        <w:tabs>
          <w:tab w:val="left" w:pos="709"/>
          <w:tab w:val="right" w:leader="dot" w:pos="8494"/>
        </w:tabs>
        <w:rPr>
          <w:rFonts w:eastAsiaTheme="minorEastAsia"/>
          <w:noProof/>
          <w:kern w:val="2"/>
          <w:sz w:val="24"/>
          <w:szCs w:val="24"/>
          <w:lang w:val="en-NG" w:eastAsia="en-NG"/>
          <w14:ligatures w14:val="standardContextual"/>
        </w:rPr>
      </w:pPr>
      <w:hyperlink w:anchor="_Toc227601129" w:history="1">
        <w:r w:rsidRPr="00FC3044">
          <w:rPr>
            <w:rStyle w:val="Hyperlink"/>
            <w:noProof/>
          </w:rPr>
          <w:t>1.6</w:t>
        </w:r>
        <w:r>
          <w:rPr>
            <w:rFonts w:eastAsiaTheme="minorEastAsia"/>
            <w:noProof/>
            <w:kern w:val="2"/>
            <w:sz w:val="24"/>
            <w:szCs w:val="24"/>
            <w:lang w:val="en-NG" w:eastAsia="en-NG"/>
            <w14:ligatures w14:val="standardContextual"/>
          </w:rPr>
          <w:tab/>
        </w:r>
        <w:r w:rsidRPr="00FC3044">
          <w:rPr>
            <w:rStyle w:val="Hyperlink"/>
            <w:noProof/>
          </w:rPr>
          <w:t>Key Implementation Risks and Mitigation Measures</w:t>
        </w:r>
        <w:r>
          <w:rPr>
            <w:noProof/>
            <w:webHidden/>
          </w:rPr>
          <w:tab/>
        </w:r>
        <w:r>
          <w:rPr>
            <w:noProof/>
            <w:webHidden/>
          </w:rPr>
          <w:fldChar w:fldCharType="begin"/>
        </w:r>
        <w:r>
          <w:rPr>
            <w:noProof/>
            <w:webHidden/>
          </w:rPr>
          <w:instrText xml:space="preserve"> PAGEREF _Toc227601129 \h </w:instrText>
        </w:r>
        <w:r>
          <w:rPr>
            <w:noProof/>
            <w:webHidden/>
          </w:rPr>
        </w:r>
        <w:r>
          <w:rPr>
            <w:noProof/>
            <w:webHidden/>
          </w:rPr>
          <w:fldChar w:fldCharType="separate"/>
        </w:r>
        <w:r>
          <w:rPr>
            <w:noProof/>
            <w:webHidden/>
          </w:rPr>
          <w:t>8</w:t>
        </w:r>
        <w:r>
          <w:rPr>
            <w:noProof/>
            <w:webHidden/>
          </w:rPr>
          <w:fldChar w:fldCharType="end"/>
        </w:r>
      </w:hyperlink>
    </w:p>
    <w:p w14:paraId="7AD4B15B" w14:textId="59ED5525" w:rsidR="002C5C74" w:rsidRDefault="002C5C74">
      <w:pPr>
        <w:pStyle w:val="TOC1"/>
        <w:rPr>
          <w:rFonts w:eastAsiaTheme="minorEastAsia"/>
          <w:b w:val="0"/>
          <w:noProof/>
          <w:kern w:val="2"/>
          <w:sz w:val="24"/>
          <w:szCs w:val="24"/>
          <w:lang w:val="en-NG" w:eastAsia="en-NG"/>
          <w14:ligatures w14:val="standardContextual"/>
        </w:rPr>
      </w:pPr>
      <w:hyperlink w:anchor="_Toc227601130" w:history="1">
        <w:r w:rsidRPr="00FC3044">
          <w:rPr>
            <w:rStyle w:val="Hyperlink"/>
            <w:noProof/>
          </w:rPr>
          <w:t>2</w:t>
        </w:r>
        <w:r>
          <w:rPr>
            <w:rFonts w:eastAsiaTheme="minorEastAsia"/>
            <w:b w:val="0"/>
            <w:noProof/>
            <w:kern w:val="2"/>
            <w:sz w:val="24"/>
            <w:szCs w:val="24"/>
            <w:lang w:val="en-NG" w:eastAsia="en-NG"/>
            <w14:ligatures w14:val="standardContextual"/>
          </w:rPr>
          <w:tab/>
        </w:r>
        <w:r w:rsidRPr="00FC3044">
          <w:rPr>
            <w:rStyle w:val="Hyperlink"/>
            <w:noProof/>
          </w:rPr>
          <w:t>Introduction</w:t>
        </w:r>
        <w:r>
          <w:rPr>
            <w:noProof/>
            <w:webHidden/>
          </w:rPr>
          <w:tab/>
        </w:r>
        <w:r>
          <w:rPr>
            <w:noProof/>
            <w:webHidden/>
          </w:rPr>
          <w:fldChar w:fldCharType="begin"/>
        </w:r>
        <w:r>
          <w:rPr>
            <w:noProof/>
            <w:webHidden/>
          </w:rPr>
          <w:instrText xml:space="preserve"> PAGEREF _Toc227601130 \h </w:instrText>
        </w:r>
        <w:r>
          <w:rPr>
            <w:noProof/>
            <w:webHidden/>
          </w:rPr>
        </w:r>
        <w:r>
          <w:rPr>
            <w:noProof/>
            <w:webHidden/>
          </w:rPr>
          <w:fldChar w:fldCharType="separate"/>
        </w:r>
        <w:r>
          <w:rPr>
            <w:noProof/>
            <w:webHidden/>
          </w:rPr>
          <w:t>11</w:t>
        </w:r>
        <w:r>
          <w:rPr>
            <w:noProof/>
            <w:webHidden/>
          </w:rPr>
          <w:fldChar w:fldCharType="end"/>
        </w:r>
      </w:hyperlink>
    </w:p>
    <w:p w14:paraId="4CA4E58C" w14:textId="6BB4749E" w:rsidR="002C5C74" w:rsidRDefault="002C5C74">
      <w:pPr>
        <w:pStyle w:val="TOC2"/>
        <w:tabs>
          <w:tab w:val="left" w:pos="709"/>
          <w:tab w:val="right" w:leader="dot" w:pos="8494"/>
        </w:tabs>
        <w:rPr>
          <w:rFonts w:eastAsiaTheme="minorEastAsia"/>
          <w:noProof/>
          <w:kern w:val="2"/>
          <w:sz w:val="24"/>
          <w:szCs w:val="24"/>
          <w:lang w:val="en-NG" w:eastAsia="en-NG"/>
          <w14:ligatures w14:val="standardContextual"/>
        </w:rPr>
      </w:pPr>
      <w:hyperlink w:anchor="_Toc227601131" w:history="1">
        <w:r w:rsidRPr="00FC3044">
          <w:rPr>
            <w:rStyle w:val="Hyperlink"/>
            <w:noProof/>
          </w:rPr>
          <w:t>2.1</w:t>
        </w:r>
        <w:r>
          <w:rPr>
            <w:rFonts w:eastAsiaTheme="minorEastAsia"/>
            <w:noProof/>
            <w:kern w:val="2"/>
            <w:sz w:val="24"/>
            <w:szCs w:val="24"/>
            <w:lang w:val="en-NG" w:eastAsia="en-NG"/>
            <w14:ligatures w14:val="standardContextual"/>
          </w:rPr>
          <w:tab/>
        </w:r>
        <w:r w:rsidRPr="00FC3044">
          <w:rPr>
            <w:rStyle w:val="Hyperlink"/>
            <w:noProof/>
          </w:rPr>
          <w:t>Mission 300 and the Nigeria National Energy Compact</w:t>
        </w:r>
        <w:r>
          <w:rPr>
            <w:noProof/>
            <w:webHidden/>
          </w:rPr>
          <w:tab/>
        </w:r>
        <w:r>
          <w:rPr>
            <w:noProof/>
            <w:webHidden/>
          </w:rPr>
          <w:fldChar w:fldCharType="begin"/>
        </w:r>
        <w:r>
          <w:rPr>
            <w:noProof/>
            <w:webHidden/>
          </w:rPr>
          <w:instrText xml:space="preserve"> PAGEREF _Toc227601131 \h </w:instrText>
        </w:r>
        <w:r>
          <w:rPr>
            <w:noProof/>
            <w:webHidden/>
          </w:rPr>
        </w:r>
        <w:r>
          <w:rPr>
            <w:noProof/>
            <w:webHidden/>
          </w:rPr>
          <w:fldChar w:fldCharType="separate"/>
        </w:r>
        <w:r>
          <w:rPr>
            <w:noProof/>
            <w:webHidden/>
          </w:rPr>
          <w:t>11</w:t>
        </w:r>
        <w:r>
          <w:rPr>
            <w:noProof/>
            <w:webHidden/>
          </w:rPr>
          <w:fldChar w:fldCharType="end"/>
        </w:r>
      </w:hyperlink>
    </w:p>
    <w:p w14:paraId="6D06FE81" w14:textId="3BDA47E0" w:rsidR="002C5C74" w:rsidRDefault="002C5C74">
      <w:pPr>
        <w:pStyle w:val="TOC2"/>
        <w:tabs>
          <w:tab w:val="left" w:pos="709"/>
          <w:tab w:val="right" w:leader="dot" w:pos="8494"/>
        </w:tabs>
        <w:rPr>
          <w:rFonts w:eastAsiaTheme="minorEastAsia"/>
          <w:noProof/>
          <w:kern w:val="2"/>
          <w:sz w:val="24"/>
          <w:szCs w:val="24"/>
          <w:lang w:val="en-NG" w:eastAsia="en-NG"/>
          <w14:ligatures w14:val="standardContextual"/>
        </w:rPr>
      </w:pPr>
      <w:hyperlink w:anchor="_Toc227601132" w:history="1">
        <w:r w:rsidRPr="00FC3044">
          <w:rPr>
            <w:rStyle w:val="Hyperlink"/>
            <w:noProof/>
          </w:rPr>
          <w:t>2.2</w:t>
        </w:r>
        <w:r>
          <w:rPr>
            <w:rFonts w:eastAsiaTheme="minorEastAsia"/>
            <w:noProof/>
            <w:kern w:val="2"/>
            <w:sz w:val="24"/>
            <w:szCs w:val="24"/>
            <w:lang w:val="en-NG" w:eastAsia="en-NG"/>
            <w14:ligatures w14:val="standardContextual"/>
          </w:rPr>
          <w:tab/>
        </w:r>
        <w:r w:rsidRPr="00FC3044">
          <w:rPr>
            <w:rStyle w:val="Hyperlink"/>
            <w:noProof/>
          </w:rPr>
          <w:t>Need for an Integrated Monitoring Architecture</w:t>
        </w:r>
        <w:r>
          <w:rPr>
            <w:noProof/>
            <w:webHidden/>
          </w:rPr>
          <w:tab/>
        </w:r>
        <w:r>
          <w:rPr>
            <w:noProof/>
            <w:webHidden/>
          </w:rPr>
          <w:fldChar w:fldCharType="begin"/>
        </w:r>
        <w:r>
          <w:rPr>
            <w:noProof/>
            <w:webHidden/>
          </w:rPr>
          <w:instrText xml:space="preserve"> PAGEREF _Toc227601132 \h </w:instrText>
        </w:r>
        <w:r>
          <w:rPr>
            <w:noProof/>
            <w:webHidden/>
          </w:rPr>
        </w:r>
        <w:r>
          <w:rPr>
            <w:noProof/>
            <w:webHidden/>
          </w:rPr>
          <w:fldChar w:fldCharType="separate"/>
        </w:r>
        <w:r>
          <w:rPr>
            <w:noProof/>
            <w:webHidden/>
          </w:rPr>
          <w:t>11</w:t>
        </w:r>
        <w:r>
          <w:rPr>
            <w:noProof/>
            <w:webHidden/>
          </w:rPr>
          <w:fldChar w:fldCharType="end"/>
        </w:r>
      </w:hyperlink>
    </w:p>
    <w:p w14:paraId="405E821D" w14:textId="7B16DF5E" w:rsidR="002C5C74" w:rsidRDefault="002C5C74">
      <w:pPr>
        <w:pStyle w:val="TOC2"/>
        <w:tabs>
          <w:tab w:val="left" w:pos="709"/>
          <w:tab w:val="right" w:leader="dot" w:pos="8494"/>
        </w:tabs>
        <w:rPr>
          <w:rFonts w:eastAsiaTheme="minorEastAsia"/>
          <w:noProof/>
          <w:kern w:val="2"/>
          <w:sz w:val="24"/>
          <w:szCs w:val="24"/>
          <w:lang w:val="en-NG" w:eastAsia="en-NG"/>
          <w14:ligatures w14:val="standardContextual"/>
        </w:rPr>
      </w:pPr>
      <w:hyperlink w:anchor="_Toc227601133" w:history="1">
        <w:r w:rsidRPr="00FC3044">
          <w:rPr>
            <w:rStyle w:val="Hyperlink"/>
            <w:noProof/>
          </w:rPr>
          <w:t>2.3</w:t>
        </w:r>
        <w:r>
          <w:rPr>
            <w:rFonts w:eastAsiaTheme="minorEastAsia"/>
            <w:noProof/>
            <w:kern w:val="2"/>
            <w:sz w:val="24"/>
            <w:szCs w:val="24"/>
            <w:lang w:val="en-NG" w:eastAsia="en-NG"/>
            <w14:ligatures w14:val="standardContextual"/>
          </w:rPr>
          <w:tab/>
        </w:r>
        <w:r w:rsidRPr="00FC3044">
          <w:rPr>
            <w:rStyle w:val="Hyperlink"/>
            <w:noProof/>
          </w:rPr>
          <w:t>Institutional and Governance Framework</w:t>
        </w:r>
        <w:r>
          <w:rPr>
            <w:noProof/>
            <w:webHidden/>
          </w:rPr>
          <w:tab/>
        </w:r>
        <w:r>
          <w:rPr>
            <w:noProof/>
            <w:webHidden/>
          </w:rPr>
          <w:fldChar w:fldCharType="begin"/>
        </w:r>
        <w:r>
          <w:rPr>
            <w:noProof/>
            <w:webHidden/>
          </w:rPr>
          <w:instrText xml:space="preserve"> PAGEREF _Toc227601133 \h </w:instrText>
        </w:r>
        <w:r>
          <w:rPr>
            <w:noProof/>
            <w:webHidden/>
          </w:rPr>
        </w:r>
        <w:r>
          <w:rPr>
            <w:noProof/>
            <w:webHidden/>
          </w:rPr>
          <w:fldChar w:fldCharType="separate"/>
        </w:r>
        <w:r>
          <w:rPr>
            <w:noProof/>
            <w:webHidden/>
          </w:rPr>
          <w:t>12</w:t>
        </w:r>
        <w:r>
          <w:rPr>
            <w:noProof/>
            <w:webHidden/>
          </w:rPr>
          <w:fldChar w:fldCharType="end"/>
        </w:r>
      </w:hyperlink>
    </w:p>
    <w:p w14:paraId="04B27811" w14:textId="601B56E5" w:rsidR="002C5C74" w:rsidRDefault="002C5C74">
      <w:pPr>
        <w:pStyle w:val="TOC1"/>
        <w:rPr>
          <w:rFonts w:eastAsiaTheme="minorEastAsia"/>
          <w:b w:val="0"/>
          <w:noProof/>
          <w:kern w:val="2"/>
          <w:sz w:val="24"/>
          <w:szCs w:val="24"/>
          <w:lang w:val="en-NG" w:eastAsia="en-NG"/>
          <w14:ligatures w14:val="standardContextual"/>
        </w:rPr>
      </w:pPr>
      <w:hyperlink w:anchor="_Toc227601134" w:history="1">
        <w:r w:rsidRPr="00FC3044">
          <w:rPr>
            <w:rStyle w:val="Hyperlink"/>
            <w:noProof/>
          </w:rPr>
          <w:t>3</w:t>
        </w:r>
        <w:r>
          <w:rPr>
            <w:rFonts w:eastAsiaTheme="minorEastAsia"/>
            <w:b w:val="0"/>
            <w:noProof/>
            <w:kern w:val="2"/>
            <w:sz w:val="24"/>
            <w:szCs w:val="24"/>
            <w:lang w:val="en-NG" w:eastAsia="en-NG"/>
            <w14:ligatures w14:val="standardContextual"/>
          </w:rPr>
          <w:tab/>
        </w:r>
        <w:r w:rsidRPr="00FC3044">
          <w:rPr>
            <w:rStyle w:val="Hyperlink"/>
            <w:noProof/>
          </w:rPr>
          <w:t>Understanding of the Assignment</w:t>
        </w:r>
        <w:r>
          <w:rPr>
            <w:noProof/>
            <w:webHidden/>
          </w:rPr>
          <w:tab/>
        </w:r>
        <w:r>
          <w:rPr>
            <w:noProof/>
            <w:webHidden/>
          </w:rPr>
          <w:fldChar w:fldCharType="begin"/>
        </w:r>
        <w:r>
          <w:rPr>
            <w:noProof/>
            <w:webHidden/>
          </w:rPr>
          <w:instrText xml:space="preserve"> PAGEREF _Toc227601134 \h </w:instrText>
        </w:r>
        <w:r>
          <w:rPr>
            <w:noProof/>
            <w:webHidden/>
          </w:rPr>
        </w:r>
        <w:r>
          <w:rPr>
            <w:noProof/>
            <w:webHidden/>
          </w:rPr>
          <w:fldChar w:fldCharType="separate"/>
        </w:r>
        <w:r>
          <w:rPr>
            <w:noProof/>
            <w:webHidden/>
          </w:rPr>
          <w:t>13</w:t>
        </w:r>
        <w:r>
          <w:rPr>
            <w:noProof/>
            <w:webHidden/>
          </w:rPr>
          <w:fldChar w:fldCharType="end"/>
        </w:r>
      </w:hyperlink>
    </w:p>
    <w:p w14:paraId="4DB4DC5F" w14:textId="4ABABBBD" w:rsidR="002C5C74" w:rsidRDefault="002C5C74">
      <w:pPr>
        <w:pStyle w:val="TOC2"/>
        <w:tabs>
          <w:tab w:val="left" w:pos="709"/>
          <w:tab w:val="right" w:leader="dot" w:pos="8494"/>
        </w:tabs>
        <w:rPr>
          <w:rFonts w:eastAsiaTheme="minorEastAsia"/>
          <w:noProof/>
          <w:kern w:val="2"/>
          <w:sz w:val="24"/>
          <w:szCs w:val="24"/>
          <w:lang w:val="en-NG" w:eastAsia="en-NG"/>
          <w14:ligatures w14:val="standardContextual"/>
        </w:rPr>
      </w:pPr>
      <w:hyperlink w:anchor="_Toc227601135" w:history="1">
        <w:r w:rsidRPr="00FC3044">
          <w:rPr>
            <w:rStyle w:val="Hyperlink"/>
            <w:noProof/>
          </w:rPr>
          <w:t>3.1</w:t>
        </w:r>
        <w:r>
          <w:rPr>
            <w:rFonts w:eastAsiaTheme="minorEastAsia"/>
            <w:noProof/>
            <w:kern w:val="2"/>
            <w:sz w:val="24"/>
            <w:szCs w:val="24"/>
            <w:lang w:val="en-NG" w:eastAsia="en-NG"/>
            <w14:ligatures w14:val="standardContextual"/>
          </w:rPr>
          <w:tab/>
        </w:r>
        <w:r w:rsidRPr="00FC3044">
          <w:rPr>
            <w:rStyle w:val="Hyperlink"/>
            <w:noProof/>
          </w:rPr>
          <w:t>Nature of the Assignment</w:t>
        </w:r>
        <w:r>
          <w:rPr>
            <w:noProof/>
            <w:webHidden/>
          </w:rPr>
          <w:tab/>
        </w:r>
        <w:r>
          <w:rPr>
            <w:noProof/>
            <w:webHidden/>
          </w:rPr>
          <w:fldChar w:fldCharType="begin"/>
        </w:r>
        <w:r>
          <w:rPr>
            <w:noProof/>
            <w:webHidden/>
          </w:rPr>
          <w:instrText xml:space="preserve"> PAGEREF _Toc227601135 \h </w:instrText>
        </w:r>
        <w:r>
          <w:rPr>
            <w:noProof/>
            <w:webHidden/>
          </w:rPr>
        </w:r>
        <w:r>
          <w:rPr>
            <w:noProof/>
            <w:webHidden/>
          </w:rPr>
          <w:fldChar w:fldCharType="separate"/>
        </w:r>
        <w:r>
          <w:rPr>
            <w:noProof/>
            <w:webHidden/>
          </w:rPr>
          <w:t>13</w:t>
        </w:r>
        <w:r>
          <w:rPr>
            <w:noProof/>
            <w:webHidden/>
          </w:rPr>
          <w:fldChar w:fldCharType="end"/>
        </w:r>
      </w:hyperlink>
    </w:p>
    <w:p w14:paraId="2E770B32" w14:textId="26200E74" w:rsidR="002C5C74" w:rsidRDefault="002C5C74">
      <w:pPr>
        <w:pStyle w:val="TOC2"/>
        <w:tabs>
          <w:tab w:val="left" w:pos="709"/>
          <w:tab w:val="right" w:leader="dot" w:pos="8494"/>
        </w:tabs>
        <w:rPr>
          <w:rFonts w:eastAsiaTheme="minorEastAsia"/>
          <w:noProof/>
          <w:kern w:val="2"/>
          <w:sz w:val="24"/>
          <w:szCs w:val="24"/>
          <w:lang w:val="en-NG" w:eastAsia="en-NG"/>
          <w14:ligatures w14:val="standardContextual"/>
        </w:rPr>
      </w:pPr>
      <w:hyperlink w:anchor="_Toc227601136" w:history="1">
        <w:r w:rsidRPr="00FC3044">
          <w:rPr>
            <w:rStyle w:val="Hyperlink"/>
            <w:noProof/>
          </w:rPr>
          <w:t>3.2</w:t>
        </w:r>
        <w:r>
          <w:rPr>
            <w:rFonts w:eastAsiaTheme="minorEastAsia"/>
            <w:noProof/>
            <w:kern w:val="2"/>
            <w:sz w:val="24"/>
            <w:szCs w:val="24"/>
            <w:lang w:val="en-NG" w:eastAsia="en-NG"/>
            <w14:ligatures w14:val="standardContextual"/>
          </w:rPr>
          <w:tab/>
        </w:r>
        <w:r w:rsidRPr="00FC3044">
          <w:rPr>
            <w:rStyle w:val="Hyperlink"/>
            <w:noProof/>
          </w:rPr>
          <w:t>Monitoring Architecture Requirements</w:t>
        </w:r>
        <w:r>
          <w:rPr>
            <w:noProof/>
            <w:webHidden/>
          </w:rPr>
          <w:tab/>
        </w:r>
        <w:r>
          <w:rPr>
            <w:noProof/>
            <w:webHidden/>
          </w:rPr>
          <w:fldChar w:fldCharType="begin"/>
        </w:r>
        <w:r>
          <w:rPr>
            <w:noProof/>
            <w:webHidden/>
          </w:rPr>
          <w:instrText xml:space="preserve"> PAGEREF _Toc227601136 \h </w:instrText>
        </w:r>
        <w:r>
          <w:rPr>
            <w:noProof/>
            <w:webHidden/>
          </w:rPr>
        </w:r>
        <w:r>
          <w:rPr>
            <w:noProof/>
            <w:webHidden/>
          </w:rPr>
          <w:fldChar w:fldCharType="separate"/>
        </w:r>
        <w:r>
          <w:rPr>
            <w:noProof/>
            <w:webHidden/>
          </w:rPr>
          <w:t>13</w:t>
        </w:r>
        <w:r>
          <w:rPr>
            <w:noProof/>
            <w:webHidden/>
          </w:rPr>
          <w:fldChar w:fldCharType="end"/>
        </w:r>
      </w:hyperlink>
    </w:p>
    <w:p w14:paraId="27F5391C" w14:textId="7C5CE844" w:rsidR="002C5C74" w:rsidRDefault="002C5C74">
      <w:pPr>
        <w:pStyle w:val="TOC2"/>
        <w:tabs>
          <w:tab w:val="left" w:pos="709"/>
          <w:tab w:val="right" w:leader="dot" w:pos="8494"/>
        </w:tabs>
        <w:rPr>
          <w:rFonts w:eastAsiaTheme="minorEastAsia"/>
          <w:noProof/>
          <w:kern w:val="2"/>
          <w:sz w:val="24"/>
          <w:szCs w:val="24"/>
          <w:lang w:val="en-NG" w:eastAsia="en-NG"/>
          <w14:ligatures w14:val="standardContextual"/>
        </w:rPr>
      </w:pPr>
      <w:hyperlink w:anchor="_Toc227601137" w:history="1">
        <w:r w:rsidRPr="00FC3044">
          <w:rPr>
            <w:rStyle w:val="Hyperlink"/>
            <w:noProof/>
          </w:rPr>
          <w:t>3.3</w:t>
        </w:r>
        <w:r>
          <w:rPr>
            <w:rFonts w:eastAsiaTheme="minorEastAsia"/>
            <w:noProof/>
            <w:kern w:val="2"/>
            <w:sz w:val="24"/>
            <w:szCs w:val="24"/>
            <w:lang w:val="en-NG" w:eastAsia="en-NG"/>
            <w14:ligatures w14:val="standardContextual"/>
          </w:rPr>
          <w:tab/>
        </w:r>
        <w:r w:rsidRPr="00FC3044">
          <w:rPr>
            <w:rStyle w:val="Hyperlink"/>
            <w:noProof/>
          </w:rPr>
          <w:t>Data Integration and Governance Imperatives</w:t>
        </w:r>
        <w:r>
          <w:rPr>
            <w:noProof/>
            <w:webHidden/>
          </w:rPr>
          <w:tab/>
        </w:r>
        <w:r>
          <w:rPr>
            <w:noProof/>
            <w:webHidden/>
          </w:rPr>
          <w:fldChar w:fldCharType="begin"/>
        </w:r>
        <w:r>
          <w:rPr>
            <w:noProof/>
            <w:webHidden/>
          </w:rPr>
          <w:instrText xml:space="preserve"> PAGEREF _Toc227601137 \h </w:instrText>
        </w:r>
        <w:r>
          <w:rPr>
            <w:noProof/>
            <w:webHidden/>
          </w:rPr>
        </w:r>
        <w:r>
          <w:rPr>
            <w:noProof/>
            <w:webHidden/>
          </w:rPr>
          <w:fldChar w:fldCharType="separate"/>
        </w:r>
        <w:r>
          <w:rPr>
            <w:noProof/>
            <w:webHidden/>
          </w:rPr>
          <w:t>13</w:t>
        </w:r>
        <w:r>
          <w:rPr>
            <w:noProof/>
            <w:webHidden/>
          </w:rPr>
          <w:fldChar w:fldCharType="end"/>
        </w:r>
      </w:hyperlink>
    </w:p>
    <w:p w14:paraId="059CA6A4" w14:textId="39B0DA1D" w:rsidR="002C5C74" w:rsidRDefault="002C5C74">
      <w:pPr>
        <w:pStyle w:val="TOC2"/>
        <w:tabs>
          <w:tab w:val="left" w:pos="709"/>
          <w:tab w:val="right" w:leader="dot" w:pos="8494"/>
        </w:tabs>
        <w:rPr>
          <w:rFonts w:eastAsiaTheme="minorEastAsia"/>
          <w:noProof/>
          <w:kern w:val="2"/>
          <w:sz w:val="24"/>
          <w:szCs w:val="24"/>
          <w:lang w:val="en-NG" w:eastAsia="en-NG"/>
          <w14:ligatures w14:val="standardContextual"/>
        </w:rPr>
      </w:pPr>
      <w:hyperlink w:anchor="_Toc227601138" w:history="1">
        <w:r w:rsidRPr="00FC3044">
          <w:rPr>
            <w:rStyle w:val="Hyperlink"/>
            <w:noProof/>
          </w:rPr>
          <w:t>3.4</w:t>
        </w:r>
        <w:r>
          <w:rPr>
            <w:rFonts w:eastAsiaTheme="minorEastAsia"/>
            <w:noProof/>
            <w:kern w:val="2"/>
            <w:sz w:val="24"/>
            <w:szCs w:val="24"/>
            <w:lang w:val="en-NG" w:eastAsia="en-NG"/>
            <w14:ligatures w14:val="standardContextual"/>
          </w:rPr>
          <w:tab/>
        </w:r>
        <w:r w:rsidRPr="00FC3044">
          <w:rPr>
            <w:rStyle w:val="Hyperlink"/>
            <w:noProof/>
          </w:rPr>
          <w:t>Role Delineation and System Sustainability</w:t>
        </w:r>
        <w:r>
          <w:rPr>
            <w:noProof/>
            <w:webHidden/>
          </w:rPr>
          <w:tab/>
        </w:r>
        <w:r>
          <w:rPr>
            <w:noProof/>
            <w:webHidden/>
          </w:rPr>
          <w:fldChar w:fldCharType="begin"/>
        </w:r>
        <w:r>
          <w:rPr>
            <w:noProof/>
            <w:webHidden/>
          </w:rPr>
          <w:instrText xml:space="preserve"> PAGEREF _Toc227601138 \h </w:instrText>
        </w:r>
        <w:r>
          <w:rPr>
            <w:noProof/>
            <w:webHidden/>
          </w:rPr>
        </w:r>
        <w:r>
          <w:rPr>
            <w:noProof/>
            <w:webHidden/>
          </w:rPr>
          <w:fldChar w:fldCharType="separate"/>
        </w:r>
        <w:r>
          <w:rPr>
            <w:noProof/>
            <w:webHidden/>
          </w:rPr>
          <w:t>14</w:t>
        </w:r>
        <w:r>
          <w:rPr>
            <w:noProof/>
            <w:webHidden/>
          </w:rPr>
          <w:fldChar w:fldCharType="end"/>
        </w:r>
      </w:hyperlink>
    </w:p>
    <w:p w14:paraId="65B18F48" w14:textId="7E6E813F" w:rsidR="002C5C74" w:rsidRDefault="002C5C74">
      <w:pPr>
        <w:pStyle w:val="TOC1"/>
        <w:rPr>
          <w:rFonts w:eastAsiaTheme="minorEastAsia"/>
          <w:b w:val="0"/>
          <w:noProof/>
          <w:kern w:val="2"/>
          <w:sz w:val="24"/>
          <w:szCs w:val="24"/>
          <w:lang w:val="en-NG" w:eastAsia="en-NG"/>
          <w14:ligatures w14:val="standardContextual"/>
        </w:rPr>
      </w:pPr>
      <w:hyperlink w:anchor="_Toc227601139" w:history="1">
        <w:r w:rsidRPr="00FC3044">
          <w:rPr>
            <w:rStyle w:val="Hyperlink"/>
            <w:noProof/>
          </w:rPr>
          <w:t>4</w:t>
        </w:r>
        <w:r>
          <w:rPr>
            <w:rFonts w:eastAsiaTheme="minorEastAsia"/>
            <w:b w:val="0"/>
            <w:noProof/>
            <w:kern w:val="2"/>
            <w:sz w:val="24"/>
            <w:szCs w:val="24"/>
            <w:lang w:val="en-NG" w:eastAsia="en-NG"/>
            <w14:ligatures w14:val="standardContextual"/>
          </w:rPr>
          <w:tab/>
        </w:r>
        <w:r w:rsidRPr="00FC3044">
          <w:rPr>
            <w:rStyle w:val="Hyperlink"/>
            <w:noProof/>
          </w:rPr>
          <w:t>Methodological Framework</w:t>
        </w:r>
        <w:r>
          <w:rPr>
            <w:noProof/>
            <w:webHidden/>
          </w:rPr>
          <w:tab/>
        </w:r>
        <w:r>
          <w:rPr>
            <w:noProof/>
            <w:webHidden/>
          </w:rPr>
          <w:fldChar w:fldCharType="begin"/>
        </w:r>
        <w:r>
          <w:rPr>
            <w:noProof/>
            <w:webHidden/>
          </w:rPr>
          <w:instrText xml:space="preserve"> PAGEREF _Toc227601139 \h </w:instrText>
        </w:r>
        <w:r>
          <w:rPr>
            <w:noProof/>
            <w:webHidden/>
          </w:rPr>
        </w:r>
        <w:r>
          <w:rPr>
            <w:noProof/>
            <w:webHidden/>
          </w:rPr>
          <w:fldChar w:fldCharType="separate"/>
        </w:r>
        <w:r>
          <w:rPr>
            <w:noProof/>
            <w:webHidden/>
          </w:rPr>
          <w:t>15</w:t>
        </w:r>
        <w:r>
          <w:rPr>
            <w:noProof/>
            <w:webHidden/>
          </w:rPr>
          <w:fldChar w:fldCharType="end"/>
        </w:r>
      </w:hyperlink>
    </w:p>
    <w:p w14:paraId="67D2B5B7" w14:textId="5D265AE5" w:rsidR="002C5C74" w:rsidRDefault="002C5C74">
      <w:pPr>
        <w:pStyle w:val="TOC2"/>
        <w:tabs>
          <w:tab w:val="left" w:pos="709"/>
          <w:tab w:val="right" w:leader="dot" w:pos="8494"/>
        </w:tabs>
        <w:rPr>
          <w:rFonts w:eastAsiaTheme="minorEastAsia"/>
          <w:noProof/>
          <w:kern w:val="2"/>
          <w:sz w:val="24"/>
          <w:szCs w:val="24"/>
          <w:lang w:val="en-NG" w:eastAsia="en-NG"/>
          <w14:ligatures w14:val="standardContextual"/>
        </w:rPr>
      </w:pPr>
      <w:hyperlink w:anchor="_Toc227601140" w:history="1">
        <w:r w:rsidRPr="00FC3044">
          <w:rPr>
            <w:rStyle w:val="Hyperlink"/>
            <w:noProof/>
          </w:rPr>
          <w:t>4.1</w:t>
        </w:r>
        <w:r>
          <w:rPr>
            <w:rFonts w:eastAsiaTheme="minorEastAsia"/>
            <w:noProof/>
            <w:kern w:val="2"/>
            <w:sz w:val="24"/>
            <w:szCs w:val="24"/>
            <w:lang w:val="en-NG" w:eastAsia="en-NG"/>
            <w14:ligatures w14:val="standardContextual"/>
          </w:rPr>
          <w:tab/>
        </w:r>
        <w:r w:rsidRPr="00FC3044">
          <w:rPr>
            <w:rStyle w:val="Hyperlink"/>
            <w:noProof/>
          </w:rPr>
          <w:t>Indicator and Monitoring Framework Definition</w:t>
        </w:r>
        <w:r>
          <w:rPr>
            <w:noProof/>
            <w:webHidden/>
          </w:rPr>
          <w:tab/>
        </w:r>
        <w:r>
          <w:rPr>
            <w:noProof/>
            <w:webHidden/>
          </w:rPr>
          <w:fldChar w:fldCharType="begin"/>
        </w:r>
        <w:r>
          <w:rPr>
            <w:noProof/>
            <w:webHidden/>
          </w:rPr>
          <w:instrText xml:space="preserve"> PAGEREF _Toc227601140 \h </w:instrText>
        </w:r>
        <w:r>
          <w:rPr>
            <w:noProof/>
            <w:webHidden/>
          </w:rPr>
        </w:r>
        <w:r>
          <w:rPr>
            <w:noProof/>
            <w:webHidden/>
          </w:rPr>
          <w:fldChar w:fldCharType="separate"/>
        </w:r>
        <w:r>
          <w:rPr>
            <w:noProof/>
            <w:webHidden/>
          </w:rPr>
          <w:t>15</w:t>
        </w:r>
        <w:r>
          <w:rPr>
            <w:noProof/>
            <w:webHidden/>
          </w:rPr>
          <w:fldChar w:fldCharType="end"/>
        </w:r>
      </w:hyperlink>
    </w:p>
    <w:p w14:paraId="1992114A" w14:textId="182F2A67" w:rsidR="002C5C74" w:rsidRDefault="002C5C74">
      <w:pPr>
        <w:pStyle w:val="TOC2"/>
        <w:tabs>
          <w:tab w:val="left" w:pos="709"/>
          <w:tab w:val="right" w:leader="dot" w:pos="8494"/>
        </w:tabs>
        <w:rPr>
          <w:rFonts w:eastAsiaTheme="minorEastAsia"/>
          <w:noProof/>
          <w:kern w:val="2"/>
          <w:sz w:val="24"/>
          <w:szCs w:val="24"/>
          <w:lang w:val="en-NG" w:eastAsia="en-NG"/>
          <w14:ligatures w14:val="standardContextual"/>
        </w:rPr>
      </w:pPr>
      <w:hyperlink w:anchor="_Toc227601141" w:history="1">
        <w:r w:rsidRPr="00FC3044">
          <w:rPr>
            <w:rStyle w:val="Hyperlink"/>
            <w:noProof/>
          </w:rPr>
          <w:t>4.2</w:t>
        </w:r>
        <w:r>
          <w:rPr>
            <w:rFonts w:eastAsiaTheme="minorEastAsia"/>
            <w:noProof/>
            <w:kern w:val="2"/>
            <w:sz w:val="24"/>
            <w:szCs w:val="24"/>
            <w:lang w:val="en-NG" w:eastAsia="en-NG"/>
            <w14:ligatures w14:val="standardContextual"/>
          </w:rPr>
          <w:tab/>
        </w:r>
        <w:r w:rsidRPr="00FC3044">
          <w:rPr>
            <w:rStyle w:val="Hyperlink"/>
            <w:noProof/>
          </w:rPr>
          <w:t>Structured Data Lifecycle Design</w:t>
        </w:r>
        <w:r>
          <w:rPr>
            <w:noProof/>
            <w:webHidden/>
          </w:rPr>
          <w:tab/>
        </w:r>
        <w:r>
          <w:rPr>
            <w:noProof/>
            <w:webHidden/>
          </w:rPr>
          <w:fldChar w:fldCharType="begin"/>
        </w:r>
        <w:r>
          <w:rPr>
            <w:noProof/>
            <w:webHidden/>
          </w:rPr>
          <w:instrText xml:space="preserve"> PAGEREF _Toc227601141 \h </w:instrText>
        </w:r>
        <w:r>
          <w:rPr>
            <w:noProof/>
            <w:webHidden/>
          </w:rPr>
        </w:r>
        <w:r>
          <w:rPr>
            <w:noProof/>
            <w:webHidden/>
          </w:rPr>
          <w:fldChar w:fldCharType="separate"/>
        </w:r>
        <w:r>
          <w:rPr>
            <w:noProof/>
            <w:webHidden/>
          </w:rPr>
          <w:t>15</w:t>
        </w:r>
        <w:r>
          <w:rPr>
            <w:noProof/>
            <w:webHidden/>
          </w:rPr>
          <w:fldChar w:fldCharType="end"/>
        </w:r>
      </w:hyperlink>
    </w:p>
    <w:p w14:paraId="13ADF543" w14:textId="4AEA03E9" w:rsidR="002C5C74" w:rsidRDefault="002C5C74">
      <w:pPr>
        <w:pStyle w:val="TOC2"/>
        <w:tabs>
          <w:tab w:val="left" w:pos="709"/>
          <w:tab w:val="right" w:leader="dot" w:pos="8494"/>
        </w:tabs>
        <w:rPr>
          <w:rFonts w:eastAsiaTheme="minorEastAsia"/>
          <w:noProof/>
          <w:kern w:val="2"/>
          <w:sz w:val="24"/>
          <w:szCs w:val="24"/>
          <w:lang w:val="en-NG" w:eastAsia="en-NG"/>
          <w14:ligatures w14:val="standardContextual"/>
        </w:rPr>
      </w:pPr>
      <w:hyperlink w:anchor="_Toc227601142" w:history="1">
        <w:r w:rsidRPr="00FC3044">
          <w:rPr>
            <w:rStyle w:val="Hyperlink"/>
            <w:noProof/>
          </w:rPr>
          <w:t>4.3</w:t>
        </w:r>
        <w:r>
          <w:rPr>
            <w:rFonts w:eastAsiaTheme="minorEastAsia"/>
            <w:noProof/>
            <w:kern w:val="2"/>
            <w:sz w:val="24"/>
            <w:szCs w:val="24"/>
            <w:lang w:val="en-NG" w:eastAsia="en-NG"/>
            <w14:ligatures w14:val="standardContextual"/>
          </w:rPr>
          <w:tab/>
        </w:r>
        <w:r w:rsidRPr="00FC3044">
          <w:rPr>
            <w:rStyle w:val="Hyperlink"/>
            <w:noProof/>
          </w:rPr>
          <w:t>Data Source Mapping and Institutional Responsibility Alignment</w:t>
        </w:r>
        <w:r>
          <w:rPr>
            <w:noProof/>
            <w:webHidden/>
          </w:rPr>
          <w:tab/>
        </w:r>
        <w:r>
          <w:rPr>
            <w:noProof/>
            <w:webHidden/>
          </w:rPr>
          <w:fldChar w:fldCharType="begin"/>
        </w:r>
        <w:r>
          <w:rPr>
            <w:noProof/>
            <w:webHidden/>
          </w:rPr>
          <w:instrText xml:space="preserve"> PAGEREF _Toc227601142 \h </w:instrText>
        </w:r>
        <w:r>
          <w:rPr>
            <w:noProof/>
            <w:webHidden/>
          </w:rPr>
        </w:r>
        <w:r>
          <w:rPr>
            <w:noProof/>
            <w:webHidden/>
          </w:rPr>
          <w:fldChar w:fldCharType="separate"/>
        </w:r>
        <w:r>
          <w:rPr>
            <w:noProof/>
            <w:webHidden/>
          </w:rPr>
          <w:t>15</w:t>
        </w:r>
        <w:r>
          <w:rPr>
            <w:noProof/>
            <w:webHidden/>
          </w:rPr>
          <w:fldChar w:fldCharType="end"/>
        </w:r>
      </w:hyperlink>
    </w:p>
    <w:p w14:paraId="13A6D9B8" w14:textId="63968BF6" w:rsidR="002C5C74" w:rsidRDefault="002C5C74">
      <w:pPr>
        <w:pStyle w:val="TOC2"/>
        <w:tabs>
          <w:tab w:val="left" w:pos="709"/>
          <w:tab w:val="right" w:leader="dot" w:pos="8494"/>
        </w:tabs>
        <w:rPr>
          <w:rFonts w:eastAsiaTheme="minorEastAsia"/>
          <w:noProof/>
          <w:kern w:val="2"/>
          <w:sz w:val="24"/>
          <w:szCs w:val="24"/>
          <w:lang w:val="en-NG" w:eastAsia="en-NG"/>
          <w14:ligatures w14:val="standardContextual"/>
        </w:rPr>
      </w:pPr>
      <w:hyperlink w:anchor="_Toc227601143" w:history="1">
        <w:r w:rsidRPr="00FC3044">
          <w:rPr>
            <w:rStyle w:val="Hyperlink"/>
            <w:noProof/>
          </w:rPr>
          <w:t>4.4</w:t>
        </w:r>
        <w:r>
          <w:rPr>
            <w:rFonts w:eastAsiaTheme="minorEastAsia"/>
            <w:noProof/>
            <w:kern w:val="2"/>
            <w:sz w:val="24"/>
            <w:szCs w:val="24"/>
            <w:lang w:val="en-NG" w:eastAsia="en-NG"/>
            <w14:ligatures w14:val="standardContextual"/>
          </w:rPr>
          <w:tab/>
        </w:r>
        <w:r w:rsidRPr="00FC3044">
          <w:rPr>
            <w:rStyle w:val="Hyperlink"/>
            <w:noProof/>
          </w:rPr>
          <w:t>Dashboard Specification and Configuration Support</w:t>
        </w:r>
        <w:r>
          <w:rPr>
            <w:noProof/>
            <w:webHidden/>
          </w:rPr>
          <w:tab/>
        </w:r>
        <w:r>
          <w:rPr>
            <w:noProof/>
            <w:webHidden/>
          </w:rPr>
          <w:fldChar w:fldCharType="begin"/>
        </w:r>
        <w:r>
          <w:rPr>
            <w:noProof/>
            <w:webHidden/>
          </w:rPr>
          <w:instrText xml:space="preserve"> PAGEREF _Toc227601143 \h </w:instrText>
        </w:r>
        <w:r>
          <w:rPr>
            <w:noProof/>
            <w:webHidden/>
          </w:rPr>
        </w:r>
        <w:r>
          <w:rPr>
            <w:noProof/>
            <w:webHidden/>
          </w:rPr>
          <w:fldChar w:fldCharType="separate"/>
        </w:r>
        <w:r>
          <w:rPr>
            <w:noProof/>
            <w:webHidden/>
          </w:rPr>
          <w:t>16</w:t>
        </w:r>
        <w:r>
          <w:rPr>
            <w:noProof/>
            <w:webHidden/>
          </w:rPr>
          <w:fldChar w:fldCharType="end"/>
        </w:r>
      </w:hyperlink>
    </w:p>
    <w:p w14:paraId="02FB1B2C" w14:textId="6ACC8225" w:rsidR="002C5C74" w:rsidRDefault="002C5C74">
      <w:pPr>
        <w:pStyle w:val="TOC2"/>
        <w:tabs>
          <w:tab w:val="left" w:pos="709"/>
          <w:tab w:val="right" w:leader="dot" w:pos="8494"/>
        </w:tabs>
        <w:rPr>
          <w:rFonts w:eastAsiaTheme="minorEastAsia"/>
          <w:noProof/>
          <w:kern w:val="2"/>
          <w:sz w:val="24"/>
          <w:szCs w:val="24"/>
          <w:lang w:val="en-NG" w:eastAsia="en-NG"/>
          <w14:ligatures w14:val="standardContextual"/>
        </w:rPr>
      </w:pPr>
      <w:hyperlink w:anchor="_Toc227601144" w:history="1">
        <w:r w:rsidRPr="00FC3044">
          <w:rPr>
            <w:rStyle w:val="Hyperlink"/>
            <w:noProof/>
          </w:rPr>
          <w:t>4.5</w:t>
        </w:r>
        <w:r>
          <w:rPr>
            <w:rFonts w:eastAsiaTheme="minorEastAsia"/>
            <w:noProof/>
            <w:kern w:val="2"/>
            <w:sz w:val="24"/>
            <w:szCs w:val="24"/>
            <w:lang w:val="en-NG" w:eastAsia="en-NG"/>
            <w14:ligatures w14:val="standardContextual"/>
          </w:rPr>
          <w:tab/>
        </w:r>
        <w:r w:rsidRPr="00FC3044">
          <w:rPr>
            <w:rStyle w:val="Hyperlink"/>
            <w:noProof/>
          </w:rPr>
          <w:t>Validation, Testing, and Institutional Embedding</w:t>
        </w:r>
        <w:r>
          <w:rPr>
            <w:noProof/>
            <w:webHidden/>
          </w:rPr>
          <w:tab/>
        </w:r>
        <w:r>
          <w:rPr>
            <w:noProof/>
            <w:webHidden/>
          </w:rPr>
          <w:fldChar w:fldCharType="begin"/>
        </w:r>
        <w:r>
          <w:rPr>
            <w:noProof/>
            <w:webHidden/>
          </w:rPr>
          <w:instrText xml:space="preserve"> PAGEREF _Toc227601144 \h </w:instrText>
        </w:r>
        <w:r>
          <w:rPr>
            <w:noProof/>
            <w:webHidden/>
          </w:rPr>
        </w:r>
        <w:r>
          <w:rPr>
            <w:noProof/>
            <w:webHidden/>
          </w:rPr>
          <w:fldChar w:fldCharType="separate"/>
        </w:r>
        <w:r>
          <w:rPr>
            <w:noProof/>
            <w:webHidden/>
          </w:rPr>
          <w:t>16</w:t>
        </w:r>
        <w:r>
          <w:rPr>
            <w:noProof/>
            <w:webHidden/>
          </w:rPr>
          <w:fldChar w:fldCharType="end"/>
        </w:r>
      </w:hyperlink>
    </w:p>
    <w:p w14:paraId="764E2AB7" w14:textId="02BD42F9" w:rsidR="002C5C74" w:rsidRDefault="002C5C74">
      <w:pPr>
        <w:pStyle w:val="TOC1"/>
        <w:rPr>
          <w:rFonts w:eastAsiaTheme="minorEastAsia"/>
          <w:b w:val="0"/>
          <w:noProof/>
          <w:kern w:val="2"/>
          <w:sz w:val="24"/>
          <w:szCs w:val="24"/>
          <w:lang w:val="en-NG" w:eastAsia="en-NG"/>
          <w14:ligatures w14:val="standardContextual"/>
        </w:rPr>
      </w:pPr>
      <w:hyperlink w:anchor="_Toc227601145" w:history="1">
        <w:r w:rsidRPr="00FC3044">
          <w:rPr>
            <w:rStyle w:val="Hyperlink"/>
            <w:noProof/>
          </w:rPr>
          <w:t>5</w:t>
        </w:r>
        <w:r>
          <w:rPr>
            <w:rFonts w:eastAsiaTheme="minorEastAsia"/>
            <w:b w:val="0"/>
            <w:noProof/>
            <w:kern w:val="2"/>
            <w:sz w:val="24"/>
            <w:szCs w:val="24"/>
            <w:lang w:val="en-NG" w:eastAsia="en-NG"/>
            <w14:ligatures w14:val="standardContextual"/>
          </w:rPr>
          <w:tab/>
        </w:r>
        <w:r w:rsidRPr="00FC3044">
          <w:rPr>
            <w:rStyle w:val="Hyperlink"/>
            <w:noProof/>
          </w:rPr>
          <w:t>Detailed Scope of Work by Workstream</w:t>
        </w:r>
        <w:r>
          <w:rPr>
            <w:noProof/>
            <w:webHidden/>
          </w:rPr>
          <w:tab/>
        </w:r>
        <w:r>
          <w:rPr>
            <w:noProof/>
            <w:webHidden/>
          </w:rPr>
          <w:fldChar w:fldCharType="begin"/>
        </w:r>
        <w:r>
          <w:rPr>
            <w:noProof/>
            <w:webHidden/>
          </w:rPr>
          <w:instrText xml:space="preserve"> PAGEREF _Toc227601145 \h </w:instrText>
        </w:r>
        <w:r>
          <w:rPr>
            <w:noProof/>
            <w:webHidden/>
          </w:rPr>
        </w:r>
        <w:r>
          <w:rPr>
            <w:noProof/>
            <w:webHidden/>
          </w:rPr>
          <w:fldChar w:fldCharType="separate"/>
        </w:r>
        <w:r>
          <w:rPr>
            <w:noProof/>
            <w:webHidden/>
          </w:rPr>
          <w:t>17</w:t>
        </w:r>
        <w:r>
          <w:rPr>
            <w:noProof/>
            <w:webHidden/>
          </w:rPr>
          <w:fldChar w:fldCharType="end"/>
        </w:r>
      </w:hyperlink>
    </w:p>
    <w:p w14:paraId="2FC9B67B" w14:textId="06EFADB3" w:rsidR="002C5C74" w:rsidRDefault="002C5C74">
      <w:pPr>
        <w:pStyle w:val="TOC2"/>
        <w:tabs>
          <w:tab w:val="left" w:pos="709"/>
          <w:tab w:val="right" w:leader="dot" w:pos="8494"/>
        </w:tabs>
        <w:rPr>
          <w:rFonts w:eastAsiaTheme="minorEastAsia"/>
          <w:noProof/>
          <w:kern w:val="2"/>
          <w:sz w:val="24"/>
          <w:szCs w:val="24"/>
          <w:lang w:val="en-NG" w:eastAsia="en-NG"/>
          <w14:ligatures w14:val="standardContextual"/>
        </w:rPr>
      </w:pPr>
      <w:hyperlink w:anchor="_Toc227601146" w:history="1">
        <w:r w:rsidRPr="00FC3044">
          <w:rPr>
            <w:rStyle w:val="Hyperlink"/>
            <w:noProof/>
          </w:rPr>
          <w:t>5.1</w:t>
        </w:r>
        <w:r>
          <w:rPr>
            <w:rFonts w:eastAsiaTheme="minorEastAsia"/>
            <w:noProof/>
            <w:kern w:val="2"/>
            <w:sz w:val="24"/>
            <w:szCs w:val="24"/>
            <w:lang w:val="en-NG" w:eastAsia="en-NG"/>
            <w14:ligatures w14:val="standardContextual"/>
          </w:rPr>
          <w:tab/>
        </w:r>
        <w:r w:rsidRPr="00FC3044">
          <w:rPr>
            <w:rStyle w:val="Hyperlink"/>
            <w:noProof/>
          </w:rPr>
          <w:t>Workstream 1: Inception and Data Landscape Alignment</w:t>
        </w:r>
        <w:r>
          <w:rPr>
            <w:noProof/>
            <w:webHidden/>
          </w:rPr>
          <w:tab/>
        </w:r>
        <w:r>
          <w:rPr>
            <w:noProof/>
            <w:webHidden/>
          </w:rPr>
          <w:fldChar w:fldCharType="begin"/>
        </w:r>
        <w:r>
          <w:rPr>
            <w:noProof/>
            <w:webHidden/>
          </w:rPr>
          <w:instrText xml:space="preserve"> PAGEREF _Toc227601146 \h </w:instrText>
        </w:r>
        <w:r>
          <w:rPr>
            <w:noProof/>
            <w:webHidden/>
          </w:rPr>
        </w:r>
        <w:r>
          <w:rPr>
            <w:noProof/>
            <w:webHidden/>
          </w:rPr>
          <w:fldChar w:fldCharType="separate"/>
        </w:r>
        <w:r>
          <w:rPr>
            <w:noProof/>
            <w:webHidden/>
          </w:rPr>
          <w:t>17</w:t>
        </w:r>
        <w:r>
          <w:rPr>
            <w:noProof/>
            <w:webHidden/>
          </w:rPr>
          <w:fldChar w:fldCharType="end"/>
        </w:r>
      </w:hyperlink>
    </w:p>
    <w:p w14:paraId="686A4ACC" w14:textId="50A90E1E" w:rsidR="002C5C74" w:rsidRDefault="002C5C74">
      <w:pPr>
        <w:pStyle w:val="TOC2"/>
        <w:tabs>
          <w:tab w:val="left" w:pos="709"/>
          <w:tab w:val="right" w:leader="dot" w:pos="8494"/>
        </w:tabs>
        <w:rPr>
          <w:rFonts w:eastAsiaTheme="minorEastAsia"/>
          <w:noProof/>
          <w:kern w:val="2"/>
          <w:sz w:val="24"/>
          <w:szCs w:val="24"/>
          <w:lang w:val="en-NG" w:eastAsia="en-NG"/>
          <w14:ligatures w14:val="standardContextual"/>
        </w:rPr>
      </w:pPr>
      <w:hyperlink w:anchor="_Toc227601147" w:history="1">
        <w:r w:rsidRPr="00FC3044">
          <w:rPr>
            <w:rStyle w:val="Hyperlink"/>
            <w:noProof/>
          </w:rPr>
          <w:t>5.2</w:t>
        </w:r>
        <w:r>
          <w:rPr>
            <w:rFonts w:eastAsiaTheme="minorEastAsia"/>
            <w:noProof/>
            <w:kern w:val="2"/>
            <w:sz w:val="24"/>
            <w:szCs w:val="24"/>
            <w:lang w:val="en-NG" w:eastAsia="en-NG"/>
            <w14:ligatures w14:val="standardContextual"/>
          </w:rPr>
          <w:tab/>
        </w:r>
        <w:r w:rsidRPr="00FC3044">
          <w:rPr>
            <w:rStyle w:val="Hyperlink"/>
            <w:noProof/>
          </w:rPr>
          <w:t>Workstream 2: Data Requirement Definition and KPI Structuring</w:t>
        </w:r>
        <w:r>
          <w:rPr>
            <w:noProof/>
            <w:webHidden/>
          </w:rPr>
          <w:tab/>
        </w:r>
        <w:r>
          <w:rPr>
            <w:noProof/>
            <w:webHidden/>
          </w:rPr>
          <w:fldChar w:fldCharType="begin"/>
        </w:r>
        <w:r>
          <w:rPr>
            <w:noProof/>
            <w:webHidden/>
          </w:rPr>
          <w:instrText xml:space="preserve"> PAGEREF _Toc227601147 \h </w:instrText>
        </w:r>
        <w:r>
          <w:rPr>
            <w:noProof/>
            <w:webHidden/>
          </w:rPr>
        </w:r>
        <w:r>
          <w:rPr>
            <w:noProof/>
            <w:webHidden/>
          </w:rPr>
          <w:fldChar w:fldCharType="separate"/>
        </w:r>
        <w:r>
          <w:rPr>
            <w:noProof/>
            <w:webHidden/>
          </w:rPr>
          <w:t>17</w:t>
        </w:r>
        <w:r>
          <w:rPr>
            <w:noProof/>
            <w:webHidden/>
          </w:rPr>
          <w:fldChar w:fldCharType="end"/>
        </w:r>
      </w:hyperlink>
    </w:p>
    <w:p w14:paraId="50C46434" w14:textId="1AD44C1C" w:rsidR="002C5C74" w:rsidRDefault="002C5C74">
      <w:pPr>
        <w:pStyle w:val="TOC2"/>
        <w:tabs>
          <w:tab w:val="left" w:pos="709"/>
          <w:tab w:val="right" w:leader="dot" w:pos="8494"/>
        </w:tabs>
        <w:rPr>
          <w:rFonts w:eastAsiaTheme="minorEastAsia"/>
          <w:noProof/>
          <w:kern w:val="2"/>
          <w:sz w:val="24"/>
          <w:szCs w:val="24"/>
          <w:lang w:val="en-NG" w:eastAsia="en-NG"/>
          <w14:ligatures w14:val="standardContextual"/>
        </w:rPr>
      </w:pPr>
      <w:hyperlink w:anchor="_Toc227601148" w:history="1">
        <w:r w:rsidRPr="00FC3044">
          <w:rPr>
            <w:rStyle w:val="Hyperlink"/>
            <w:noProof/>
          </w:rPr>
          <w:t>5.3</w:t>
        </w:r>
        <w:r>
          <w:rPr>
            <w:rFonts w:eastAsiaTheme="minorEastAsia"/>
            <w:noProof/>
            <w:kern w:val="2"/>
            <w:sz w:val="24"/>
            <w:szCs w:val="24"/>
            <w:lang w:val="en-NG" w:eastAsia="en-NG"/>
            <w14:ligatures w14:val="standardContextual"/>
          </w:rPr>
          <w:tab/>
        </w:r>
        <w:r w:rsidRPr="00FC3044">
          <w:rPr>
            <w:rStyle w:val="Hyperlink"/>
            <w:noProof/>
          </w:rPr>
          <w:t>Workstream 3: Data Source Mapping and Stakeholder Engagement</w:t>
        </w:r>
        <w:r>
          <w:rPr>
            <w:noProof/>
            <w:webHidden/>
          </w:rPr>
          <w:tab/>
        </w:r>
        <w:r>
          <w:rPr>
            <w:noProof/>
            <w:webHidden/>
          </w:rPr>
          <w:fldChar w:fldCharType="begin"/>
        </w:r>
        <w:r>
          <w:rPr>
            <w:noProof/>
            <w:webHidden/>
          </w:rPr>
          <w:instrText xml:space="preserve"> PAGEREF _Toc227601148 \h </w:instrText>
        </w:r>
        <w:r>
          <w:rPr>
            <w:noProof/>
            <w:webHidden/>
          </w:rPr>
        </w:r>
        <w:r>
          <w:rPr>
            <w:noProof/>
            <w:webHidden/>
          </w:rPr>
          <w:fldChar w:fldCharType="separate"/>
        </w:r>
        <w:r>
          <w:rPr>
            <w:noProof/>
            <w:webHidden/>
          </w:rPr>
          <w:t>17</w:t>
        </w:r>
        <w:r>
          <w:rPr>
            <w:noProof/>
            <w:webHidden/>
          </w:rPr>
          <w:fldChar w:fldCharType="end"/>
        </w:r>
      </w:hyperlink>
    </w:p>
    <w:p w14:paraId="1944EE8B" w14:textId="740F8F18" w:rsidR="002C5C74" w:rsidRDefault="002C5C74">
      <w:pPr>
        <w:pStyle w:val="TOC2"/>
        <w:tabs>
          <w:tab w:val="left" w:pos="709"/>
          <w:tab w:val="right" w:leader="dot" w:pos="8494"/>
        </w:tabs>
        <w:rPr>
          <w:rFonts w:eastAsiaTheme="minorEastAsia"/>
          <w:noProof/>
          <w:kern w:val="2"/>
          <w:sz w:val="24"/>
          <w:szCs w:val="24"/>
          <w:lang w:val="en-NG" w:eastAsia="en-NG"/>
          <w14:ligatures w14:val="standardContextual"/>
        </w:rPr>
      </w:pPr>
      <w:hyperlink w:anchor="_Toc227601149" w:history="1">
        <w:r w:rsidRPr="00FC3044">
          <w:rPr>
            <w:rStyle w:val="Hyperlink"/>
            <w:noProof/>
          </w:rPr>
          <w:t>5.4</w:t>
        </w:r>
        <w:r>
          <w:rPr>
            <w:rFonts w:eastAsiaTheme="minorEastAsia"/>
            <w:noProof/>
            <w:kern w:val="2"/>
            <w:sz w:val="24"/>
            <w:szCs w:val="24"/>
            <w:lang w:val="en-NG" w:eastAsia="en-NG"/>
            <w14:ligatures w14:val="standardContextual"/>
          </w:rPr>
          <w:tab/>
        </w:r>
        <w:r w:rsidRPr="00FC3044">
          <w:rPr>
            <w:rStyle w:val="Hyperlink"/>
            <w:noProof/>
          </w:rPr>
          <w:t>Workstream 4: Project Assessment and Performance Tracking</w:t>
        </w:r>
        <w:r>
          <w:rPr>
            <w:noProof/>
            <w:webHidden/>
          </w:rPr>
          <w:tab/>
        </w:r>
        <w:r>
          <w:rPr>
            <w:noProof/>
            <w:webHidden/>
          </w:rPr>
          <w:fldChar w:fldCharType="begin"/>
        </w:r>
        <w:r>
          <w:rPr>
            <w:noProof/>
            <w:webHidden/>
          </w:rPr>
          <w:instrText xml:space="preserve"> PAGEREF _Toc227601149 \h </w:instrText>
        </w:r>
        <w:r>
          <w:rPr>
            <w:noProof/>
            <w:webHidden/>
          </w:rPr>
        </w:r>
        <w:r>
          <w:rPr>
            <w:noProof/>
            <w:webHidden/>
          </w:rPr>
          <w:fldChar w:fldCharType="separate"/>
        </w:r>
        <w:r>
          <w:rPr>
            <w:noProof/>
            <w:webHidden/>
          </w:rPr>
          <w:t>18</w:t>
        </w:r>
        <w:r>
          <w:rPr>
            <w:noProof/>
            <w:webHidden/>
          </w:rPr>
          <w:fldChar w:fldCharType="end"/>
        </w:r>
      </w:hyperlink>
    </w:p>
    <w:p w14:paraId="04800133" w14:textId="341613F8" w:rsidR="002C5C74" w:rsidRDefault="002C5C74">
      <w:pPr>
        <w:pStyle w:val="TOC2"/>
        <w:tabs>
          <w:tab w:val="left" w:pos="709"/>
          <w:tab w:val="right" w:leader="dot" w:pos="8494"/>
        </w:tabs>
        <w:rPr>
          <w:rFonts w:eastAsiaTheme="minorEastAsia"/>
          <w:noProof/>
          <w:kern w:val="2"/>
          <w:sz w:val="24"/>
          <w:szCs w:val="24"/>
          <w:lang w:val="en-NG" w:eastAsia="en-NG"/>
          <w14:ligatures w14:val="standardContextual"/>
        </w:rPr>
      </w:pPr>
      <w:hyperlink w:anchor="_Toc227601150" w:history="1">
        <w:r w:rsidRPr="00FC3044">
          <w:rPr>
            <w:rStyle w:val="Hyperlink"/>
            <w:noProof/>
          </w:rPr>
          <w:t>5.5</w:t>
        </w:r>
        <w:r>
          <w:rPr>
            <w:rFonts w:eastAsiaTheme="minorEastAsia"/>
            <w:noProof/>
            <w:kern w:val="2"/>
            <w:sz w:val="24"/>
            <w:szCs w:val="24"/>
            <w:lang w:val="en-NG" w:eastAsia="en-NG"/>
            <w14:ligatures w14:val="standardContextual"/>
          </w:rPr>
          <w:tab/>
        </w:r>
        <w:r w:rsidRPr="00FC3044">
          <w:rPr>
            <w:rStyle w:val="Hyperlink"/>
            <w:noProof/>
          </w:rPr>
          <w:t>Workstream 5: Data Ingestion Design, Validation, and Governance</w:t>
        </w:r>
        <w:r>
          <w:rPr>
            <w:noProof/>
            <w:webHidden/>
          </w:rPr>
          <w:tab/>
        </w:r>
        <w:r>
          <w:rPr>
            <w:noProof/>
            <w:webHidden/>
          </w:rPr>
          <w:fldChar w:fldCharType="begin"/>
        </w:r>
        <w:r>
          <w:rPr>
            <w:noProof/>
            <w:webHidden/>
          </w:rPr>
          <w:instrText xml:space="preserve"> PAGEREF _Toc227601150 \h </w:instrText>
        </w:r>
        <w:r>
          <w:rPr>
            <w:noProof/>
            <w:webHidden/>
          </w:rPr>
        </w:r>
        <w:r>
          <w:rPr>
            <w:noProof/>
            <w:webHidden/>
          </w:rPr>
          <w:fldChar w:fldCharType="separate"/>
        </w:r>
        <w:r>
          <w:rPr>
            <w:noProof/>
            <w:webHidden/>
          </w:rPr>
          <w:t>18</w:t>
        </w:r>
        <w:r>
          <w:rPr>
            <w:noProof/>
            <w:webHidden/>
          </w:rPr>
          <w:fldChar w:fldCharType="end"/>
        </w:r>
      </w:hyperlink>
    </w:p>
    <w:p w14:paraId="3DBAA591" w14:textId="44E7DE7E" w:rsidR="002C5C74" w:rsidRDefault="002C5C74">
      <w:pPr>
        <w:pStyle w:val="TOC2"/>
        <w:tabs>
          <w:tab w:val="left" w:pos="709"/>
          <w:tab w:val="right" w:leader="dot" w:pos="8494"/>
        </w:tabs>
        <w:rPr>
          <w:rFonts w:eastAsiaTheme="minorEastAsia"/>
          <w:noProof/>
          <w:kern w:val="2"/>
          <w:sz w:val="24"/>
          <w:szCs w:val="24"/>
          <w:lang w:val="en-NG" w:eastAsia="en-NG"/>
          <w14:ligatures w14:val="standardContextual"/>
        </w:rPr>
      </w:pPr>
      <w:hyperlink w:anchor="_Toc227601151" w:history="1">
        <w:r w:rsidRPr="00FC3044">
          <w:rPr>
            <w:rStyle w:val="Hyperlink"/>
            <w:noProof/>
          </w:rPr>
          <w:t>5.6</w:t>
        </w:r>
        <w:r>
          <w:rPr>
            <w:rFonts w:eastAsiaTheme="minorEastAsia"/>
            <w:noProof/>
            <w:kern w:val="2"/>
            <w:sz w:val="24"/>
            <w:szCs w:val="24"/>
            <w:lang w:val="en-NG" w:eastAsia="en-NG"/>
            <w14:ligatures w14:val="standardContextual"/>
          </w:rPr>
          <w:tab/>
        </w:r>
        <w:r w:rsidRPr="00FC3044">
          <w:rPr>
            <w:rStyle w:val="Hyperlink"/>
            <w:noProof/>
          </w:rPr>
          <w:t>Workstream 6: Data Integration and Dashboard Configuration Support</w:t>
        </w:r>
        <w:r>
          <w:rPr>
            <w:noProof/>
            <w:webHidden/>
          </w:rPr>
          <w:tab/>
        </w:r>
        <w:r>
          <w:rPr>
            <w:noProof/>
            <w:webHidden/>
          </w:rPr>
          <w:fldChar w:fldCharType="begin"/>
        </w:r>
        <w:r>
          <w:rPr>
            <w:noProof/>
            <w:webHidden/>
          </w:rPr>
          <w:instrText xml:space="preserve"> PAGEREF _Toc227601151 \h </w:instrText>
        </w:r>
        <w:r>
          <w:rPr>
            <w:noProof/>
            <w:webHidden/>
          </w:rPr>
        </w:r>
        <w:r>
          <w:rPr>
            <w:noProof/>
            <w:webHidden/>
          </w:rPr>
          <w:fldChar w:fldCharType="separate"/>
        </w:r>
        <w:r>
          <w:rPr>
            <w:noProof/>
            <w:webHidden/>
          </w:rPr>
          <w:t>19</w:t>
        </w:r>
        <w:r>
          <w:rPr>
            <w:noProof/>
            <w:webHidden/>
          </w:rPr>
          <w:fldChar w:fldCharType="end"/>
        </w:r>
      </w:hyperlink>
    </w:p>
    <w:p w14:paraId="3C6E93AD" w14:textId="13F69184" w:rsidR="002C5C74" w:rsidRDefault="002C5C74">
      <w:pPr>
        <w:pStyle w:val="TOC2"/>
        <w:tabs>
          <w:tab w:val="left" w:pos="709"/>
          <w:tab w:val="right" w:leader="dot" w:pos="8494"/>
        </w:tabs>
        <w:rPr>
          <w:rFonts w:eastAsiaTheme="minorEastAsia"/>
          <w:noProof/>
          <w:kern w:val="2"/>
          <w:sz w:val="24"/>
          <w:szCs w:val="24"/>
          <w:lang w:val="en-NG" w:eastAsia="en-NG"/>
          <w14:ligatures w14:val="standardContextual"/>
        </w:rPr>
      </w:pPr>
      <w:hyperlink w:anchor="_Toc227601152" w:history="1">
        <w:r w:rsidRPr="00FC3044">
          <w:rPr>
            <w:rStyle w:val="Hyperlink"/>
            <w:noProof/>
          </w:rPr>
          <w:t>5.7</w:t>
        </w:r>
        <w:r>
          <w:rPr>
            <w:rFonts w:eastAsiaTheme="minorEastAsia"/>
            <w:noProof/>
            <w:kern w:val="2"/>
            <w:sz w:val="24"/>
            <w:szCs w:val="24"/>
            <w:lang w:val="en-NG" w:eastAsia="en-NG"/>
            <w14:ligatures w14:val="standardContextual"/>
          </w:rPr>
          <w:tab/>
        </w:r>
        <w:r w:rsidRPr="00FC3044">
          <w:rPr>
            <w:rStyle w:val="Hyperlink"/>
            <w:noProof/>
          </w:rPr>
          <w:t>Workstream 7: Capacity Building, Documentation, and Transition</w:t>
        </w:r>
        <w:r>
          <w:rPr>
            <w:noProof/>
            <w:webHidden/>
          </w:rPr>
          <w:tab/>
        </w:r>
        <w:r>
          <w:rPr>
            <w:noProof/>
            <w:webHidden/>
          </w:rPr>
          <w:fldChar w:fldCharType="begin"/>
        </w:r>
        <w:r>
          <w:rPr>
            <w:noProof/>
            <w:webHidden/>
          </w:rPr>
          <w:instrText xml:space="preserve"> PAGEREF _Toc227601152 \h </w:instrText>
        </w:r>
        <w:r>
          <w:rPr>
            <w:noProof/>
            <w:webHidden/>
          </w:rPr>
        </w:r>
        <w:r>
          <w:rPr>
            <w:noProof/>
            <w:webHidden/>
          </w:rPr>
          <w:fldChar w:fldCharType="separate"/>
        </w:r>
        <w:r>
          <w:rPr>
            <w:noProof/>
            <w:webHidden/>
          </w:rPr>
          <w:t>19</w:t>
        </w:r>
        <w:r>
          <w:rPr>
            <w:noProof/>
            <w:webHidden/>
          </w:rPr>
          <w:fldChar w:fldCharType="end"/>
        </w:r>
      </w:hyperlink>
    </w:p>
    <w:p w14:paraId="7924322E" w14:textId="2D4C7013" w:rsidR="002C5C74" w:rsidRDefault="002C5C74">
      <w:pPr>
        <w:pStyle w:val="TOC1"/>
        <w:rPr>
          <w:rFonts w:eastAsiaTheme="minorEastAsia"/>
          <w:b w:val="0"/>
          <w:noProof/>
          <w:kern w:val="2"/>
          <w:sz w:val="24"/>
          <w:szCs w:val="24"/>
          <w:lang w:val="en-NG" w:eastAsia="en-NG"/>
          <w14:ligatures w14:val="standardContextual"/>
        </w:rPr>
      </w:pPr>
      <w:hyperlink w:anchor="_Toc227601153" w:history="1">
        <w:r w:rsidRPr="00FC3044">
          <w:rPr>
            <w:rStyle w:val="Hyperlink"/>
            <w:noProof/>
          </w:rPr>
          <w:t>6</w:t>
        </w:r>
        <w:r>
          <w:rPr>
            <w:rFonts w:eastAsiaTheme="minorEastAsia"/>
            <w:b w:val="0"/>
            <w:noProof/>
            <w:kern w:val="2"/>
            <w:sz w:val="24"/>
            <w:szCs w:val="24"/>
            <w:lang w:val="en-NG" w:eastAsia="en-NG"/>
            <w14:ligatures w14:val="standardContextual"/>
          </w:rPr>
          <w:tab/>
        </w:r>
        <w:r w:rsidRPr="00FC3044">
          <w:rPr>
            <w:rStyle w:val="Hyperlink"/>
            <w:noProof/>
          </w:rPr>
          <w:t>Preliminary Baseline Assessment</w:t>
        </w:r>
        <w:r>
          <w:rPr>
            <w:noProof/>
            <w:webHidden/>
          </w:rPr>
          <w:tab/>
        </w:r>
        <w:r>
          <w:rPr>
            <w:noProof/>
            <w:webHidden/>
          </w:rPr>
          <w:fldChar w:fldCharType="begin"/>
        </w:r>
        <w:r>
          <w:rPr>
            <w:noProof/>
            <w:webHidden/>
          </w:rPr>
          <w:instrText xml:space="preserve"> PAGEREF _Toc227601153 \h </w:instrText>
        </w:r>
        <w:r>
          <w:rPr>
            <w:noProof/>
            <w:webHidden/>
          </w:rPr>
        </w:r>
        <w:r>
          <w:rPr>
            <w:noProof/>
            <w:webHidden/>
          </w:rPr>
          <w:fldChar w:fldCharType="separate"/>
        </w:r>
        <w:r>
          <w:rPr>
            <w:noProof/>
            <w:webHidden/>
          </w:rPr>
          <w:t>20</w:t>
        </w:r>
        <w:r>
          <w:rPr>
            <w:noProof/>
            <w:webHidden/>
          </w:rPr>
          <w:fldChar w:fldCharType="end"/>
        </w:r>
      </w:hyperlink>
    </w:p>
    <w:p w14:paraId="7CA602D9" w14:textId="505F4E56" w:rsidR="002C5C74" w:rsidRDefault="002C5C74">
      <w:pPr>
        <w:pStyle w:val="TOC2"/>
        <w:tabs>
          <w:tab w:val="left" w:pos="709"/>
          <w:tab w:val="right" w:leader="dot" w:pos="8494"/>
        </w:tabs>
        <w:rPr>
          <w:rFonts w:eastAsiaTheme="minorEastAsia"/>
          <w:noProof/>
          <w:kern w:val="2"/>
          <w:sz w:val="24"/>
          <w:szCs w:val="24"/>
          <w:lang w:val="en-NG" w:eastAsia="en-NG"/>
          <w14:ligatures w14:val="standardContextual"/>
        </w:rPr>
      </w:pPr>
      <w:hyperlink w:anchor="_Toc227601154" w:history="1">
        <w:r w:rsidRPr="00FC3044">
          <w:rPr>
            <w:rStyle w:val="Hyperlink"/>
            <w:noProof/>
          </w:rPr>
          <w:t>6.1</w:t>
        </w:r>
        <w:r>
          <w:rPr>
            <w:rFonts w:eastAsiaTheme="minorEastAsia"/>
            <w:noProof/>
            <w:kern w:val="2"/>
            <w:sz w:val="24"/>
            <w:szCs w:val="24"/>
            <w:lang w:val="en-NG" w:eastAsia="en-NG"/>
            <w14:ligatures w14:val="standardContextual"/>
          </w:rPr>
          <w:tab/>
        </w:r>
        <w:r w:rsidRPr="00FC3044">
          <w:rPr>
            <w:rStyle w:val="Hyperlink"/>
            <w:noProof/>
          </w:rPr>
          <w:t>Pillar 1: Rehabilitation and Expansion of Energy Infrastructure</w:t>
        </w:r>
        <w:r>
          <w:rPr>
            <w:noProof/>
            <w:webHidden/>
          </w:rPr>
          <w:tab/>
        </w:r>
        <w:r>
          <w:rPr>
            <w:noProof/>
            <w:webHidden/>
          </w:rPr>
          <w:fldChar w:fldCharType="begin"/>
        </w:r>
        <w:r>
          <w:rPr>
            <w:noProof/>
            <w:webHidden/>
          </w:rPr>
          <w:instrText xml:space="preserve"> PAGEREF _Toc227601154 \h </w:instrText>
        </w:r>
        <w:r>
          <w:rPr>
            <w:noProof/>
            <w:webHidden/>
          </w:rPr>
        </w:r>
        <w:r>
          <w:rPr>
            <w:noProof/>
            <w:webHidden/>
          </w:rPr>
          <w:fldChar w:fldCharType="separate"/>
        </w:r>
        <w:r>
          <w:rPr>
            <w:noProof/>
            <w:webHidden/>
          </w:rPr>
          <w:t>20</w:t>
        </w:r>
        <w:r>
          <w:rPr>
            <w:noProof/>
            <w:webHidden/>
          </w:rPr>
          <w:fldChar w:fldCharType="end"/>
        </w:r>
      </w:hyperlink>
    </w:p>
    <w:p w14:paraId="07C82DA8" w14:textId="7234B804" w:rsidR="002C5C74" w:rsidRDefault="002C5C74">
      <w:pPr>
        <w:pStyle w:val="TOC2"/>
        <w:tabs>
          <w:tab w:val="left" w:pos="709"/>
          <w:tab w:val="right" w:leader="dot" w:pos="8494"/>
        </w:tabs>
        <w:rPr>
          <w:rFonts w:eastAsiaTheme="minorEastAsia"/>
          <w:noProof/>
          <w:kern w:val="2"/>
          <w:sz w:val="24"/>
          <w:szCs w:val="24"/>
          <w:lang w:val="en-NG" w:eastAsia="en-NG"/>
          <w14:ligatures w14:val="standardContextual"/>
        </w:rPr>
      </w:pPr>
      <w:hyperlink w:anchor="_Toc227601155" w:history="1">
        <w:r w:rsidRPr="00FC3044">
          <w:rPr>
            <w:rStyle w:val="Hyperlink"/>
            <w:noProof/>
          </w:rPr>
          <w:t>6.2</w:t>
        </w:r>
        <w:r>
          <w:rPr>
            <w:rFonts w:eastAsiaTheme="minorEastAsia"/>
            <w:noProof/>
            <w:kern w:val="2"/>
            <w:sz w:val="24"/>
            <w:szCs w:val="24"/>
            <w:lang w:val="en-NG" w:eastAsia="en-NG"/>
            <w14:ligatures w14:val="standardContextual"/>
          </w:rPr>
          <w:tab/>
        </w:r>
        <w:r w:rsidRPr="00FC3044">
          <w:rPr>
            <w:rStyle w:val="Hyperlink"/>
            <w:noProof/>
          </w:rPr>
          <w:t>Pillar 2: Ensuring Last Mile Access</w:t>
        </w:r>
        <w:r>
          <w:rPr>
            <w:noProof/>
            <w:webHidden/>
          </w:rPr>
          <w:tab/>
        </w:r>
        <w:r>
          <w:rPr>
            <w:noProof/>
            <w:webHidden/>
          </w:rPr>
          <w:fldChar w:fldCharType="begin"/>
        </w:r>
        <w:r>
          <w:rPr>
            <w:noProof/>
            <w:webHidden/>
          </w:rPr>
          <w:instrText xml:space="preserve"> PAGEREF _Toc227601155 \h </w:instrText>
        </w:r>
        <w:r>
          <w:rPr>
            <w:noProof/>
            <w:webHidden/>
          </w:rPr>
        </w:r>
        <w:r>
          <w:rPr>
            <w:noProof/>
            <w:webHidden/>
          </w:rPr>
          <w:fldChar w:fldCharType="separate"/>
        </w:r>
        <w:r>
          <w:rPr>
            <w:noProof/>
            <w:webHidden/>
          </w:rPr>
          <w:t>20</w:t>
        </w:r>
        <w:r>
          <w:rPr>
            <w:noProof/>
            <w:webHidden/>
          </w:rPr>
          <w:fldChar w:fldCharType="end"/>
        </w:r>
      </w:hyperlink>
    </w:p>
    <w:p w14:paraId="258C2C06" w14:textId="54287ED8" w:rsidR="002C5C74" w:rsidRDefault="002C5C74">
      <w:pPr>
        <w:pStyle w:val="TOC2"/>
        <w:tabs>
          <w:tab w:val="left" w:pos="709"/>
          <w:tab w:val="right" w:leader="dot" w:pos="8494"/>
        </w:tabs>
        <w:rPr>
          <w:rFonts w:eastAsiaTheme="minorEastAsia"/>
          <w:noProof/>
          <w:kern w:val="2"/>
          <w:sz w:val="24"/>
          <w:szCs w:val="24"/>
          <w:lang w:val="en-NG" w:eastAsia="en-NG"/>
          <w14:ligatures w14:val="standardContextual"/>
        </w:rPr>
      </w:pPr>
      <w:hyperlink w:anchor="_Toc227601156" w:history="1">
        <w:r w:rsidRPr="00FC3044">
          <w:rPr>
            <w:rStyle w:val="Hyperlink"/>
            <w:noProof/>
          </w:rPr>
          <w:t>6.3</w:t>
        </w:r>
        <w:r>
          <w:rPr>
            <w:rFonts w:eastAsiaTheme="minorEastAsia"/>
            <w:noProof/>
            <w:kern w:val="2"/>
            <w:sz w:val="24"/>
            <w:szCs w:val="24"/>
            <w:lang w:val="en-NG" w:eastAsia="en-NG"/>
            <w14:ligatures w14:val="standardContextual"/>
          </w:rPr>
          <w:tab/>
        </w:r>
        <w:r w:rsidRPr="00FC3044">
          <w:rPr>
            <w:rStyle w:val="Hyperlink"/>
            <w:noProof/>
          </w:rPr>
          <w:t>Pillar 3: Ensuring Financially Viable Utilities</w:t>
        </w:r>
        <w:r>
          <w:rPr>
            <w:noProof/>
            <w:webHidden/>
          </w:rPr>
          <w:tab/>
        </w:r>
        <w:r>
          <w:rPr>
            <w:noProof/>
            <w:webHidden/>
          </w:rPr>
          <w:fldChar w:fldCharType="begin"/>
        </w:r>
        <w:r>
          <w:rPr>
            <w:noProof/>
            <w:webHidden/>
          </w:rPr>
          <w:instrText xml:space="preserve"> PAGEREF _Toc227601156 \h </w:instrText>
        </w:r>
        <w:r>
          <w:rPr>
            <w:noProof/>
            <w:webHidden/>
          </w:rPr>
        </w:r>
        <w:r>
          <w:rPr>
            <w:noProof/>
            <w:webHidden/>
          </w:rPr>
          <w:fldChar w:fldCharType="separate"/>
        </w:r>
        <w:r>
          <w:rPr>
            <w:noProof/>
            <w:webHidden/>
          </w:rPr>
          <w:t>21</w:t>
        </w:r>
        <w:r>
          <w:rPr>
            <w:noProof/>
            <w:webHidden/>
          </w:rPr>
          <w:fldChar w:fldCharType="end"/>
        </w:r>
      </w:hyperlink>
    </w:p>
    <w:p w14:paraId="0D81992E" w14:textId="2E1F51EC" w:rsidR="002C5C74" w:rsidRDefault="002C5C74">
      <w:pPr>
        <w:pStyle w:val="TOC2"/>
        <w:tabs>
          <w:tab w:val="left" w:pos="709"/>
          <w:tab w:val="right" w:leader="dot" w:pos="8494"/>
        </w:tabs>
        <w:rPr>
          <w:rFonts w:eastAsiaTheme="minorEastAsia"/>
          <w:noProof/>
          <w:kern w:val="2"/>
          <w:sz w:val="24"/>
          <w:szCs w:val="24"/>
          <w:lang w:val="en-NG" w:eastAsia="en-NG"/>
          <w14:ligatures w14:val="standardContextual"/>
        </w:rPr>
      </w:pPr>
      <w:hyperlink w:anchor="_Toc227601157" w:history="1">
        <w:r w:rsidRPr="00FC3044">
          <w:rPr>
            <w:rStyle w:val="Hyperlink"/>
            <w:noProof/>
          </w:rPr>
          <w:t>6.4</w:t>
        </w:r>
        <w:r>
          <w:rPr>
            <w:rFonts w:eastAsiaTheme="minorEastAsia"/>
            <w:noProof/>
            <w:kern w:val="2"/>
            <w:sz w:val="24"/>
            <w:szCs w:val="24"/>
            <w:lang w:val="en-NG" w:eastAsia="en-NG"/>
            <w14:ligatures w14:val="standardContextual"/>
          </w:rPr>
          <w:tab/>
        </w:r>
        <w:r w:rsidRPr="00FC3044">
          <w:rPr>
            <w:rStyle w:val="Hyperlink"/>
            <w:noProof/>
          </w:rPr>
          <w:t>Pillar 4: Incentivizing Private Sector Participation</w:t>
        </w:r>
        <w:r>
          <w:rPr>
            <w:noProof/>
            <w:webHidden/>
          </w:rPr>
          <w:tab/>
        </w:r>
        <w:r>
          <w:rPr>
            <w:noProof/>
            <w:webHidden/>
          </w:rPr>
          <w:fldChar w:fldCharType="begin"/>
        </w:r>
        <w:r>
          <w:rPr>
            <w:noProof/>
            <w:webHidden/>
          </w:rPr>
          <w:instrText xml:space="preserve"> PAGEREF _Toc227601157 \h </w:instrText>
        </w:r>
        <w:r>
          <w:rPr>
            <w:noProof/>
            <w:webHidden/>
          </w:rPr>
        </w:r>
        <w:r>
          <w:rPr>
            <w:noProof/>
            <w:webHidden/>
          </w:rPr>
          <w:fldChar w:fldCharType="separate"/>
        </w:r>
        <w:r>
          <w:rPr>
            <w:noProof/>
            <w:webHidden/>
          </w:rPr>
          <w:t>21</w:t>
        </w:r>
        <w:r>
          <w:rPr>
            <w:noProof/>
            <w:webHidden/>
          </w:rPr>
          <w:fldChar w:fldCharType="end"/>
        </w:r>
      </w:hyperlink>
    </w:p>
    <w:p w14:paraId="3FDE39A0" w14:textId="647FD7C0" w:rsidR="002C5C74" w:rsidRDefault="002C5C74">
      <w:pPr>
        <w:pStyle w:val="TOC2"/>
        <w:tabs>
          <w:tab w:val="left" w:pos="709"/>
          <w:tab w:val="right" w:leader="dot" w:pos="8494"/>
        </w:tabs>
        <w:rPr>
          <w:rFonts w:eastAsiaTheme="minorEastAsia"/>
          <w:noProof/>
          <w:kern w:val="2"/>
          <w:sz w:val="24"/>
          <w:szCs w:val="24"/>
          <w:lang w:val="en-NG" w:eastAsia="en-NG"/>
          <w14:ligatures w14:val="standardContextual"/>
        </w:rPr>
      </w:pPr>
      <w:hyperlink w:anchor="_Toc227601158" w:history="1">
        <w:r w:rsidRPr="00FC3044">
          <w:rPr>
            <w:rStyle w:val="Hyperlink"/>
            <w:noProof/>
          </w:rPr>
          <w:t>6.5</w:t>
        </w:r>
        <w:r>
          <w:rPr>
            <w:rFonts w:eastAsiaTheme="minorEastAsia"/>
            <w:noProof/>
            <w:kern w:val="2"/>
            <w:sz w:val="24"/>
            <w:szCs w:val="24"/>
            <w:lang w:val="en-NG" w:eastAsia="en-NG"/>
            <w14:ligatures w14:val="standardContextual"/>
          </w:rPr>
          <w:tab/>
        </w:r>
        <w:r w:rsidRPr="00FC3044">
          <w:rPr>
            <w:rStyle w:val="Hyperlink"/>
            <w:noProof/>
          </w:rPr>
          <w:t>Pillar 5: Leveraging Regional Integration</w:t>
        </w:r>
        <w:r>
          <w:rPr>
            <w:noProof/>
            <w:webHidden/>
          </w:rPr>
          <w:tab/>
        </w:r>
        <w:r>
          <w:rPr>
            <w:noProof/>
            <w:webHidden/>
          </w:rPr>
          <w:fldChar w:fldCharType="begin"/>
        </w:r>
        <w:r>
          <w:rPr>
            <w:noProof/>
            <w:webHidden/>
          </w:rPr>
          <w:instrText xml:space="preserve"> PAGEREF _Toc227601158 \h </w:instrText>
        </w:r>
        <w:r>
          <w:rPr>
            <w:noProof/>
            <w:webHidden/>
          </w:rPr>
        </w:r>
        <w:r>
          <w:rPr>
            <w:noProof/>
            <w:webHidden/>
          </w:rPr>
          <w:fldChar w:fldCharType="separate"/>
        </w:r>
        <w:r>
          <w:rPr>
            <w:noProof/>
            <w:webHidden/>
          </w:rPr>
          <w:t>21</w:t>
        </w:r>
        <w:r>
          <w:rPr>
            <w:noProof/>
            <w:webHidden/>
          </w:rPr>
          <w:fldChar w:fldCharType="end"/>
        </w:r>
      </w:hyperlink>
    </w:p>
    <w:p w14:paraId="4B5586A4" w14:textId="5C7AFE8F" w:rsidR="002C5C74" w:rsidRDefault="002C5C74">
      <w:pPr>
        <w:pStyle w:val="TOC2"/>
        <w:tabs>
          <w:tab w:val="left" w:pos="709"/>
          <w:tab w:val="right" w:leader="dot" w:pos="8494"/>
        </w:tabs>
        <w:rPr>
          <w:rFonts w:eastAsiaTheme="minorEastAsia"/>
          <w:noProof/>
          <w:kern w:val="2"/>
          <w:sz w:val="24"/>
          <w:szCs w:val="24"/>
          <w:lang w:val="en-NG" w:eastAsia="en-NG"/>
          <w14:ligatures w14:val="standardContextual"/>
        </w:rPr>
      </w:pPr>
      <w:hyperlink w:anchor="_Toc227601159" w:history="1">
        <w:r w:rsidRPr="00FC3044">
          <w:rPr>
            <w:rStyle w:val="Hyperlink"/>
            <w:noProof/>
          </w:rPr>
          <w:t>6.6</w:t>
        </w:r>
        <w:r>
          <w:rPr>
            <w:rFonts w:eastAsiaTheme="minorEastAsia"/>
            <w:noProof/>
            <w:kern w:val="2"/>
            <w:sz w:val="24"/>
            <w:szCs w:val="24"/>
            <w:lang w:val="en-NG" w:eastAsia="en-NG"/>
            <w14:ligatures w14:val="standardContextual"/>
          </w:rPr>
          <w:tab/>
        </w:r>
        <w:r w:rsidRPr="00FC3044">
          <w:rPr>
            <w:rStyle w:val="Hyperlink"/>
            <w:noProof/>
          </w:rPr>
          <w:t>Clean Cooking Baseline (Cross-Cutting Access Indicator)</w:t>
        </w:r>
        <w:r>
          <w:rPr>
            <w:noProof/>
            <w:webHidden/>
          </w:rPr>
          <w:tab/>
        </w:r>
        <w:r>
          <w:rPr>
            <w:noProof/>
            <w:webHidden/>
          </w:rPr>
          <w:fldChar w:fldCharType="begin"/>
        </w:r>
        <w:r>
          <w:rPr>
            <w:noProof/>
            <w:webHidden/>
          </w:rPr>
          <w:instrText xml:space="preserve"> PAGEREF _Toc227601159 \h </w:instrText>
        </w:r>
        <w:r>
          <w:rPr>
            <w:noProof/>
            <w:webHidden/>
          </w:rPr>
        </w:r>
        <w:r>
          <w:rPr>
            <w:noProof/>
            <w:webHidden/>
          </w:rPr>
          <w:fldChar w:fldCharType="separate"/>
        </w:r>
        <w:r>
          <w:rPr>
            <w:noProof/>
            <w:webHidden/>
          </w:rPr>
          <w:t>22</w:t>
        </w:r>
        <w:r>
          <w:rPr>
            <w:noProof/>
            <w:webHidden/>
          </w:rPr>
          <w:fldChar w:fldCharType="end"/>
        </w:r>
      </w:hyperlink>
    </w:p>
    <w:p w14:paraId="2B1B216A" w14:textId="7D370266" w:rsidR="002C5C74" w:rsidRDefault="002C5C74">
      <w:pPr>
        <w:pStyle w:val="TOC1"/>
        <w:rPr>
          <w:rFonts w:eastAsiaTheme="minorEastAsia"/>
          <w:b w:val="0"/>
          <w:noProof/>
          <w:kern w:val="2"/>
          <w:sz w:val="24"/>
          <w:szCs w:val="24"/>
          <w:lang w:val="en-NG" w:eastAsia="en-NG"/>
          <w14:ligatures w14:val="standardContextual"/>
        </w:rPr>
      </w:pPr>
      <w:hyperlink w:anchor="_Toc227601160" w:history="1">
        <w:r w:rsidRPr="00FC3044">
          <w:rPr>
            <w:rStyle w:val="Hyperlink"/>
            <w:noProof/>
          </w:rPr>
          <w:t>7</w:t>
        </w:r>
        <w:r>
          <w:rPr>
            <w:rFonts w:eastAsiaTheme="minorEastAsia"/>
            <w:b w:val="0"/>
            <w:noProof/>
            <w:kern w:val="2"/>
            <w:sz w:val="24"/>
            <w:szCs w:val="24"/>
            <w:lang w:val="en-NG" w:eastAsia="en-NG"/>
            <w14:ligatures w14:val="standardContextual"/>
          </w:rPr>
          <w:tab/>
        </w:r>
        <w:r w:rsidRPr="00FC3044">
          <w:rPr>
            <w:rStyle w:val="Hyperlink"/>
            <w:noProof/>
          </w:rPr>
          <w:t>Monitoring and KPI Framework Structure</w:t>
        </w:r>
        <w:r>
          <w:rPr>
            <w:noProof/>
            <w:webHidden/>
          </w:rPr>
          <w:tab/>
        </w:r>
        <w:r>
          <w:rPr>
            <w:noProof/>
            <w:webHidden/>
          </w:rPr>
          <w:fldChar w:fldCharType="begin"/>
        </w:r>
        <w:r>
          <w:rPr>
            <w:noProof/>
            <w:webHidden/>
          </w:rPr>
          <w:instrText xml:space="preserve"> PAGEREF _Toc227601160 \h </w:instrText>
        </w:r>
        <w:r>
          <w:rPr>
            <w:noProof/>
            <w:webHidden/>
          </w:rPr>
        </w:r>
        <w:r>
          <w:rPr>
            <w:noProof/>
            <w:webHidden/>
          </w:rPr>
          <w:fldChar w:fldCharType="separate"/>
        </w:r>
        <w:r>
          <w:rPr>
            <w:noProof/>
            <w:webHidden/>
          </w:rPr>
          <w:t>23</w:t>
        </w:r>
        <w:r>
          <w:rPr>
            <w:noProof/>
            <w:webHidden/>
          </w:rPr>
          <w:fldChar w:fldCharType="end"/>
        </w:r>
      </w:hyperlink>
    </w:p>
    <w:p w14:paraId="4ADD9F32" w14:textId="12454812" w:rsidR="002C5C74" w:rsidRDefault="002C5C74">
      <w:pPr>
        <w:pStyle w:val="TOC2"/>
        <w:tabs>
          <w:tab w:val="left" w:pos="709"/>
          <w:tab w:val="right" w:leader="dot" w:pos="8494"/>
        </w:tabs>
        <w:rPr>
          <w:rFonts w:eastAsiaTheme="minorEastAsia"/>
          <w:noProof/>
          <w:kern w:val="2"/>
          <w:sz w:val="24"/>
          <w:szCs w:val="24"/>
          <w:lang w:val="en-NG" w:eastAsia="en-NG"/>
          <w14:ligatures w14:val="standardContextual"/>
        </w:rPr>
      </w:pPr>
      <w:hyperlink w:anchor="_Toc227601161" w:history="1">
        <w:r w:rsidRPr="00FC3044">
          <w:rPr>
            <w:rStyle w:val="Hyperlink"/>
            <w:noProof/>
          </w:rPr>
          <w:t>7.1</w:t>
        </w:r>
        <w:r>
          <w:rPr>
            <w:rFonts w:eastAsiaTheme="minorEastAsia"/>
            <w:noProof/>
            <w:kern w:val="2"/>
            <w:sz w:val="24"/>
            <w:szCs w:val="24"/>
            <w:lang w:val="en-NG" w:eastAsia="en-NG"/>
            <w14:ligatures w14:val="standardContextual"/>
          </w:rPr>
          <w:tab/>
        </w:r>
        <w:r w:rsidRPr="00FC3044">
          <w:rPr>
            <w:rStyle w:val="Hyperlink"/>
            <w:noProof/>
          </w:rPr>
          <w:t>Indicator Classification Structure</w:t>
        </w:r>
        <w:r>
          <w:rPr>
            <w:noProof/>
            <w:webHidden/>
          </w:rPr>
          <w:tab/>
        </w:r>
        <w:r>
          <w:rPr>
            <w:noProof/>
            <w:webHidden/>
          </w:rPr>
          <w:fldChar w:fldCharType="begin"/>
        </w:r>
        <w:r>
          <w:rPr>
            <w:noProof/>
            <w:webHidden/>
          </w:rPr>
          <w:instrText xml:space="preserve"> PAGEREF _Toc227601161 \h </w:instrText>
        </w:r>
        <w:r>
          <w:rPr>
            <w:noProof/>
            <w:webHidden/>
          </w:rPr>
        </w:r>
        <w:r>
          <w:rPr>
            <w:noProof/>
            <w:webHidden/>
          </w:rPr>
          <w:fldChar w:fldCharType="separate"/>
        </w:r>
        <w:r>
          <w:rPr>
            <w:noProof/>
            <w:webHidden/>
          </w:rPr>
          <w:t>23</w:t>
        </w:r>
        <w:r>
          <w:rPr>
            <w:noProof/>
            <w:webHidden/>
          </w:rPr>
          <w:fldChar w:fldCharType="end"/>
        </w:r>
      </w:hyperlink>
    </w:p>
    <w:p w14:paraId="33312A24" w14:textId="71148D14" w:rsidR="002C5C74" w:rsidRDefault="002C5C74">
      <w:pPr>
        <w:pStyle w:val="TOC2"/>
        <w:tabs>
          <w:tab w:val="left" w:pos="709"/>
          <w:tab w:val="right" w:leader="dot" w:pos="8494"/>
        </w:tabs>
        <w:rPr>
          <w:rFonts w:eastAsiaTheme="minorEastAsia"/>
          <w:noProof/>
          <w:kern w:val="2"/>
          <w:sz w:val="24"/>
          <w:szCs w:val="24"/>
          <w:lang w:val="en-NG" w:eastAsia="en-NG"/>
          <w14:ligatures w14:val="standardContextual"/>
        </w:rPr>
      </w:pPr>
      <w:hyperlink w:anchor="_Toc227601162" w:history="1">
        <w:r w:rsidRPr="00FC3044">
          <w:rPr>
            <w:rStyle w:val="Hyperlink"/>
            <w:noProof/>
          </w:rPr>
          <w:t>7.2</w:t>
        </w:r>
        <w:r>
          <w:rPr>
            <w:rFonts w:eastAsiaTheme="minorEastAsia"/>
            <w:noProof/>
            <w:kern w:val="2"/>
            <w:sz w:val="24"/>
            <w:szCs w:val="24"/>
            <w:lang w:val="en-NG" w:eastAsia="en-NG"/>
            <w14:ligatures w14:val="standardContextual"/>
          </w:rPr>
          <w:tab/>
        </w:r>
        <w:r w:rsidRPr="00FC3044">
          <w:rPr>
            <w:rStyle w:val="Hyperlink"/>
            <w:noProof/>
          </w:rPr>
          <w:t>Indicator Typology</w:t>
        </w:r>
        <w:r>
          <w:rPr>
            <w:noProof/>
            <w:webHidden/>
          </w:rPr>
          <w:tab/>
        </w:r>
        <w:r>
          <w:rPr>
            <w:noProof/>
            <w:webHidden/>
          </w:rPr>
          <w:fldChar w:fldCharType="begin"/>
        </w:r>
        <w:r>
          <w:rPr>
            <w:noProof/>
            <w:webHidden/>
          </w:rPr>
          <w:instrText xml:space="preserve"> PAGEREF _Toc227601162 \h </w:instrText>
        </w:r>
        <w:r>
          <w:rPr>
            <w:noProof/>
            <w:webHidden/>
          </w:rPr>
        </w:r>
        <w:r>
          <w:rPr>
            <w:noProof/>
            <w:webHidden/>
          </w:rPr>
          <w:fldChar w:fldCharType="separate"/>
        </w:r>
        <w:r>
          <w:rPr>
            <w:noProof/>
            <w:webHidden/>
          </w:rPr>
          <w:t>24</w:t>
        </w:r>
        <w:r>
          <w:rPr>
            <w:noProof/>
            <w:webHidden/>
          </w:rPr>
          <w:fldChar w:fldCharType="end"/>
        </w:r>
      </w:hyperlink>
    </w:p>
    <w:p w14:paraId="002A6CEA" w14:textId="7435B11B" w:rsidR="002C5C74" w:rsidRDefault="002C5C74">
      <w:pPr>
        <w:pStyle w:val="TOC2"/>
        <w:tabs>
          <w:tab w:val="left" w:pos="709"/>
          <w:tab w:val="right" w:leader="dot" w:pos="8494"/>
        </w:tabs>
        <w:rPr>
          <w:rFonts w:eastAsiaTheme="minorEastAsia"/>
          <w:noProof/>
          <w:kern w:val="2"/>
          <w:sz w:val="24"/>
          <w:szCs w:val="24"/>
          <w:lang w:val="en-NG" w:eastAsia="en-NG"/>
          <w14:ligatures w14:val="standardContextual"/>
        </w:rPr>
      </w:pPr>
      <w:hyperlink w:anchor="_Toc227601163" w:history="1">
        <w:r w:rsidRPr="00FC3044">
          <w:rPr>
            <w:rStyle w:val="Hyperlink"/>
            <w:noProof/>
          </w:rPr>
          <w:t>7.3</w:t>
        </w:r>
        <w:r>
          <w:rPr>
            <w:rFonts w:eastAsiaTheme="minorEastAsia"/>
            <w:noProof/>
            <w:kern w:val="2"/>
            <w:sz w:val="24"/>
            <w:szCs w:val="24"/>
            <w:lang w:val="en-NG" w:eastAsia="en-NG"/>
            <w14:ligatures w14:val="standardContextual"/>
          </w:rPr>
          <w:tab/>
        </w:r>
        <w:r w:rsidRPr="00FC3044">
          <w:rPr>
            <w:rStyle w:val="Hyperlink"/>
            <w:noProof/>
          </w:rPr>
          <w:t>Indicator Definition and Traceability</w:t>
        </w:r>
        <w:r>
          <w:rPr>
            <w:noProof/>
            <w:webHidden/>
          </w:rPr>
          <w:tab/>
        </w:r>
        <w:r>
          <w:rPr>
            <w:noProof/>
            <w:webHidden/>
          </w:rPr>
          <w:fldChar w:fldCharType="begin"/>
        </w:r>
        <w:r>
          <w:rPr>
            <w:noProof/>
            <w:webHidden/>
          </w:rPr>
          <w:instrText xml:space="preserve"> PAGEREF _Toc227601163 \h </w:instrText>
        </w:r>
        <w:r>
          <w:rPr>
            <w:noProof/>
            <w:webHidden/>
          </w:rPr>
        </w:r>
        <w:r>
          <w:rPr>
            <w:noProof/>
            <w:webHidden/>
          </w:rPr>
          <w:fldChar w:fldCharType="separate"/>
        </w:r>
        <w:r>
          <w:rPr>
            <w:noProof/>
            <w:webHidden/>
          </w:rPr>
          <w:t>24</w:t>
        </w:r>
        <w:r>
          <w:rPr>
            <w:noProof/>
            <w:webHidden/>
          </w:rPr>
          <w:fldChar w:fldCharType="end"/>
        </w:r>
      </w:hyperlink>
    </w:p>
    <w:p w14:paraId="76A10B92" w14:textId="656EE15B" w:rsidR="002C5C74" w:rsidRDefault="002C5C74">
      <w:pPr>
        <w:pStyle w:val="TOC2"/>
        <w:tabs>
          <w:tab w:val="left" w:pos="709"/>
          <w:tab w:val="right" w:leader="dot" w:pos="8494"/>
        </w:tabs>
        <w:rPr>
          <w:rFonts w:eastAsiaTheme="minorEastAsia"/>
          <w:noProof/>
          <w:kern w:val="2"/>
          <w:sz w:val="24"/>
          <w:szCs w:val="24"/>
          <w:lang w:val="en-NG" w:eastAsia="en-NG"/>
          <w14:ligatures w14:val="standardContextual"/>
        </w:rPr>
      </w:pPr>
      <w:hyperlink w:anchor="_Toc227601164" w:history="1">
        <w:r w:rsidRPr="00FC3044">
          <w:rPr>
            <w:rStyle w:val="Hyperlink"/>
            <w:noProof/>
          </w:rPr>
          <w:t>7.4</w:t>
        </w:r>
        <w:r>
          <w:rPr>
            <w:rFonts w:eastAsiaTheme="minorEastAsia"/>
            <w:noProof/>
            <w:kern w:val="2"/>
            <w:sz w:val="24"/>
            <w:szCs w:val="24"/>
            <w:lang w:val="en-NG" w:eastAsia="en-NG"/>
            <w14:ligatures w14:val="standardContextual"/>
          </w:rPr>
          <w:tab/>
        </w:r>
        <w:r w:rsidRPr="00FC3044">
          <w:rPr>
            <w:rStyle w:val="Hyperlink"/>
            <w:noProof/>
          </w:rPr>
          <w:t>Aggregation Structure</w:t>
        </w:r>
        <w:r>
          <w:rPr>
            <w:noProof/>
            <w:webHidden/>
          </w:rPr>
          <w:tab/>
        </w:r>
        <w:r>
          <w:rPr>
            <w:noProof/>
            <w:webHidden/>
          </w:rPr>
          <w:fldChar w:fldCharType="begin"/>
        </w:r>
        <w:r>
          <w:rPr>
            <w:noProof/>
            <w:webHidden/>
          </w:rPr>
          <w:instrText xml:space="preserve"> PAGEREF _Toc227601164 \h </w:instrText>
        </w:r>
        <w:r>
          <w:rPr>
            <w:noProof/>
            <w:webHidden/>
          </w:rPr>
        </w:r>
        <w:r>
          <w:rPr>
            <w:noProof/>
            <w:webHidden/>
          </w:rPr>
          <w:fldChar w:fldCharType="separate"/>
        </w:r>
        <w:r>
          <w:rPr>
            <w:noProof/>
            <w:webHidden/>
          </w:rPr>
          <w:t>24</w:t>
        </w:r>
        <w:r>
          <w:rPr>
            <w:noProof/>
            <w:webHidden/>
          </w:rPr>
          <w:fldChar w:fldCharType="end"/>
        </w:r>
      </w:hyperlink>
    </w:p>
    <w:p w14:paraId="1B45D395" w14:textId="420B9699" w:rsidR="002C5C74" w:rsidRDefault="002C5C74">
      <w:pPr>
        <w:pStyle w:val="TOC2"/>
        <w:tabs>
          <w:tab w:val="left" w:pos="709"/>
          <w:tab w:val="right" w:leader="dot" w:pos="8494"/>
        </w:tabs>
        <w:rPr>
          <w:rFonts w:eastAsiaTheme="minorEastAsia"/>
          <w:noProof/>
          <w:kern w:val="2"/>
          <w:sz w:val="24"/>
          <w:szCs w:val="24"/>
          <w:lang w:val="en-NG" w:eastAsia="en-NG"/>
          <w14:ligatures w14:val="standardContextual"/>
        </w:rPr>
      </w:pPr>
      <w:hyperlink w:anchor="_Toc227601165" w:history="1">
        <w:r w:rsidRPr="00FC3044">
          <w:rPr>
            <w:rStyle w:val="Hyperlink"/>
            <w:noProof/>
          </w:rPr>
          <w:t>7.5</w:t>
        </w:r>
        <w:r>
          <w:rPr>
            <w:rFonts w:eastAsiaTheme="minorEastAsia"/>
            <w:noProof/>
            <w:kern w:val="2"/>
            <w:sz w:val="24"/>
            <w:szCs w:val="24"/>
            <w:lang w:val="en-NG" w:eastAsia="en-NG"/>
            <w14:ligatures w14:val="standardContextual"/>
          </w:rPr>
          <w:tab/>
        </w:r>
        <w:r w:rsidRPr="00FC3044">
          <w:rPr>
            <w:rStyle w:val="Hyperlink"/>
            <w:noProof/>
          </w:rPr>
          <w:t>Reporting Cycles</w:t>
        </w:r>
        <w:r>
          <w:rPr>
            <w:noProof/>
            <w:webHidden/>
          </w:rPr>
          <w:tab/>
        </w:r>
        <w:r>
          <w:rPr>
            <w:noProof/>
            <w:webHidden/>
          </w:rPr>
          <w:fldChar w:fldCharType="begin"/>
        </w:r>
        <w:r>
          <w:rPr>
            <w:noProof/>
            <w:webHidden/>
          </w:rPr>
          <w:instrText xml:space="preserve"> PAGEREF _Toc227601165 \h </w:instrText>
        </w:r>
        <w:r>
          <w:rPr>
            <w:noProof/>
            <w:webHidden/>
          </w:rPr>
        </w:r>
        <w:r>
          <w:rPr>
            <w:noProof/>
            <w:webHidden/>
          </w:rPr>
          <w:fldChar w:fldCharType="separate"/>
        </w:r>
        <w:r>
          <w:rPr>
            <w:noProof/>
            <w:webHidden/>
          </w:rPr>
          <w:t>25</w:t>
        </w:r>
        <w:r>
          <w:rPr>
            <w:noProof/>
            <w:webHidden/>
          </w:rPr>
          <w:fldChar w:fldCharType="end"/>
        </w:r>
      </w:hyperlink>
    </w:p>
    <w:p w14:paraId="60D2C070" w14:textId="177A890F" w:rsidR="002C5C74" w:rsidRDefault="002C5C74">
      <w:pPr>
        <w:pStyle w:val="TOC2"/>
        <w:tabs>
          <w:tab w:val="left" w:pos="709"/>
          <w:tab w:val="right" w:leader="dot" w:pos="8494"/>
        </w:tabs>
        <w:rPr>
          <w:rFonts w:eastAsiaTheme="minorEastAsia"/>
          <w:noProof/>
          <w:kern w:val="2"/>
          <w:sz w:val="24"/>
          <w:szCs w:val="24"/>
          <w:lang w:val="en-NG" w:eastAsia="en-NG"/>
          <w14:ligatures w14:val="standardContextual"/>
        </w:rPr>
      </w:pPr>
      <w:hyperlink w:anchor="_Toc227601166" w:history="1">
        <w:r w:rsidRPr="00FC3044">
          <w:rPr>
            <w:rStyle w:val="Hyperlink"/>
            <w:noProof/>
          </w:rPr>
          <w:t>7.6</w:t>
        </w:r>
        <w:r>
          <w:rPr>
            <w:rFonts w:eastAsiaTheme="minorEastAsia"/>
            <w:noProof/>
            <w:kern w:val="2"/>
            <w:sz w:val="24"/>
            <w:szCs w:val="24"/>
            <w:lang w:val="en-NG" w:eastAsia="en-NG"/>
            <w14:ligatures w14:val="standardContextual"/>
          </w:rPr>
          <w:tab/>
        </w:r>
        <w:r w:rsidRPr="00FC3044">
          <w:rPr>
            <w:rStyle w:val="Hyperlink"/>
            <w:noProof/>
          </w:rPr>
          <w:t>Preliminary Validation Status and Known Data Constraints</w:t>
        </w:r>
        <w:r>
          <w:rPr>
            <w:noProof/>
            <w:webHidden/>
          </w:rPr>
          <w:tab/>
        </w:r>
        <w:r>
          <w:rPr>
            <w:noProof/>
            <w:webHidden/>
          </w:rPr>
          <w:fldChar w:fldCharType="begin"/>
        </w:r>
        <w:r>
          <w:rPr>
            <w:noProof/>
            <w:webHidden/>
          </w:rPr>
          <w:instrText xml:space="preserve"> PAGEREF _Toc227601166 \h </w:instrText>
        </w:r>
        <w:r>
          <w:rPr>
            <w:noProof/>
            <w:webHidden/>
          </w:rPr>
        </w:r>
        <w:r>
          <w:rPr>
            <w:noProof/>
            <w:webHidden/>
          </w:rPr>
          <w:fldChar w:fldCharType="separate"/>
        </w:r>
        <w:r>
          <w:rPr>
            <w:noProof/>
            <w:webHidden/>
          </w:rPr>
          <w:t>25</w:t>
        </w:r>
        <w:r>
          <w:rPr>
            <w:noProof/>
            <w:webHidden/>
          </w:rPr>
          <w:fldChar w:fldCharType="end"/>
        </w:r>
      </w:hyperlink>
    </w:p>
    <w:p w14:paraId="102D6334" w14:textId="4623E26A" w:rsidR="002C5C74" w:rsidRDefault="002C5C74">
      <w:pPr>
        <w:pStyle w:val="TOC1"/>
        <w:rPr>
          <w:rFonts w:eastAsiaTheme="minorEastAsia"/>
          <w:b w:val="0"/>
          <w:noProof/>
          <w:kern w:val="2"/>
          <w:sz w:val="24"/>
          <w:szCs w:val="24"/>
          <w:lang w:val="en-NG" w:eastAsia="en-NG"/>
          <w14:ligatures w14:val="standardContextual"/>
        </w:rPr>
      </w:pPr>
      <w:hyperlink w:anchor="_Toc227601167" w:history="1">
        <w:r w:rsidRPr="00FC3044">
          <w:rPr>
            <w:rStyle w:val="Hyperlink"/>
            <w:noProof/>
          </w:rPr>
          <w:t>8</w:t>
        </w:r>
        <w:r>
          <w:rPr>
            <w:rFonts w:eastAsiaTheme="minorEastAsia"/>
            <w:b w:val="0"/>
            <w:noProof/>
            <w:kern w:val="2"/>
            <w:sz w:val="24"/>
            <w:szCs w:val="24"/>
            <w:lang w:val="en-NG" w:eastAsia="en-NG"/>
            <w14:ligatures w14:val="standardContextual"/>
          </w:rPr>
          <w:tab/>
        </w:r>
        <w:r w:rsidRPr="00FC3044">
          <w:rPr>
            <w:rStyle w:val="Hyperlink"/>
            <w:noProof/>
          </w:rPr>
          <w:t>Data Architecture and Validation Framework</w:t>
        </w:r>
        <w:r>
          <w:rPr>
            <w:noProof/>
            <w:webHidden/>
          </w:rPr>
          <w:tab/>
        </w:r>
        <w:r>
          <w:rPr>
            <w:noProof/>
            <w:webHidden/>
          </w:rPr>
          <w:fldChar w:fldCharType="begin"/>
        </w:r>
        <w:r>
          <w:rPr>
            <w:noProof/>
            <w:webHidden/>
          </w:rPr>
          <w:instrText xml:space="preserve"> PAGEREF _Toc227601167 \h </w:instrText>
        </w:r>
        <w:r>
          <w:rPr>
            <w:noProof/>
            <w:webHidden/>
          </w:rPr>
        </w:r>
        <w:r>
          <w:rPr>
            <w:noProof/>
            <w:webHidden/>
          </w:rPr>
          <w:fldChar w:fldCharType="separate"/>
        </w:r>
        <w:r>
          <w:rPr>
            <w:noProof/>
            <w:webHidden/>
          </w:rPr>
          <w:t>26</w:t>
        </w:r>
        <w:r>
          <w:rPr>
            <w:noProof/>
            <w:webHidden/>
          </w:rPr>
          <w:fldChar w:fldCharType="end"/>
        </w:r>
      </w:hyperlink>
    </w:p>
    <w:p w14:paraId="3843858D" w14:textId="66D7C1BC" w:rsidR="002C5C74" w:rsidRDefault="002C5C74">
      <w:pPr>
        <w:pStyle w:val="TOC2"/>
        <w:tabs>
          <w:tab w:val="left" w:pos="709"/>
          <w:tab w:val="right" w:leader="dot" w:pos="8494"/>
        </w:tabs>
        <w:rPr>
          <w:rFonts w:eastAsiaTheme="minorEastAsia"/>
          <w:noProof/>
          <w:kern w:val="2"/>
          <w:sz w:val="24"/>
          <w:szCs w:val="24"/>
          <w:lang w:val="en-NG" w:eastAsia="en-NG"/>
          <w14:ligatures w14:val="standardContextual"/>
        </w:rPr>
      </w:pPr>
      <w:hyperlink w:anchor="_Toc227601168" w:history="1">
        <w:r w:rsidRPr="00FC3044">
          <w:rPr>
            <w:rStyle w:val="Hyperlink"/>
            <w:noProof/>
          </w:rPr>
          <w:t>8.1</w:t>
        </w:r>
        <w:r>
          <w:rPr>
            <w:rFonts w:eastAsiaTheme="minorEastAsia"/>
            <w:noProof/>
            <w:kern w:val="2"/>
            <w:sz w:val="24"/>
            <w:szCs w:val="24"/>
            <w:lang w:val="en-NG" w:eastAsia="en-NG"/>
            <w14:ligatures w14:val="standardContextual"/>
          </w:rPr>
          <w:tab/>
        </w:r>
        <w:r w:rsidRPr="00FC3044">
          <w:rPr>
            <w:rStyle w:val="Hyperlink"/>
            <w:noProof/>
          </w:rPr>
          <w:t>Data Source Architecture</w:t>
        </w:r>
        <w:r>
          <w:rPr>
            <w:noProof/>
            <w:webHidden/>
          </w:rPr>
          <w:tab/>
        </w:r>
        <w:r>
          <w:rPr>
            <w:noProof/>
            <w:webHidden/>
          </w:rPr>
          <w:fldChar w:fldCharType="begin"/>
        </w:r>
        <w:r>
          <w:rPr>
            <w:noProof/>
            <w:webHidden/>
          </w:rPr>
          <w:instrText xml:space="preserve"> PAGEREF _Toc227601168 \h </w:instrText>
        </w:r>
        <w:r>
          <w:rPr>
            <w:noProof/>
            <w:webHidden/>
          </w:rPr>
        </w:r>
        <w:r>
          <w:rPr>
            <w:noProof/>
            <w:webHidden/>
          </w:rPr>
          <w:fldChar w:fldCharType="separate"/>
        </w:r>
        <w:r>
          <w:rPr>
            <w:noProof/>
            <w:webHidden/>
          </w:rPr>
          <w:t>26</w:t>
        </w:r>
        <w:r>
          <w:rPr>
            <w:noProof/>
            <w:webHidden/>
          </w:rPr>
          <w:fldChar w:fldCharType="end"/>
        </w:r>
      </w:hyperlink>
    </w:p>
    <w:p w14:paraId="11674CE4" w14:textId="1A4D4A08" w:rsidR="002C5C74" w:rsidRDefault="002C5C74">
      <w:pPr>
        <w:pStyle w:val="TOC2"/>
        <w:tabs>
          <w:tab w:val="left" w:pos="709"/>
          <w:tab w:val="right" w:leader="dot" w:pos="8494"/>
        </w:tabs>
        <w:rPr>
          <w:rFonts w:eastAsiaTheme="minorEastAsia"/>
          <w:noProof/>
          <w:kern w:val="2"/>
          <w:sz w:val="24"/>
          <w:szCs w:val="24"/>
          <w:lang w:val="en-NG" w:eastAsia="en-NG"/>
          <w14:ligatures w14:val="standardContextual"/>
        </w:rPr>
      </w:pPr>
      <w:hyperlink w:anchor="_Toc227601169" w:history="1">
        <w:r w:rsidRPr="00FC3044">
          <w:rPr>
            <w:rStyle w:val="Hyperlink"/>
            <w:noProof/>
          </w:rPr>
          <w:t>8.2</w:t>
        </w:r>
        <w:r>
          <w:rPr>
            <w:rFonts w:eastAsiaTheme="minorEastAsia"/>
            <w:noProof/>
            <w:kern w:val="2"/>
            <w:sz w:val="24"/>
            <w:szCs w:val="24"/>
            <w:lang w:val="en-NG" w:eastAsia="en-NG"/>
            <w14:ligatures w14:val="standardContextual"/>
          </w:rPr>
          <w:tab/>
        </w:r>
        <w:r w:rsidRPr="00FC3044">
          <w:rPr>
            <w:rStyle w:val="Hyperlink"/>
            <w:noProof/>
          </w:rPr>
          <w:t>Data Flow Structure</w:t>
        </w:r>
        <w:r>
          <w:rPr>
            <w:noProof/>
            <w:webHidden/>
          </w:rPr>
          <w:tab/>
        </w:r>
        <w:r>
          <w:rPr>
            <w:noProof/>
            <w:webHidden/>
          </w:rPr>
          <w:fldChar w:fldCharType="begin"/>
        </w:r>
        <w:r>
          <w:rPr>
            <w:noProof/>
            <w:webHidden/>
          </w:rPr>
          <w:instrText xml:space="preserve"> PAGEREF _Toc227601169 \h </w:instrText>
        </w:r>
        <w:r>
          <w:rPr>
            <w:noProof/>
            <w:webHidden/>
          </w:rPr>
        </w:r>
        <w:r>
          <w:rPr>
            <w:noProof/>
            <w:webHidden/>
          </w:rPr>
          <w:fldChar w:fldCharType="separate"/>
        </w:r>
        <w:r>
          <w:rPr>
            <w:noProof/>
            <w:webHidden/>
          </w:rPr>
          <w:t>27</w:t>
        </w:r>
        <w:r>
          <w:rPr>
            <w:noProof/>
            <w:webHidden/>
          </w:rPr>
          <w:fldChar w:fldCharType="end"/>
        </w:r>
      </w:hyperlink>
    </w:p>
    <w:p w14:paraId="42FD7210" w14:textId="6F18412E" w:rsidR="002C5C74" w:rsidRDefault="002C5C74">
      <w:pPr>
        <w:pStyle w:val="TOC2"/>
        <w:tabs>
          <w:tab w:val="left" w:pos="709"/>
          <w:tab w:val="right" w:leader="dot" w:pos="8494"/>
        </w:tabs>
        <w:rPr>
          <w:rFonts w:eastAsiaTheme="minorEastAsia"/>
          <w:noProof/>
          <w:kern w:val="2"/>
          <w:sz w:val="24"/>
          <w:szCs w:val="24"/>
          <w:lang w:val="en-NG" w:eastAsia="en-NG"/>
          <w14:ligatures w14:val="standardContextual"/>
        </w:rPr>
      </w:pPr>
      <w:hyperlink w:anchor="_Toc227601170" w:history="1">
        <w:r w:rsidRPr="00FC3044">
          <w:rPr>
            <w:rStyle w:val="Hyperlink"/>
            <w:noProof/>
          </w:rPr>
          <w:t>8.3</w:t>
        </w:r>
        <w:r>
          <w:rPr>
            <w:rFonts w:eastAsiaTheme="minorEastAsia"/>
            <w:noProof/>
            <w:kern w:val="2"/>
            <w:sz w:val="24"/>
            <w:szCs w:val="24"/>
            <w:lang w:val="en-NG" w:eastAsia="en-NG"/>
            <w14:ligatures w14:val="standardContextual"/>
          </w:rPr>
          <w:tab/>
        </w:r>
        <w:r w:rsidRPr="00FC3044">
          <w:rPr>
            <w:rStyle w:val="Hyperlink"/>
            <w:noProof/>
          </w:rPr>
          <w:t>Data Validation Principles</w:t>
        </w:r>
        <w:r>
          <w:rPr>
            <w:noProof/>
            <w:webHidden/>
          </w:rPr>
          <w:tab/>
        </w:r>
        <w:r>
          <w:rPr>
            <w:noProof/>
            <w:webHidden/>
          </w:rPr>
          <w:fldChar w:fldCharType="begin"/>
        </w:r>
        <w:r>
          <w:rPr>
            <w:noProof/>
            <w:webHidden/>
          </w:rPr>
          <w:instrText xml:space="preserve"> PAGEREF _Toc227601170 \h </w:instrText>
        </w:r>
        <w:r>
          <w:rPr>
            <w:noProof/>
            <w:webHidden/>
          </w:rPr>
        </w:r>
        <w:r>
          <w:rPr>
            <w:noProof/>
            <w:webHidden/>
          </w:rPr>
          <w:fldChar w:fldCharType="separate"/>
        </w:r>
        <w:r>
          <w:rPr>
            <w:noProof/>
            <w:webHidden/>
          </w:rPr>
          <w:t>27</w:t>
        </w:r>
        <w:r>
          <w:rPr>
            <w:noProof/>
            <w:webHidden/>
          </w:rPr>
          <w:fldChar w:fldCharType="end"/>
        </w:r>
      </w:hyperlink>
    </w:p>
    <w:p w14:paraId="100DA23D" w14:textId="047DD473" w:rsidR="002C5C74" w:rsidRDefault="002C5C74">
      <w:pPr>
        <w:pStyle w:val="TOC2"/>
        <w:tabs>
          <w:tab w:val="left" w:pos="709"/>
          <w:tab w:val="right" w:leader="dot" w:pos="8494"/>
        </w:tabs>
        <w:rPr>
          <w:rFonts w:eastAsiaTheme="minorEastAsia"/>
          <w:noProof/>
          <w:kern w:val="2"/>
          <w:sz w:val="24"/>
          <w:szCs w:val="24"/>
          <w:lang w:val="en-NG" w:eastAsia="en-NG"/>
          <w14:ligatures w14:val="standardContextual"/>
        </w:rPr>
      </w:pPr>
      <w:hyperlink w:anchor="_Toc227601171" w:history="1">
        <w:r w:rsidRPr="00FC3044">
          <w:rPr>
            <w:rStyle w:val="Hyperlink"/>
            <w:noProof/>
          </w:rPr>
          <w:t>8.4</w:t>
        </w:r>
        <w:r>
          <w:rPr>
            <w:rFonts w:eastAsiaTheme="minorEastAsia"/>
            <w:noProof/>
            <w:kern w:val="2"/>
            <w:sz w:val="24"/>
            <w:szCs w:val="24"/>
            <w:lang w:val="en-NG" w:eastAsia="en-NG"/>
            <w14:ligatures w14:val="standardContextual"/>
          </w:rPr>
          <w:tab/>
        </w:r>
        <w:r w:rsidRPr="00FC3044">
          <w:rPr>
            <w:rStyle w:val="Hyperlink"/>
            <w:noProof/>
          </w:rPr>
          <w:t>Reporting Frequency Alignment</w:t>
        </w:r>
        <w:r>
          <w:rPr>
            <w:noProof/>
            <w:webHidden/>
          </w:rPr>
          <w:tab/>
        </w:r>
        <w:r>
          <w:rPr>
            <w:noProof/>
            <w:webHidden/>
          </w:rPr>
          <w:fldChar w:fldCharType="begin"/>
        </w:r>
        <w:r>
          <w:rPr>
            <w:noProof/>
            <w:webHidden/>
          </w:rPr>
          <w:instrText xml:space="preserve"> PAGEREF _Toc227601171 \h </w:instrText>
        </w:r>
        <w:r>
          <w:rPr>
            <w:noProof/>
            <w:webHidden/>
          </w:rPr>
        </w:r>
        <w:r>
          <w:rPr>
            <w:noProof/>
            <w:webHidden/>
          </w:rPr>
          <w:fldChar w:fldCharType="separate"/>
        </w:r>
        <w:r>
          <w:rPr>
            <w:noProof/>
            <w:webHidden/>
          </w:rPr>
          <w:t>27</w:t>
        </w:r>
        <w:r>
          <w:rPr>
            <w:noProof/>
            <w:webHidden/>
          </w:rPr>
          <w:fldChar w:fldCharType="end"/>
        </w:r>
      </w:hyperlink>
    </w:p>
    <w:p w14:paraId="7615AA24" w14:textId="00CDDE9F" w:rsidR="002C5C74" w:rsidRDefault="002C5C74">
      <w:pPr>
        <w:pStyle w:val="TOC2"/>
        <w:tabs>
          <w:tab w:val="left" w:pos="709"/>
          <w:tab w:val="right" w:leader="dot" w:pos="8494"/>
        </w:tabs>
        <w:rPr>
          <w:rFonts w:eastAsiaTheme="minorEastAsia"/>
          <w:noProof/>
          <w:kern w:val="2"/>
          <w:sz w:val="24"/>
          <w:szCs w:val="24"/>
          <w:lang w:val="en-NG" w:eastAsia="en-NG"/>
          <w14:ligatures w14:val="standardContextual"/>
        </w:rPr>
      </w:pPr>
      <w:hyperlink w:anchor="_Toc227601172" w:history="1">
        <w:r w:rsidRPr="00FC3044">
          <w:rPr>
            <w:rStyle w:val="Hyperlink"/>
            <w:noProof/>
          </w:rPr>
          <w:t>8.5</w:t>
        </w:r>
        <w:r>
          <w:rPr>
            <w:rFonts w:eastAsiaTheme="minorEastAsia"/>
            <w:noProof/>
            <w:kern w:val="2"/>
            <w:sz w:val="24"/>
            <w:szCs w:val="24"/>
            <w:lang w:val="en-NG" w:eastAsia="en-NG"/>
            <w14:ligatures w14:val="standardContextual"/>
          </w:rPr>
          <w:tab/>
        </w:r>
        <w:r w:rsidRPr="00FC3044">
          <w:rPr>
            <w:rStyle w:val="Hyperlink"/>
            <w:noProof/>
          </w:rPr>
          <w:t>Data Governance Considerations</w:t>
        </w:r>
        <w:r>
          <w:rPr>
            <w:noProof/>
            <w:webHidden/>
          </w:rPr>
          <w:tab/>
        </w:r>
        <w:r>
          <w:rPr>
            <w:noProof/>
            <w:webHidden/>
          </w:rPr>
          <w:fldChar w:fldCharType="begin"/>
        </w:r>
        <w:r>
          <w:rPr>
            <w:noProof/>
            <w:webHidden/>
          </w:rPr>
          <w:instrText xml:space="preserve"> PAGEREF _Toc227601172 \h </w:instrText>
        </w:r>
        <w:r>
          <w:rPr>
            <w:noProof/>
            <w:webHidden/>
          </w:rPr>
        </w:r>
        <w:r>
          <w:rPr>
            <w:noProof/>
            <w:webHidden/>
          </w:rPr>
          <w:fldChar w:fldCharType="separate"/>
        </w:r>
        <w:r>
          <w:rPr>
            <w:noProof/>
            <w:webHidden/>
          </w:rPr>
          <w:t>27</w:t>
        </w:r>
        <w:r>
          <w:rPr>
            <w:noProof/>
            <w:webHidden/>
          </w:rPr>
          <w:fldChar w:fldCharType="end"/>
        </w:r>
      </w:hyperlink>
    </w:p>
    <w:p w14:paraId="382D18D2" w14:textId="25D418FB" w:rsidR="002C5C74" w:rsidRDefault="002C5C74">
      <w:pPr>
        <w:pStyle w:val="TOC2"/>
        <w:tabs>
          <w:tab w:val="left" w:pos="709"/>
          <w:tab w:val="right" w:leader="dot" w:pos="8494"/>
        </w:tabs>
        <w:rPr>
          <w:rFonts w:eastAsiaTheme="minorEastAsia"/>
          <w:noProof/>
          <w:kern w:val="2"/>
          <w:sz w:val="24"/>
          <w:szCs w:val="24"/>
          <w:lang w:val="en-NG" w:eastAsia="en-NG"/>
          <w14:ligatures w14:val="standardContextual"/>
        </w:rPr>
      </w:pPr>
      <w:hyperlink w:anchor="_Toc227601173" w:history="1">
        <w:r w:rsidRPr="00FC3044">
          <w:rPr>
            <w:rStyle w:val="Hyperlink"/>
            <w:noProof/>
          </w:rPr>
          <w:t>8.6</w:t>
        </w:r>
        <w:r>
          <w:rPr>
            <w:rFonts w:eastAsiaTheme="minorEastAsia"/>
            <w:noProof/>
            <w:kern w:val="2"/>
            <w:sz w:val="24"/>
            <w:szCs w:val="24"/>
            <w:lang w:val="en-NG" w:eastAsia="en-NG"/>
            <w14:ligatures w14:val="standardContextual"/>
          </w:rPr>
          <w:tab/>
        </w:r>
        <w:r w:rsidRPr="00FC3044">
          <w:rPr>
            <w:rStyle w:val="Hyperlink"/>
            <w:noProof/>
          </w:rPr>
          <w:t>Identified Data Constraints</w:t>
        </w:r>
        <w:r>
          <w:rPr>
            <w:noProof/>
            <w:webHidden/>
          </w:rPr>
          <w:tab/>
        </w:r>
        <w:r>
          <w:rPr>
            <w:noProof/>
            <w:webHidden/>
          </w:rPr>
          <w:fldChar w:fldCharType="begin"/>
        </w:r>
        <w:r>
          <w:rPr>
            <w:noProof/>
            <w:webHidden/>
          </w:rPr>
          <w:instrText xml:space="preserve"> PAGEREF _Toc227601173 \h </w:instrText>
        </w:r>
        <w:r>
          <w:rPr>
            <w:noProof/>
            <w:webHidden/>
          </w:rPr>
        </w:r>
        <w:r>
          <w:rPr>
            <w:noProof/>
            <w:webHidden/>
          </w:rPr>
          <w:fldChar w:fldCharType="separate"/>
        </w:r>
        <w:r>
          <w:rPr>
            <w:noProof/>
            <w:webHidden/>
          </w:rPr>
          <w:t>27</w:t>
        </w:r>
        <w:r>
          <w:rPr>
            <w:noProof/>
            <w:webHidden/>
          </w:rPr>
          <w:fldChar w:fldCharType="end"/>
        </w:r>
      </w:hyperlink>
    </w:p>
    <w:p w14:paraId="53F88A92" w14:textId="351DFFF0" w:rsidR="00FA4D1A" w:rsidRDefault="000A0445" w:rsidP="00B71819">
      <w:pPr>
        <w:pStyle w:val="Heading1bullet"/>
        <w:sectPr w:rsidR="00FA4D1A" w:rsidSect="002368BB">
          <w:headerReference w:type="default" r:id="rId16"/>
          <w:footerReference w:type="default" r:id="rId17"/>
          <w:pgSz w:w="11906" w:h="16838"/>
          <w:pgMar w:top="1985" w:right="1701" w:bottom="1418" w:left="1701" w:header="709" w:footer="709" w:gutter="0"/>
          <w:pgNumType w:start="1"/>
          <w:cols w:space="708"/>
          <w:docGrid w:linePitch="360"/>
        </w:sectPr>
      </w:pPr>
      <w:r>
        <w:fldChar w:fldCharType="end"/>
      </w:r>
    </w:p>
    <w:p w14:paraId="552FF4FB" w14:textId="0B751583" w:rsidR="00DD1F26" w:rsidRPr="002C2D51" w:rsidRDefault="00DD1F26" w:rsidP="00690D40">
      <w:pPr>
        <w:pStyle w:val="Heading1"/>
        <w:numPr>
          <w:ilvl w:val="0"/>
          <w:numId w:val="0"/>
        </w:numPr>
        <w:ind w:left="709" w:hanging="709"/>
      </w:pPr>
      <w:bookmarkStart w:id="0" w:name="_Toc22201932"/>
      <w:bookmarkStart w:id="1" w:name="_Toc227601122"/>
      <w:r w:rsidRPr="002C2D51">
        <w:lastRenderedPageBreak/>
        <w:t>Acronyms</w:t>
      </w:r>
      <w:bookmarkEnd w:id="1"/>
    </w:p>
    <w:tbl>
      <w:tblPr>
        <w:tblStyle w:val="TableGrid"/>
        <w:tblW w:w="8677" w:type="dxa"/>
        <w:tblInd w:w="0" w:type="dxa"/>
        <w:tblLook w:val="04A0" w:firstRow="1" w:lastRow="0" w:firstColumn="1" w:lastColumn="0" w:noHBand="0" w:noVBand="1"/>
      </w:tblPr>
      <w:tblGrid>
        <w:gridCol w:w="1555"/>
        <w:gridCol w:w="7122"/>
      </w:tblGrid>
      <w:tr w:rsidR="000C5174" w14:paraId="71775E27" w14:textId="77777777" w:rsidTr="00E6341F">
        <w:trPr>
          <w:cnfStyle w:val="100000000000" w:firstRow="1" w:lastRow="0" w:firstColumn="0" w:lastColumn="0" w:oddVBand="0" w:evenVBand="0" w:oddHBand="0" w:evenHBand="0" w:firstRowFirstColumn="0" w:firstRowLastColumn="0" w:lastRowFirstColumn="0" w:lastRowLastColumn="0"/>
          <w:trHeight w:val="246"/>
        </w:trPr>
        <w:tc>
          <w:tcPr>
            <w:tcW w:w="1555" w:type="dxa"/>
          </w:tcPr>
          <w:p w14:paraId="063381C8" w14:textId="77777777" w:rsidR="000C5174" w:rsidRDefault="000C5174" w:rsidP="00E6341F">
            <w:pPr>
              <w:jc w:val="left"/>
            </w:pPr>
            <w:r>
              <w:t>Acronym</w:t>
            </w:r>
          </w:p>
        </w:tc>
        <w:tc>
          <w:tcPr>
            <w:tcW w:w="7122" w:type="dxa"/>
          </w:tcPr>
          <w:p w14:paraId="0106805F" w14:textId="77777777" w:rsidR="000C5174" w:rsidRDefault="000C5174" w:rsidP="00E6341F">
            <w:pPr>
              <w:jc w:val="left"/>
            </w:pPr>
            <w:r>
              <w:t>Definition</w:t>
            </w:r>
          </w:p>
        </w:tc>
      </w:tr>
      <w:tr w:rsidR="00910ED3" w14:paraId="774F2F5D" w14:textId="77777777" w:rsidTr="00B45CA5">
        <w:trPr>
          <w:trHeight w:val="261"/>
        </w:trPr>
        <w:tc>
          <w:tcPr>
            <w:tcW w:w="1555" w:type="dxa"/>
            <w:vAlign w:val="bottom"/>
          </w:tcPr>
          <w:p w14:paraId="0B63ED5E" w14:textId="35CC56BC" w:rsidR="00910ED3" w:rsidRDefault="00910ED3" w:rsidP="00910ED3">
            <w:r>
              <w:rPr>
                <w:rFonts w:ascii="Aptos Narrow" w:hAnsi="Aptos Narrow"/>
                <w:color w:val="000000"/>
                <w:sz w:val="22"/>
                <w:szCs w:val="22"/>
              </w:rPr>
              <w:t>API</w:t>
            </w:r>
          </w:p>
        </w:tc>
        <w:tc>
          <w:tcPr>
            <w:tcW w:w="7122" w:type="dxa"/>
            <w:vAlign w:val="bottom"/>
          </w:tcPr>
          <w:p w14:paraId="1395DD15" w14:textId="4EF6907C" w:rsidR="00910ED3" w:rsidRDefault="00910ED3" w:rsidP="00910ED3">
            <w:r>
              <w:rPr>
                <w:rFonts w:ascii="Aptos Narrow" w:hAnsi="Aptos Narrow"/>
                <w:color w:val="000000"/>
                <w:sz w:val="22"/>
                <w:szCs w:val="22"/>
              </w:rPr>
              <w:t>Application Programming Interface</w:t>
            </w:r>
          </w:p>
        </w:tc>
      </w:tr>
      <w:tr w:rsidR="00910ED3" w14:paraId="256551E4" w14:textId="77777777" w:rsidTr="007E1638">
        <w:trPr>
          <w:trHeight w:val="261"/>
        </w:trPr>
        <w:tc>
          <w:tcPr>
            <w:tcW w:w="1555" w:type="dxa"/>
            <w:vAlign w:val="bottom"/>
          </w:tcPr>
          <w:p w14:paraId="33D90097" w14:textId="1B66F303" w:rsidR="00910ED3" w:rsidRDefault="00910ED3" w:rsidP="00910ED3">
            <w:r>
              <w:rPr>
                <w:rFonts w:ascii="Aptos Narrow" w:hAnsi="Aptos Narrow"/>
                <w:color w:val="000000"/>
                <w:sz w:val="22"/>
                <w:szCs w:val="22"/>
              </w:rPr>
              <w:t>CDMU</w:t>
            </w:r>
          </w:p>
        </w:tc>
        <w:tc>
          <w:tcPr>
            <w:tcW w:w="7122" w:type="dxa"/>
            <w:vAlign w:val="bottom"/>
          </w:tcPr>
          <w:p w14:paraId="26F879CC" w14:textId="398BEE84" w:rsidR="00910ED3" w:rsidRDefault="00910ED3" w:rsidP="00910ED3">
            <w:r>
              <w:rPr>
                <w:rFonts w:ascii="Aptos Narrow" w:hAnsi="Aptos Narrow"/>
                <w:color w:val="000000"/>
                <w:sz w:val="22"/>
                <w:szCs w:val="22"/>
              </w:rPr>
              <w:t>Compact Delivery Monitoring Unit</w:t>
            </w:r>
          </w:p>
        </w:tc>
      </w:tr>
      <w:tr w:rsidR="00910ED3" w14:paraId="7A43FF96" w14:textId="77777777" w:rsidTr="00B45CA5">
        <w:trPr>
          <w:trHeight w:val="261"/>
        </w:trPr>
        <w:tc>
          <w:tcPr>
            <w:tcW w:w="1555" w:type="dxa"/>
            <w:vAlign w:val="bottom"/>
          </w:tcPr>
          <w:p w14:paraId="3B0355F2" w14:textId="5A497D67" w:rsidR="00910ED3" w:rsidRDefault="00910ED3" w:rsidP="00910ED3">
            <w:r>
              <w:rPr>
                <w:rFonts w:ascii="Aptos Narrow" w:hAnsi="Aptos Narrow"/>
                <w:color w:val="000000"/>
                <w:sz w:val="22"/>
                <w:szCs w:val="22"/>
              </w:rPr>
              <w:t>CSV</w:t>
            </w:r>
          </w:p>
        </w:tc>
        <w:tc>
          <w:tcPr>
            <w:tcW w:w="7122" w:type="dxa"/>
            <w:vAlign w:val="bottom"/>
          </w:tcPr>
          <w:p w14:paraId="0A04EEA6" w14:textId="1345B094" w:rsidR="00910ED3" w:rsidRDefault="00910ED3" w:rsidP="00910ED3">
            <w:r>
              <w:rPr>
                <w:rFonts w:ascii="Aptos Narrow" w:hAnsi="Aptos Narrow"/>
                <w:color w:val="000000"/>
                <w:sz w:val="22"/>
                <w:szCs w:val="22"/>
              </w:rPr>
              <w:t>Comma-Separated Values</w:t>
            </w:r>
          </w:p>
        </w:tc>
      </w:tr>
      <w:tr w:rsidR="00910ED3" w14:paraId="1078D0AD" w14:textId="77777777" w:rsidTr="00B45CA5">
        <w:trPr>
          <w:trHeight w:val="261"/>
        </w:trPr>
        <w:tc>
          <w:tcPr>
            <w:tcW w:w="1555" w:type="dxa"/>
            <w:vAlign w:val="bottom"/>
          </w:tcPr>
          <w:p w14:paraId="1DB120EB" w14:textId="082850B3" w:rsidR="00910ED3" w:rsidRDefault="00910ED3" w:rsidP="00910ED3">
            <w:r>
              <w:rPr>
                <w:rFonts w:ascii="Aptos Narrow" w:hAnsi="Aptos Narrow"/>
                <w:color w:val="000000"/>
                <w:sz w:val="22"/>
                <w:szCs w:val="22"/>
              </w:rPr>
              <w:t>DisCos</w:t>
            </w:r>
          </w:p>
        </w:tc>
        <w:tc>
          <w:tcPr>
            <w:tcW w:w="7122" w:type="dxa"/>
            <w:vAlign w:val="bottom"/>
          </w:tcPr>
          <w:p w14:paraId="2F48A1ED" w14:textId="3258960D" w:rsidR="00910ED3" w:rsidRDefault="00910ED3" w:rsidP="00910ED3">
            <w:r>
              <w:rPr>
                <w:rFonts w:ascii="Aptos Narrow" w:hAnsi="Aptos Narrow"/>
                <w:color w:val="000000"/>
                <w:sz w:val="22"/>
                <w:szCs w:val="22"/>
              </w:rPr>
              <w:t>Distribution Companies</w:t>
            </w:r>
          </w:p>
        </w:tc>
      </w:tr>
      <w:tr w:rsidR="00910ED3" w14:paraId="038E1683" w14:textId="77777777" w:rsidTr="007E1638">
        <w:trPr>
          <w:trHeight w:val="261"/>
        </w:trPr>
        <w:tc>
          <w:tcPr>
            <w:tcW w:w="1555" w:type="dxa"/>
            <w:vAlign w:val="bottom"/>
          </w:tcPr>
          <w:p w14:paraId="05EA2C95" w14:textId="79D70AD4" w:rsidR="00910ED3" w:rsidRDefault="00910ED3" w:rsidP="00910ED3">
            <w:r>
              <w:rPr>
                <w:rFonts w:ascii="Aptos Narrow" w:hAnsi="Aptos Narrow"/>
                <w:color w:val="000000"/>
                <w:sz w:val="22"/>
                <w:szCs w:val="22"/>
              </w:rPr>
              <w:t>EMRC</w:t>
            </w:r>
          </w:p>
        </w:tc>
        <w:tc>
          <w:tcPr>
            <w:tcW w:w="7122" w:type="dxa"/>
            <w:vAlign w:val="bottom"/>
          </w:tcPr>
          <w:p w14:paraId="03BCF84B" w14:textId="7E154C06" w:rsidR="00910ED3" w:rsidRDefault="00910ED3" w:rsidP="00910ED3">
            <w:r>
              <w:rPr>
                <w:rFonts w:ascii="Aptos Narrow" w:hAnsi="Aptos Narrow"/>
                <w:color w:val="000000"/>
                <w:sz w:val="22"/>
                <w:szCs w:val="22"/>
              </w:rPr>
              <w:t>Energy Market and Rates Consultants</w:t>
            </w:r>
          </w:p>
        </w:tc>
      </w:tr>
      <w:tr w:rsidR="00910ED3" w14:paraId="1A18949A" w14:textId="77777777" w:rsidTr="00B45CA5">
        <w:trPr>
          <w:trHeight w:val="261"/>
        </w:trPr>
        <w:tc>
          <w:tcPr>
            <w:tcW w:w="1555" w:type="dxa"/>
            <w:vAlign w:val="bottom"/>
          </w:tcPr>
          <w:p w14:paraId="7D025B14" w14:textId="6A2C666A" w:rsidR="00910ED3" w:rsidRDefault="00910ED3" w:rsidP="00910ED3">
            <w:r>
              <w:rPr>
                <w:rFonts w:ascii="Aptos Narrow" w:hAnsi="Aptos Narrow"/>
                <w:color w:val="000000"/>
                <w:sz w:val="22"/>
                <w:szCs w:val="22"/>
              </w:rPr>
              <w:t>FMoF</w:t>
            </w:r>
          </w:p>
        </w:tc>
        <w:tc>
          <w:tcPr>
            <w:tcW w:w="7122" w:type="dxa"/>
            <w:vAlign w:val="bottom"/>
          </w:tcPr>
          <w:p w14:paraId="5E6D1702" w14:textId="79628A0F" w:rsidR="00910ED3" w:rsidRDefault="00910ED3" w:rsidP="00910ED3">
            <w:r>
              <w:rPr>
                <w:rFonts w:ascii="Aptos Narrow" w:hAnsi="Aptos Narrow"/>
                <w:color w:val="000000"/>
                <w:sz w:val="22"/>
                <w:szCs w:val="22"/>
              </w:rPr>
              <w:t>Federal Ministry of Finance</w:t>
            </w:r>
          </w:p>
        </w:tc>
      </w:tr>
      <w:tr w:rsidR="00910ED3" w14:paraId="5A1B9EEF" w14:textId="77777777" w:rsidTr="007E1638">
        <w:trPr>
          <w:trHeight w:val="261"/>
        </w:trPr>
        <w:tc>
          <w:tcPr>
            <w:tcW w:w="1555" w:type="dxa"/>
            <w:vAlign w:val="bottom"/>
          </w:tcPr>
          <w:p w14:paraId="3C098880" w14:textId="3428196C" w:rsidR="00910ED3" w:rsidRDefault="00910ED3" w:rsidP="00910ED3">
            <w:r>
              <w:rPr>
                <w:rFonts w:ascii="Aptos Narrow" w:hAnsi="Aptos Narrow"/>
                <w:color w:val="000000"/>
                <w:sz w:val="22"/>
                <w:szCs w:val="22"/>
              </w:rPr>
              <w:t>FMoP</w:t>
            </w:r>
          </w:p>
        </w:tc>
        <w:tc>
          <w:tcPr>
            <w:tcW w:w="7122" w:type="dxa"/>
            <w:vAlign w:val="bottom"/>
          </w:tcPr>
          <w:p w14:paraId="54C664F3" w14:textId="78A63349" w:rsidR="00910ED3" w:rsidRDefault="00910ED3" w:rsidP="00910ED3">
            <w:r>
              <w:rPr>
                <w:rFonts w:ascii="Aptos Narrow" w:hAnsi="Aptos Narrow"/>
                <w:color w:val="000000"/>
                <w:sz w:val="22"/>
                <w:szCs w:val="22"/>
              </w:rPr>
              <w:t>Federal Ministry of Power</w:t>
            </w:r>
          </w:p>
        </w:tc>
      </w:tr>
      <w:tr w:rsidR="00910ED3" w14:paraId="1C6926A4" w14:textId="77777777" w:rsidTr="00B45CA5">
        <w:trPr>
          <w:trHeight w:val="261"/>
        </w:trPr>
        <w:tc>
          <w:tcPr>
            <w:tcW w:w="1555" w:type="dxa"/>
            <w:vAlign w:val="bottom"/>
          </w:tcPr>
          <w:p w14:paraId="70AD1CCD" w14:textId="7D072140" w:rsidR="00910ED3" w:rsidRDefault="00910ED3" w:rsidP="00910ED3">
            <w:r>
              <w:rPr>
                <w:rFonts w:ascii="Aptos Narrow" w:hAnsi="Aptos Narrow"/>
                <w:color w:val="000000"/>
                <w:sz w:val="22"/>
                <w:szCs w:val="22"/>
              </w:rPr>
              <w:t>GEAPP</w:t>
            </w:r>
          </w:p>
        </w:tc>
        <w:tc>
          <w:tcPr>
            <w:tcW w:w="7122" w:type="dxa"/>
            <w:vAlign w:val="bottom"/>
          </w:tcPr>
          <w:p w14:paraId="3C36C67B" w14:textId="5703F6B8" w:rsidR="00910ED3" w:rsidRDefault="00910ED3" w:rsidP="00910ED3">
            <w:r>
              <w:rPr>
                <w:rFonts w:ascii="Aptos Narrow" w:hAnsi="Aptos Narrow"/>
                <w:color w:val="000000"/>
                <w:sz w:val="22"/>
                <w:szCs w:val="22"/>
              </w:rPr>
              <w:t>Global Energy Alliance for People and Planet</w:t>
            </w:r>
          </w:p>
        </w:tc>
      </w:tr>
      <w:tr w:rsidR="00910ED3" w14:paraId="1413913C" w14:textId="77777777" w:rsidTr="00B45CA5">
        <w:trPr>
          <w:trHeight w:val="261"/>
        </w:trPr>
        <w:tc>
          <w:tcPr>
            <w:tcW w:w="1555" w:type="dxa"/>
            <w:vAlign w:val="bottom"/>
          </w:tcPr>
          <w:p w14:paraId="08FC1FC6" w14:textId="4566E168" w:rsidR="00910ED3" w:rsidRDefault="00910ED3" w:rsidP="00910ED3">
            <w:r>
              <w:rPr>
                <w:rFonts w:ascii="Aptos Narrow" w:hAnsi="Aptos Narrow"/>
                <w:color w:val="000000"/>
                <w:sz w:val="22"/>
                <w:szCs w:val="22"/>
              </w:rPr>
              <w:t>GWh</w:t>
            </w:r>
          </w:p>
        </w:tc>
        <w:tc>
          <w:tcPr>
            <w:tcW w:w="7122" w:type="dxa"/>
            <w:vAlign w:val="bottom"/>
          </w:tcPr>
          <w:p w14:paraId="4B5B9944" w14:textId="7B611DC1" w:rsidR="00910ED3" w:rsidRDefault="00910ED3" w:rsidP="00910ED3">
            <w:r>
              <w:rPr>
                <w:rFonts w:ascii="Aptos Narrow" w:hAnsi="Aptos Narrow"/>
                <w:color w:val="000000"/>
                <w:sz w:val="22"/>
                <w:szCs w:val="22"/>
              </w:rPr>
              <w:t>Gigawatt-hour</w:t>
            </w:r>
          </w:p>
        </w:tc>
      </w:tr>
      <w:tr w:rsidR="00910ED3" w14:paraId="1CD51A97" w14:textId="77777777" w:rsidTr="00B45CA5">
        <w:trPr>
          <w:trHeight w:val="261"/>
        </w:trPr>
        <w:tc>
          <w:tcPr>
            <w:tcW w:w="1555" w:type="dxa"/>
            <w:vAlign w:val="bottom"/>
          </w:tcPr>
          <w:p w14:paraId="4DB761DE" w14:textId="6438B673" w:rsidR="00910ED3" w:rsidRDefault="00910ED3" w:rsidP="00910ED3">
            <w:r>
              <w:rPr>
                <w:rFonts w:ascii="Aptos Narrow" w:hAnsi="Aptos Narrow"/>
                <w:color w:val="000000"/>
                <w:sz w:val="22"/>
                <w:szCs w:val="22"/>
              </w:rPr>
              <w:t>KPI</w:t>
            </w:r>
          </w:p>
        </w:tc>
        <w:tc>
          <w:tcPr>
            <w:tcW w:w="7122" w:type="dxa"/>
            <w:vAlign w:val="bottom"/>
          </w:tcPr>
          <w:p w14:paraId="0F326EE6" w14:textId="45A79F7A" w:rsidR="00910ED3" w:rsidRDefault="00910ED3" w:rsidP="00910ED3">
            <w:r>
              <w:rPr>
                <w:rFonts w:ascii="Aptos Narrow" w:hAnsi="Aptos Narrow"/>
                <w:color w:val="000000"/>
                <w:sz w:val="22"/>
                <w:szCs w:val="22"/>
              </w:rPr>
              <w:t>Key Performance Indicator</w:t>
            </w:r>
          </w:p>
        </w:tc>
      </w:tr>
      <w:tr w:rsidR="00910ED3" w14:paraId="661A2F51" w14:textId="77777777" w:rsidTr="007E1638">
        <w:trPr>
          <w:trHeight w:val="261"/>
        </w:trPr>
        <w:tc>
          <w:tcPr>
            <w:tcW w:w="1555" w:type="dxa"/>
            <w:vAlign w:val="bottom"/>
          </w:tcPr>
          <w:p w14:paraId="3669CCB3" w14:textId="239E87E6" w:rsidR="00910ED3" w:rsidRDefault="00910ED3" w:rsidP="00910ED3">
            <w:r>
              <w:rPr>
                <w:rFonts w:ascii="Aptos Narrow" w:hAnsi="Aptos Narrow"/>
                <w:color w:val="000000"/>
                <w:sz w:val="22"/>
                <w:szCs w:val="22"/>
              </w:rPr>
              <w:t>LPG</w:t>
            </w:r>
          </w:p>
        </w:tc>
        <w:tc>
          <w:tcPr>
            <w:tcW w:w="7122" w:type="dxa"/>
            <w:vAlign w:val="bottom"/>
          </w:tcPr>
          <w:p w14:paraId="13DED190" w14:textId="3A8F6AB6" w:rsidR="00910ED3" w:rsidRDefault="00910ED3" w:rsidP="00910ED3">
            <w:r>
              <w:rPr>
                <w:rFonts w:ascii="Aptos Narrow" w:hAnsi="Aptos Narrow"/>
                <w:color w:val="000000"/>
                <w:sz w:val="22"/>
                <w:szCs w:val="22"/>
              </w:rPr>
              <w:t>Liquefied Petroleum Gas</w:t>
            </w:r>
          </w:p>
        </w:tc>
      </w:tr>
      <w:tr w:rsidR="00910ED3" w14:paraId="57A934BE" w14:textId="77777777" w:rsidTr="00B45CA5">
        <w:trPr>
          <w:trHeight w:val="261"/>
        </w:trPr>
        <w:tc>
          <w:tcPr>
            <w:tcW w:w="1555" w:type="dxa"/>
            <w:vAlign w:val="bottom"/>
          </w:tcPr>
          <w:p w14:paraId="15962480" w14:textId="5CD3E15A" w:rsidR="00910ED3" w:rsidRDefault="00910ED3" w:rsidP="00910ED3">
            <w:r>
              <w:rPr>
                <w:rFonts w:ascii="Aptos Narrow" w:hAnsi="Aptos Narrow"/>
                <w:color w:val="000000"/>
                <w:sz w:val="22"/>
                <w:szCs w:val="22"/>
              </w:rPr>
              <w:t>M300</w:t>
            </w:r>
          </w:p>
        </w:tc>
        <w:tc>
          <w:tcPr>
            <w:tcW w:w="7122" w:type="dxa"/>
            <w:vAlign w:val="bottom"/>
          </w:tcPr>
          <w:p w14:paraId="3C02EF75" w14:textId="0ACCC1FF" w:rsidR="00910ED3" w:rsidRDefault="00910ED3" w:rsidP="00910ED3">
            <w:r>
              <w:rPr>
                <w:rFonts w:ascii="Aptos Narrow" w:hAnsi="Aptos Narrow"/>
                <w:color w:val="000000"/>
                <w:sz w:val="22"/>
                <w:szCs w:val="22"/>
              </w:rPr>
              <w:t>Mission 300</w:t>
            </w:r>
          </w:p>
        </w:tc>
      </w:tr>
      <w:tr w:rsidR="00910ED3" w14:paraId="3B4D84B3" w14:textId="77777777" w:rsidTr="00B45CA5">
        <w:trPr>
          <w:trHeight w:val="261"/>
        </w:trPr>
        <w:tc>
          <w:tcPr>
            <w:tcW w:w="1555" w:type="dxa"/>
            <w:vAlign w:val="bottom"/>
          </w:tcPr>
          <w:p w14:paraId="115943AE" w14:textId="3124E2D8" w:rsidR="00910ED3" w:rsidRDefault="00910ED3" w:rsidP="00910ED3">
            <w:r>
              <w:rPr>
                <w:rFonts w:ascii="Aptos Narrow" w:hAnsi="Aptos Narrow"/>
                <w:color w:val="000000"/>
                <w:sz w:val="22"/>
                <w:szCs w:val="22"/>
              </w:rPr>
              <w:t>MTF</w:t>
            </w:r>
          </w:p>
        </w:tc>
        <w:tc>
          <w:tcPr>
            <w:tcW w:w="7122" w:type="dxa"/>
            <w:vAlign w:val="bottom"/>
          </w:tcPr>
          <w:p w14:paraId="288617D8" w14:textId="1E1E83F6" w:rsidR="00910ED3" w:rsidRDefault="00910ED3" w:rsidP="00910ED3">
            <w:r>
              <w:rPr>
                <w:rFonts w:ascii="Aptos Narrow" w:hAnsi="Aptos Narrow"/>
                <w:color w:val="000000"/>
                <w:sz w:val="22"/>
                <w:szCs w:val="22"/>
              </w:rPr>
              <w:t>Multi-Tier Framework</w:t>
            </w:r>
          </w:p>
        </w:tc>
      </w:tr>
      <w:tr w:rsidR="00910ED3" w14:paraId="34C2BC9B" w14:textId="77777777" w:rsidTr="00B45CA5">
        <w:trPr>
          <w:trHeight w:val="261"/>
        </w:trPr>
        <w:tc>
          <w:tcPr>
            <w:tcW w:w="1555" w:type="dxa"/>
            <w:vAlign w:val="bottom"/>
          </w:tcPr>
          <w:p w14:paraId="27E88897" w14:textId="44AFB34F" w:rsidR="00910ED3" w:rsidRDefault="00910ED3" w:rsidP="00910ED3">
            <w:r>
              <w:rPr>
                <w:rFonts w:ascii="Aptos Narrow" w:hAnsi="Aptos Narrow"/>
                <w:color w:val="000000"/>
                <w:sz w:val="22"/>
                <w:szCs w:val="22"/>
              </w:rPr>
              <w:t>MW</w:t>
            </w:r>
          </w:p>
        </w:tc>
        <w:tc>
          <w:tcPr>
            <w:tcW w:w="7122" w:type="dxa"/>
            <w:vAlign w:val="bottom"/>
          </w:tcPr>
          <w:p w14:paraId="1ECCE039" w14:textId="4EC44145" w:rsidR="00910ED3" w:rsidRDefault="00910ED3" w:rsidP="00910ED3">
            <w:r>
              <w:rPr>
                <w:rFonts w:ascii="Aptos Narrow" w:hAnsi="Aptos Narrow"/>
                <w:color w:val="000000"/>
                <w:sz w:val="22"/>
                <w:szCs w:val="22"/>
              </w:rPr>
              <w:t>Megawatt</w:t>
            </w:r>
          </w:p>
        </w:tc>
      </w:tr>
      <w:tr w:rsidR="00910ED3" w14:paraId="39533CD8" w14:textId="77777777" w:rsidTr="007E1638">
        <w:trPr>
          <w:trHeight w:val="261"/>
        </w:trPr>
        <w:tc>
          <w:tcPr>
            <w:tcW w:w="1555" w:type="dxa"/>
            <w:vAlign w:val="bottom"/>
          </w:tcPr>
          <w:p w14:paraId="2DCA4E3E" w14:textId="20E0F729" w:rsidR="00910ED3" w:rsidRDefault="00910ED3" w:rsidP="00910ED3">
            <w:r>
              <w:rPr>
                <w:rFonts w:ascii="Aptos Narrow" w:hAnsi="Aptos Narrow"/>
                <w:color w:val="000000"/>
                <w:sz w:val="22"/>
                <w:szCs w:val="22"/>
              </w:rPr>
              <w:t>MYTO</w:t>
            </w:r>
          </w:p>
        </w:tc>
        <w:tc>
          <w:tcPr>
            <w:tcW w:w="7122" w:type="dxa"/>
            <w:vAlign w:val="bottom"/>
          </w:tcPr>
          <w:p w14:paraId="45286263" w14:textId="6E482670" w:rsidR="00910ED3" w:rsidRDefault="00910ED3" w:rsidP="00910ED3">
            <w:r>
              <w:rPr>
                <w:rFonts w:ascii="Aptos Narrow" w:hAnsi="Aptos Narrow"/>
                <w:color w:val="000000"/>
                <w:sz w:val="22"/>
                <w:szCs w:val="22"/>
              </w:rPr>
              <w:t>Multi-Year Tariff Order</w:t>
            </w:r>
          </w:p>
        </w:tc>
      </w:tr>
      <w:tr w:rsidR="00910ED3" w14:paraId="48AE698B" w14:textId="77777777" w:rsidTr="00B45CA5">
        <w:trPr>
          <w:trHeight w:val="261"/>
        </w:trPr>
        <w:tc>
          <w:tcPr>
            <w:tcW w:w="1555" w:type="dxa"/>
            <w:vAlign w:val="bottom"/>
          </w:tcPr>
          <w:p w14:paraId="4951EBE2" w14:textId="13E90BA6" w:rsidR="00910ED3" w:rsidRDefault="00910ED3" w:rsidP="00910ED3">
            <w:r>
              <w:rPr>
                <w:rFonts w:ascii="Aptos Narrow" w:hAnsi="Aptos Narrow"/>
                <w:color w:val="000000"/>
                <w:sz w:val="22"/>
                <w:szCs w:val="22"/>
              </w:rPr>
              <w:t>NBET</w:t>
            </w:r>
          </w:p>
        </w:tc>
        <w:tc>
          <w:tcPr>
            <w:tcW w:w="7122" w:type="dxa"/>
            <w:vAlign w:val="bottom"/>
          </w:tcPr>
          <w:p w14:paraId="66D30687" w14:textId="71BE5D2D" w:rsidR="00910ED3" w:rsidRDefault="00910ED3" w:rsidP="00910ED3">
            <w:r>
              <w:rPr>
                <w:rFonts w:ascii="Aptos Narrow" w:hAnsi="Aptos Narrow"/>
                <w:color w:val="000000"/>
                <w:sz w:val="22"/>
                <w:szCs w:val="22"/>
              </w:rPr>
              <w:t>Nigerian Bulk Electricity Trading Plc</w:t>
            </w:r>
          </w:p>
        </w:tc>
      </w:tr>
      <w:tr w:rsidR="00910ED3" w14:paraId="43ECC2A4" w14:textId="77777777" w:rsidTr="00B45CA5">
        <w:trPr>
          <w:trHeight w:val="261"/>
        </w:trPr>
        <w:tc>
          <w:tcPr>
            <w:tcW w:w="1555" w:type="dxa"/>
            <w:vAlign w:val="bottom"/>
          </w:tcPr>
          <w:p w14:paraId="6613E70A" w14:textId="1A434DC0" w:rsidR="00910ED3" w:rsidRDefault="00910ED3" w:rsidP="00910ED3">
            <w:r>
              <w:rPr>
                <w:rFonts w:ascii="Aptos Narrow" w:hAnsi="Aptos Narrow"/>
                <w:color w:val="000000"/>
                <w:sz w:val="22"/>
                <w:szCs w:val="22"/>
              </w:rPr>
              <w:t>NDC</w:t>
            </w:r>
          </w:p>
        </w:tc>
        <w:tc>
          <w:tcPr>
            <w:tcW w:w="7122" w:type="dxa"/>
            <w:vAlign w:val="bottom"/>
          </w:tcPr>
          <w:p w14:paraId="249359E7" w14:textId="64623A81" w:rsidR="00910ED3" w:rsidRDefault="00910ED3" w:rsidP="00910ED3">
            <w:r>
              <w:rPr>
                <w:rFonts w:ascii="Aptos Narrow" w:hAnsi="Aptos Narrow"/>
                <w:color w:val="000000"/>
                <w:sz w:val="22"/>
                <w:szCs w:val="22"/>
              </w:rPr>
              <w:t>Nationally Determined Contribution</w:t>
            </w:r>
          </w:p>
        </w:tc>
      </w:tr>
      <w:tr w:rsidR="00910ED3" w14:paraId="486C802A" w14:textId="77777777" w:rsidTr="00B45CA5">
        <w:trPr>
          <w:trHeight w:val="261"/>
        </w:trPr>
        <w:tc>
          <w:tcPr>
            <w:tcW w:w="1555" w:type="dxa"/>
            <w:vAlign w:val="bottom"/>
          </w:tcPr>
          <w:p w14:paraId="6CF3F19B" w14:textId="5D74F352" w:rsidR="00910ED3" w:rsidRDefault="00910ED3" w:rsidP="00910ED3">
            <w:r>
              <w:rPr>
                <w:rFonts w:ascii="Aptos Narrow" w:hAnsi="Aptos Narrow"/>
                <w:color w:val="000000"/>
                <w:sz w:val="22"/>
                <w:szCs w:val="22"/>
              </w:rPr>
              <w:t>NERC</w:t>
            </w:r>
          </w:p>
        </w:tc>
        <w:tc>
          <w:tcPr>
            <w:tcW w:w="7122" w:type="dxa"/>
            <w:vAlign w:val="bottom"/>
          </w:tcPr>
          <w:p w14:paraId="6588B3F4" w14:textId="37A92682" w:rsidR="00910ED3" w:rsidRDefault="00910ED3" w:rsidP="00910ED3">
            <w:r>
              <w:rPr>
                <w:rFonts w:ascii="Aptos Narrow" w:hAnsi="Aptos Narrow"/>
                <w:color w:val="000000"/>
                <w:sz w:val="22"/>
                <w:szCs w:val="22"/>
              </w:rPr>
              <w:t>Nigerian Electricity Regulatory Commission</w:t>
            </w:r>
          </w:p>
        </w:tc>
      </w:tr>
      <w:tr w:rsidR="00910ED3" w14:paraId="4BC1F2BF" w14:textId="77777777" w:rsidTr="007E1638">
        <w:trPr>
          <w:trHeight w:val="261"/>
        </w:trPr>
        <w:tc>
          <w:tcPr>
            <w:tcW w:w="1555" w:type="dxa"/>
            <w:vAlign w:val="bottom"/>
          </w:tcPr>
          <w:p w14:paraId="057DB403" w14:textId="31ADB053" w:rsidR="00910ED3" w:rsidRDefault="00910ED3" w:rsidP="00910ED3">
            <w:r>
              <w:rPr>
                <w:rFonts w:ascii="Aptos Narrow" w:hAnsi="Aptos Narrow"/>
                <w:color w:val="000000"/>
                <w:sz w:val="22"/>
                <w:szCs w:val="22"/>
              </w:rPr>
              <w:t>NGN</w:t>
            </w:r>
          </w:p>
        </w:tc>
        <w:tc>
          <w:tcPr>
            <w:tcW w:w="7122" w:type="dxa"/>
            <w:vAlign w:val="bottom"/>
          </w:tcPr>
          <w:p w14:paraId="426F8805" w14:textId="3C1B09E6" w:rsidR="00910ED3" w:rsidRDefault="00910ED3" w:rsidP="00910ED3">
            <w:r>
              <w:rPr>
                <w:rFonts w:ascii="Aptos Narrow" w:hAnsi="Aptos Narrow"/>
                <w:color w:val="000000"/>
                <w:sz w:val="22"/>
                <w:szCs w:val="22"/>
              </w:rPr>
              <w:t>Nigerian Naira</w:t>
            </w:r>
          </w:p>
        </w:tc>
      </w:tr>
      <w:tr w:rsidR="00910ED3" w14:paraId="0F682B89" w14:textId="77777777" w:rsidTr="00B45CA5">
        <w:trPr>
          <w:trHeight w:val="261"/>
        </w:trPr>
        <w:tc>
          <w:tcPr>
            <w:tcW w:w="1555" w:type="dxa"/>
            <w:vAlign w:val="bottom"/>
          </w:tcPr>
          <w:p w14:paraId="6A8A5570" w14:textId="60FD5DAB" w:rsidR="00910ED3" w:rsidRDefault="00910ED3" w:rsidP="00910ED3">
            <w:r>
              <w:rPr>
                <w:rFonts w:ascii="Aptos Narrow" w:hAnsi="Aptos Narrow"/>
                <w:color w:val="000000"/>
                <w:sz w:val="22"/>
                <w:szCs w:val="22"/>
              </w:rPr>
              <w:t>Q2</w:t>
            </w:r>
          </w:p>
        </w:tc>
        <w:tc>
          <w:tcPr>
            <w:tcW w:w="7122" w:type="dxa"/>
            <w:vAlign w:val="bottom"/>
          </w:tcPr>
          <w:p w14:paraId="57FC9189" w14:textId="4A58F3C2" w:rsidR="00910ED3" w:rsidRDefault="00910ED3" w:rsidP="00910ED3">
            <w:r>
              <w:rPr>
                <w:rFonts w:ascii="Aptos Narrow" w:hAnsi="Aptos Narrow"/>
                <w:color w:val="000000"/>
                <w:sz w:val="22"/>
                <w:szCs w:val="22"/>
              </w:rPr>
              <w:t>Quarter 2</w:t>
            </w:r>
          </w:p>
        </w:tc>
      </w:tr>
      <w:tr w:rsidR="00910ED3" w14:paraId="424452EA" w14:textId="77777777" w:rsidTr="007E1638">
        <w:trPr>
          <w:trHeight w:val="261"/>
        </w:trPr>
        <w:tc>
          <w:tcPr>
            <w:tcW w:w="1555" w:type="dxa"/>
            <w:vAlign w:val="bottom"/>
          </w:tcPr>
          <w:p w14:paraId="2A5AD66D" w14:textId="09128DB1" w:rsidR="00910ED3" w:rsidRDefault="00910ED3" w:rsidP="00910ED3">
            <w:r>
              <w:rPr>
                <w:rFonts w:ascii="Aptos Narrow" w:hAnsi="Aptos Narrow"/>
                <w:color w:val="000000"/>
                <w:sz w:val="22"/>
                <w:szCs w:val="22"/>
              </w:rPr>
              <w:t>Q3</w:t>
            </w:r>
          </w:p>
        </w:tc>
        <w:tc>
          <w:tcPr>
            <w:tcW w:w="7122" w:type="dxa"/>
            <w:vAlign w:val="bottom"/>
          </w:tcPr>
          <w:p w14:paraId="79E0DB27" w14:textId="4D39E89B" w:rsidR="00910ED3" w:rsidRDefault="00910ED3" w:rsidP="00910ED3">
            <w:r>
              <w:rPr>
                <w:rFonts w:ascii="Aptos Narrow" w:hAnsi="Aptos Narrow"/>
                <w:color w:val="000000"/>
                <w:sz w:val="22"/>
                <w:szCs w:val="22"/>
              </w:rPr>
              <w:t>Quarter 3</w:t>
            </w:r>
          </w:p>
        </w:tc>
      </w:tr>
      <w:tr w:rsidR="00910ED3" w14:paraId="11BDC4E3" w14:textId="77777777" w:rsidTr="00B45CA5">
        <w:trPr>
          <w:trHeight w:val="261"/>
        </w:trPr>
        <w:tc>
          <w:tcPr>
            <w:tcW w:w="1555" w:type="dxa"/>
            <w:vAlign w:val="bottom"/>
          </w:tcPr>
          <w:p w14:paraId="522DBCA3" w14:textId="4D9167B7" w:rsidR="00910ED3" w:rsidRDefault="00910ED3" w:rsidP="00910ED3">
            <w:r>
              <w:rPr>
                <w:rFonts w:ascii="Aptos Narrow" w:hAnsi="Aptos Narrow"/>
                <w:color w:val="000000"/>
                <w:sz w:val="22"/>
                <w:szCs w:val="22"/>
              </w:rPr>
              <w:t>REA</w:t>
            </w:r>
          </w:p>
        </w:tc>
        <w:tc>
          <w:tcPr>
            <w:tcW w:w="7122" w:type="dxa"/>
            <w:vAlign w:val="bottom"/>
          </w:tcPr>
          <w:p w14:paraId="3FAAAD0E" w14:textId="0F728483" w:rsidR="00910ED3" w:rsidRDefault="00910ED3" w:rsidP="00910ED3">
            <w:r>
              <w:rPr>
                <w:rFonts w:ascii="Aptos Narrow" w:hAnsi="Aptos Narrow"/>
                <w:color w:val="000000"/>
                <w:sz w:val="22"/>
                <w:szCs w:val="22"/>
              </w:rPr>
              <w:t>Rural Electrification Agency</w:t>
            </w:r>
          </w:p>
        </w:tc>
      </w:tr>
      <w:tr w:rsidR="00910ED3" w14:paraId="7084EC2B" w14:textId="77777777" w:rsidTr="00B45CA5">
        <w:trPr>
          <w:trHeight w:val="261"/>
        </w:trPr>
        <w:tc>
          <w:tcPr>
            <w:tcW w:w="1555" w:type="dxa"/>
            <w:vAlign w:val="bottom"/>
          </w:tcPr>
          <w:p w14:paraId="3836E0ED" w14:textId="6B81DA92" w:rsidR="00910ED3" w:rsidRDefault="00910ED3" w:rsidP="00910ED3">
            <w:r>
              <w:rPr>
                <w:rFonts w:ascii="Aptos Narrow" w:hAnsi="Aptos Narrow"/>
                <w:color w:val="000000"/>
                <w:sz w:val="22"/>
                <w:szCs w:val="22"/>
              </w:rPr>
              <w:t>SDG7</w:t>
            </w:r>
          </w:p>
        </w:tc>
        <w:tc>
          <w:tcPr>
            <w:tcW w:w="7122" w:type="dxa"/>
            <w:vAlign w:val="bottom"/>
          </w:tcPr>
          <w:p w14:paraId="2C5FC13C" w14:textId="0BF4FDFD" w:rsidR="00910ED3" w:rsidRDefault="00910ED3" w:rsidP="00910ED3">
            <w:r>
              <w:rPr>
                <w:rFonts w:ascii="Aptos Narrow" w:hAnsi="Aptos Narrow"/>
                <w:color w:val="000000"/>
                <w:sz w:val="22"/>
                <w:szCs w:val="22"/>
              </w:rPr>
              <w:t>Sustainable Development Goal 7</w:t>
            </w:r>
          </w:p>
        </w:tc>
      </w:tr>
      <w:tr w:rsidR="00910ED3" w14:paraId="3991D3BE" w14:textId="77777777" w:rsidTr="00B45CA5">
        <w:trPr>
          <w:trHeight w:val="261"/>
        </w:trPr>
        <w:tc>
          <w:tcPr>
            <w:tcW w:w="1555" w:type="dxa"/>
            <w:vAlign w:val="bottom"/>
          </w:tcPr>
          <w:p w14:paraId="36651180" w14:textId="049A1985" w:rsidR="00910ED3" w:rsidRDefault="00910ED3" w:rsidP="00910ED3">
            <w:r>
              <w:rPr>
                <w:rFonts w:ascii="Aptos Narrow" w:hAnsi="Aptos Narrow"/>
                <w:color w:val="000000"/>
                <w:sz w:val="22"/>
                <w:szCs w:val="22"/>
              </w:rPr>
              <w:t>TCN</w:t>
            </w:r>
          </w:p>
        </w:tc>
        <w:tc>
          <w:tcPr>
            <w:tcW w:w="7122" w:type="dxa"/>
            <w:vAlign w:val="bottom"/>
          </w:tcPr>
          <w:p w14:paraId="5E5D3A48" w14:textId="5794CD73" w:rsidR="00910ED3" w:rsidRDefault="00910ED3" w:rsidP="00910ED3">
            <w:r>
              <w:rPr>
                <w:rFonts w:ascii="Aptos Narrow" w:hAnsi="Aptos Narrow"/>
                <w:color w:val="000000"/>
                <w:sz w:val="22"/>
                <w:szCs w:val="22"/>
              </w:rPr>
              <w:t>Transmission Company of Nigeria</w:t>
            </w:r>
          </w:p>
        </w:tc>
      </w:tr>
      <w:tr w:rsidR="00910ED3" w14:paraId="5EBA6214" w14:textId="77777777" w:rsidTr="007E1638">
        <w:trPr>
          <w:trHeight w:val="261"/>
        </w:trPr>
        <w:tc>
          <w:tcPr>
            <w:tcW w:w="1555" w:type="dxa"/>
            <w:vAlign w:val="bottom"/>
          </w:tcPr>
          <w:p w14:paraId="2A74F5F8" w14:textId="00973B78" w:rsidR="00910ED3" w:rsidRDefault="00910ED3" w:rsidP="00910ED3">
            <w:r>
              <w:rPr>
                <w:rFonts w:ascii="Aptos Narrow" w:hAnsi="Aptos Narrow"/>
                <w:color w:val="000000"/>
                <w:sz w:val="22"/>
                <w:szCs w:val="22"/>
              </w:rPr>
              <w:t>USD</w:t>
            </w:r>
          </w:p>
        </w:tc>
        <w:tc>
          <w:tcPr>
            <w:tcW w:w="7122" w:type="dxa"/>
            <w:vAlign w:val="bottom"/>
          </w:tcPr>
          <w:p w14:paraId="640CEBAE" w14:textId="23DD93D5" w:rsidR="00910ED3" w:rsidRDefault="00910ED3" w:rsidP="00910ED3">
            <w:r>
              <w:rPr>
                <w:rFonts w:ascii="Aptos Narrow" w:hAnsi="Aptos Narrow"/>
                <w:color w:val="000000"/>
                <w:sz w:val="22"/>
                <w:szCs w:val="22"/>
              </w:rPr>
              <w:t>United States Dollar</w:t>
            </w:r>
          </w:p>
        </w:tc>
      </w:tr>
      <w:tr w:rsidR="00910ED3" w14:paraId="4F95FB77" w14:textId="77777777" w:rsidTr="00B45CA5">
        <w:trPr>
          <w:trHeight w:val="261"/>
        </w:trPr>
        <w:tc>
          <w:tcPr>
            <w:tcW w:w="1555" w:type="dxa"/>
            <w:vAlign w:val="bottom"/>
          </w:tcPr>
          <w:p w14:paraId="2F517A60" w14:textId="097E0462" w:rsidR="00910ED3" w:rsidRDefault="00910ED3" w:rsidP="00910ED3">
            <w:r>
              <w:rPr>
                <w:rFonts w:ascii="Aptos Narrow" w:hAnsi="Aptos Narrow"/>
                <w:color w:val="000000"/>
                <w:sz w:val="22"/>
                <w:szCs w:val="22"/>
              </w:rPr>
              <w:t>WAPP</w:t>
            </w:r>
          </w:p>
        </w:tc>
        <w:tc>
          <w:tcPr>
            <w:tcW w:w="7122" w:type="dxa"/>
            <w:vAlign w:val="bottom"/>
          </w:tcPr>
          <w:p w14:paraId="63D077EF" w14:textId="7EFE5BE6" w:rsidR="00910ED3" w:rsidRDefault="00910ED3" w:rsidP="00910ED3">
            <w:r>
              <w:rPr>
                <w:rFonts w:ascii="Aptos Narrow" w:hAnsi="Aptos Narrow"/>
                <w:color w:val="000000"/>
                <w:sz w:val="22"/>
                <w:szCs w:val="22"/>
              </w:rPr>
              <w:t>West African Power Pool</w:t>
            </w:r>
          </w:p>
        </w:tc>
      </w:tr>
      <w:tr w:rsidR="00910ED3" w14:paraId="0264B2EE" w14:textId="77777777" w:rsidTr="007E1638">
        <w:trPr>
          <w:trHeight w:val="261"/>
        </w:trPr>
        <w:tc>
          <w:tcPr>
            <w:tcW w:w="1555" w:type="dxa"/>
            <w:vAlign w:val="bottom"/>
          </w:tcPr>
          <w:p w14:paraId="47DCF6CC" w14:textId="690DE835" w:rsidR="00910ED3" w:rsidRDefault="00910ED3" w:rsidP="00910ED3">
            <w:r>
              <w:rPr>
                <w:rFonts w:ascii="Aptos Narrow" w:hAnsi="Aptos Narrow"/>
                <w:color w:val="000000"/>
                <w:sz w:val="22"/>
                <w:szCs w:val="22"/>
              </w:rPr>
              <w:t>API</w:t>
            </w:r>
          </w:p>
        </w:tc>
        <w:tc>
          <w:tcPr>
            <w:tcW w:w="7122" w:type="dxa"/>
            <w:vAlign w:val="bottom"/>
          </w:tcPr>
          <w:p w14:paraId="02F4BF8A" w14:textId="627174AE" w:rsidR="00910ED3" w:rsidRDefault="00910ED3" w:rsidP="00910ED3">
            <w:r>
              <w:rPr>
                <w:rFonts w:ascii="Aptos Narrow" w:hAnsi="Aptos Narrow"/>
                <w:color w:val="000000"/>
                <w:sz w:val="22"/>
                <w:szCs w:val="22"/>
              </w:rPr>
              <w:t>Application Programming Interface</w:t>
            </w:r>
          </w:p>
        </w:tc>
      </w:tr>
    </w:tbl>
    <w:p w14:paraId="7434402B" w14:textId="77777777" w:rsidR="00F82D96" w:rsidRDefault="00F82D96" w:rsidP="00A91792"/>
    <w:p w14:paraId="13745044" w14:textId="77777777" w:rsidR="00F82D96" w:rsidRPr="00A91792" w:rsidRDefault="00F82D96" w:rsidP="00A91792">
      <w:pPr>
        <w:sectPr w:rsidR="00F82D96" w:rsidRPr="00A91792" w:rsidSect="002368BB">
          <w:footerReference w:type="default" r:id="rId18"/>
          <w:pgSz w:w="11906" w:h="16838"/>
          <w:pgMar w:top="1985" w:right="1701" w:bottom="1418" w:left="1701" w:header="709" w:footer="709" w:gutter="0"/>
          <w:pgNumType w:start="1"/>
          <w:cols w:space="708"/>
          <w:docGrid w:linePitch="360"/>
        </w:sectPr>
      </w:pPr>
    </w:p>
    <w:p w14:paraId="5C2E58A0" w14:textId="7DD6B62E" w:rsidR="00B71819" w:rsidRPr="00AD73DE" w:rsidRDefault="002E430A" w:rsidP="006B1D72">
      <w:pPr>
        <w:pStyle w:val="Heading1"/>
      </w:pPr>
      <w:bookmarkStart w:id="2" w:name="_Toc227601123"/>
      <w:r>
        <w:lastRenderedPageBreak/>
        <w:t>Executive Summary</w:t>
      </w:r>
      <w:bookmarkEnd w:id="2"/>
    </w:p>
    <w:p w14:paraId="2A995311" w14:textId="7B44E39F" w:rsidR="00B854A0" w:rsidRDefault="002E430A" w:rsidP="006B1D72">
      <w:pPr>
        <w:pStyle w:val="Heading2"/>
      </w:pPr>
      <w:bookmarkStart w:id="3" w:name="_Toc227601124"/>
      <w:r>
        <w:t>Purpose of the Assignment</w:t>
      </w:r>
      <w:bookmarkEnd w:id="3"/>
    </w:p>
    <w:p w14:paraId="27CF3F99" w14:textId="497203AB" w:rsidR="002E430A" w:rsidRDefault="002E430A" w:rsidP="002E430A">
      <w:pPr>
        <w:pStyle w:val="H2Text"/>
      </w:pPr>
      <w:r>
        <w:t>The purpose of this assignment is to support the design and implementation of a structured, data-driven monitoring dashboard to track the progress of Mission 300 (M300) implementation in Nigeria.</w:t>
      </w:r>
    </w:p>
    <w:p w14:paraId="08582023" w14:textId="424E1B16" w:rsidR="002E430A" w:rsidRDefault="002E430A" w:rsidP="002E430A">
      <w:pPr>
        <w:pStyle w:val="H2Text"/>
      </w:pPr>
      <w:r>
        <w:t>The dashboard will serve as a centralized monitoring platform embedded within the Compact Delivery Monitoring Unit (CDMU), enabling the Federal Ministry of Power, the Federal Ministry of Finance, GEAPP, and other relevant stakeholders to track implementation progress across the five M300 pillars. The system will aggregate relevant datasets from public and private sector actors, support performance monitoring across ongoing and proposed interventions, and provide actionable insights for decision-making.</w:t>
      </w:r>
    </w:p>
    <w:p w14:paraId="18DD21E3" w14:textId="5771C2E1" w:rsidR="002E430A" w:rsidRDefault="002E430A" w:rsidP="002E430A">
      <w:pPr>
        <w:pStyle w:val="H2Text"/>
      </w:pPr>
      <w:r>
        <w:t>This assignment responds to the current absence of a unified monitoring system capable of consolidating sector-wide data related to electricity access, clean cooking, infrastructure rehabilitation, financial viability, private sector participation, and regional integration. The objective is to establish a coherent monitoring architecture that defines key performance indicators, structures data acquisition and validation processes, supports secure data aggregation, and enables interactive reporting through a configurable dashboard platform.</w:t>
      </w:r>
    </w:p>
    <w:p w14:paraId="527CFA22" w14:textId="61500F8F" w:rsidR="002E430A" w:rsidRDefault="002E430A" w:rsidP="002E430A">
      <w:pPr>
        <w:pStyle w:val="H2Text"/>
      </w:pPr>
      <w:r>
        <w:t>EMRC’s role under this assignment is to design the monitoring and data governance framework, define required datasets and reporting logic, support GEAPP in the configuration of the dashboard platform, and ensure that the system is sustainable through structured governance protocols, documentation validation, and capacity building for CDMU and relevant stakeholders.</w:t>
      </w:r>
    </w:p>
    <w:p w14:paraId="706C593B" w14:textId="1F94C9E3" w:rsidR="002E430A" w:rsidRDefault="002E430A" w:rsidP="002E430A">
      <w:pPr>
        <w:pStyle w:val="H2Text"/>
      </w:pPr>
      <w:r>
        <w:t>The assignment will be implemented over a three-month period, followed by one month of post-implementation support to facilitate knowledge transfer, system stabilization, and institutional ownership.</w:t>
      </w:r>
    </w:p>
    <w:p w14:paraId="46C9D215" w14:textId="27283CDB" w:rsidR="005C5F9B" w:rsidRDefault="005C5F9B" w:rsidP="005C5F9B">
      <w:pPr>
        <w:pStyle w:val="Heading2"/>
      </w:pPr>
      <w:bookmarkStart w:id="4" w:name="_Toc227601125"/>
      <w:r>
        <w:t>Scope of Work</w:t>
      </w:r>
      <w:bookmarkEnd w:id="4"/>
    </w:p>
    <w:p w14:paraId="7A185E78" w14:textId="12BD23A0" w:rsidR="005C5F9B" w:rsidRDefault="005C5F9B" w:rsidP="005C5F9B">
      <w:pPr>
        <w:pStyle w:val="H2Text"/>
      </w:pPr>
      <w:r>
        <w:t>The scope of this assignment covers the design and operationalization of a comprehensive monitoring framework and data aggregation structure to support the implementation of the M300 National Energy Compact for Nigeria. The work will be executed in close coordination with the Compact Delivery Monitoring Unit (CDMU), the Federal Ministry of Power, the Federal Ministry of Finance, and GEAPP’s technical team.</w:t>
      </w:r>
    </w:p>
    <w:p w14:paraId="0CBD4F45" w14:textId="7D0C5BE8" w:rsidR="005C5F9B" w:rsidRDefault="005C5F9B" w:rsidP="005C5F9B">
      <w:pPr>
        <w:pStyle w:val="H2Text"/>
      </w:pPr>
      <w:r>
        <w:t>The assignment encompasses six core components.</w:t>
      </w:r>
    </w:p>
    <w:p w14:paraId="162B4A0E" w14:textId="2CF96FC9" w:rsidR="005C5F9B" w:rsidRDefault="00393C3F" w:rsidP="00393C3F">
      <w:pPr>
        <w:pStyle w:val="H2Bullet0"/>
      </w:pPr>
      <w:r w:rsidRPr="00393C3F">
        <w:rPr>
          <w:rStyle w:val="H2BulletChar"/>
          <w:b/>
          <w:bCs/>
        </w:rPr>
        <w:t>D</w:t>
      </w:r>
      <w:r w:rsidR="005C5F9B" w:rsidRPr="00393C3F">
        <w:rPr>
          <w:rStyle w:val="H2BulletChar"/>
          <w:b/>
          <w:bCs/>
        </w:rPr>
        <w:t xml:space="preserve">efinition of </w:t>
      </w:r>
      <w:r>
        <w:rPr>
          <w:rStyle w:val="H2BulletChar"/>
          <w:b/>
          <w:bCs/>
        </w:rPr>
        <w:t>D</w:t>
      </w:r>
      <w:r w:rsidR="005C5F9B" w:rsidRPr="00393C3F">
        <w:rPr>
          <w:rStyle w:val="H2BulletChar"/>
          <w:b/>
          <w:bCs/>
        </w:rPr>
        <w:t xml:space="preserve">ata </w:t>
      </w:r>
      <w:r>
        <w:rPr>
          <w:rStyle w:val="H2BulletChar"/>
          <w:b/>
          <w:bCs/>
        </w:rPr>
        <w:t>R</w:t>
      </w:r>
      <w:r w:rsidR="005C5F9B" w:rsidRPr="00393C3F">
        <w:rPr>
          <w:rStyle w:val="H2BulletChar"/>
          <w:b/>
          <w:bCs/>
        </w:rPr>
        <w:t xml:space="preserve">equirements and </w:t>
      </w:r>
      <w:r>
        <w:rPr>
          <w:rStyle w:val="H2BulletChar"/>
          <w:b/>
          <w:bCs/>
        </w:rPr>
        <w:t>K</w:t>
      </w:r>
      <w:r w:rsidR="005C5F9B" w:rsidRPr="00393C3F">
        <w:rPr>
          <w:rStyle w:val="H2BulletChar"/>
          <w:b/>
          <w:bCs/>
        </w:rPr>
        <w:t xml:space="preserve">ey </w:t>
      </w:r>
      <w:r>
        <w:rPr>
          <w:rStyle w:val="H2BulletChar"/>
          <w:b/>
          <w:bCs/>
        </w:rPr>
        <w:t>P</w:t>
      </w:r>
      <w:r w:rsidR="005C5F9B" w:rsidRPr="00393C3F">
        <w:rPr>
          <w:rStyle w:val="H2BulletChar"/>
          <w:b/>
          <w:bCs/>
        </w:rPr>
        <w:t xml:space="preserve">erformance </w:t>
      </w:r>
      <w:r>
        <w:rPr>
          <w:rStyle w:val="H2BulletChar"/>
          <w:b/>
          <w:bCs/>
        </w:rPr>
        <w:t>I</w:t>
      </w:r>
      <w:r w:rsidR="005C5F9B" w:rsidRPr="00393C3F">
        <w:rPr>
          <w:rStyle w:val="H2BulletChar"/>
          <w:b/>
          <w:bCs/>
        </w:rPr>
        <w:t>ndicators</w:t>
      </w:r>
      <w:r>
        <w:t>:</w:t>
      </w:r>
      <w:r w:rsidR="005C5F9B">
        <w:t xml:space="preserve"> This includes identifying and structuring the datasets required to monitor M300 implementation </w:t>
      </w:r>
      <w:r w:rsidR="005C5F9B">
        <w:lastRenderedPageBreak/>
        <w:t>across its five pillars, defining measurable indicators, establishing disaggregation levels, and aligning all metrics to Compact objectives and reporting needs.</w:t>
      </w:r>
    </w:p>
    <w:p w14:paraId="66AEE8D4" w14:textId="77777777" w:rsidR="00393C3F" w:rsidRDefault="00393C3F" w:rsidP="00393C3F">
      <w:pPr>
        <w:pStyle w:val="H2Bullet0"/>
        <w:numPr>
          <w:ilvl w:val="0"/>
          <w:numId w:val="0"/>
        </w:numPr>
        <w:ind w:left="1134"/>
      </w:pPr>
    </w:p>
    <w:p w14:paraId="36527183" w14:textId="477A87C0" w:rsidR="005C5F9B" w:rsidRDefault="00393C3F" w:rsidP="00393C3F">
      <w:pPr>
        <w:pStyle w:val="H2Bullet0"/>
      </w:pPr>
      <w:r w:rsidRPr="00393C3F">
        <w:rPr>
          <w:b/>
          <w:bCs/>
        </w:rPr>
        <w:t>I</w:t>
      </w:r>
      <w:r w:rsidR="005C5F9B" w:rsidRPr="00393C3F">
        <w:rPr>
          <w:b/>
          <w:bCs/>
        </w:rPr>
        <w:t xml:space="preserve">dentification of </w:t>
      </w:r>
      <w:r>
        <w:rPr>
          <w:b/>
          <w:bCs/>
        </w:rPr>
        <w:t>D</w:t>
      </w:r>
      <w:r w:rsidR="005C5F9B" w:rsidRPr="00393C3F">
        <w:rPr>
          <w:b/>
          <w:bCs/>
        </w:rPr>
        <w:t xml:space="preserve">ata </w:t>
      </w:r>
      <w:r>
        <w:rPr>
          <w:b/>
          <w:bCs/>
        </w:rPr>
        <w:t>S</w:t>
      </w:r>
      <w:r w:rsidR="005C5F9B" w:rsidRPr="00393C3F">
        <w:rPr>
          <w:b/>
          <w:bCs/>
        </w:rPr>
        <w:t xml:space="preserve">ources and </w:t>
      </w:r>
      <w:r>
        <w:rPr>
          <w:b/>
          <w:bCs/>
        </w:rPr>
        <w:t>D</w:t>
      </w:r>
      <w:r w:rsidR="005C5F9B" w:rsidRPr="00393C3F">
        <w:rPr>
          <w:b/>
          <w:bCs/>
        </w:rPr>
        <w:t xml:space="preserve">evelopment of a </w:t>
      </w:r>
      <w:r>
        <w:rPr>
          <w:b/>
          <w:bCs/>
        </w:rPr>
        <w:t>D</w:t>
      </w:r>
      <w:r w:rsidR="005C5F9B" w:rsidRPr="00393C3F">
        <w:rPr>
          <w:b/>
          <w:bCs/>
        </w:rPr>
        <w:t xml:space="preserve">ata </w:t>
      </w:r>
      <w:r>
        <w:rPr>
          <w:b/>
          <w:bCs/>
        </w:rPr>
        <w:t>A</w:t>
      </w:r>
      <w:r w:rsidR="005C5F9B" w:rsidRPr="00393C3F">
        <w:rPr>
          <w:b/>
          <w:bCs/>
        </w:rPr>
        <w:t xml:space="preserve">cquisition </w:t>
      </w:r>
      <w:r>
        <w:rPr>
          <w:b/>
          <w:bCs/>
        </w:rPr>
        <w:t>S</w:t>
      </w:r>
      <w:r w:rsidR="005C5F9B" w:rsidRPr="00393C3F">
        <w:rPr>
          <w:b/>
          <w:bCs/>
        </w:rPr>
        <w:t>trategy</w:t>
      </w:r>
      <w:r>
        <w:t>:</w:t>
      </w:r>
      <w:r w:rsidR="005C5F9B">
        <w:t xml:space="preserve"> This involves mapping primary and secondary data custodians across government institutions, utilities, private developers, and development partners; defining data collection frequency; and establishing protocols for data validation, integration, and quality assurance.</w:t>
      </w:r>
    </w:p>
    <w:p w14:paraId="37475E1E" w14:textId="77777777" w:rsidR="00755370" w:rsidRDefault="00755370" w:rsidP="00755370">
      <w:pPr>
        <w:pStyle w:val="H2Bullet0"/>
        <w:numPr>
          <w:ilvl w:val="0"/>
          <w:numId w:val="0"/>
        </w:numPr>
      </w:pPr>
    </w:p>
    <w:p w14:paraId="2CD5293D" w14:textId="75469C07" w:rsidR="00755370" w:rsidRDefault="00755370" w:rsidP="00755370">
      <w:pPr>
        <w:pStyle w:val="H2Bullet0"/>
      </w:pPr>
      <w:r w:rsidRPr="00755370">
        <w:rPr>
          <w:b/>
          <w:bCs/>
        </w:rPr>
        <w:t>P</w:t>
      </w:r>
      <w:r w:rsidR="005C5F9B" w:rsidRPr="00755370">
        <w:rPr>
          <w:b/>
          <w:bCs/>
        </w:rPr>
        <w:t xml:space="preserve">roject </w:t>
      </w:r>
      <w:r w:rsidRPr="00755370">
        <w:rPr>
          <w:b/>
          <w:bCs/>
        </w:rPr>
        <w:t>A</w:t>
      </w:r>
      <w:r w:rsidR="005C5F9B" w:rsidRPr="00755370">
        <w:rPr>
          <w:b/>
          <w:bCs/>
        </w:rPr>
        <w:t xml:space="preserve">ssessment and </w:t>
      </w:r>
      <w:r w:rsidRPr="00755370">
        <w:rPr>
          <w:b/>
          <w:bCs/>
        </w:rPr>
        <w:t>I</w:t>
      </w:r>
      <w:r w:rsidR="005C5F9B" w:rsidRPr="00755370">
        <w:rPr>
          <w:b/>
          <w:bCs/>
        </w:rPr>
        <w:t xml:space="preserve">mplementation </w:t>
      </w:r>
      <w:r w:rsidRPr="00755370">
        <w:rPr>
          <w:b/>
          <w:bCs/>
        </w:rPr>
        <w:t>T</w:t>
      </w:r>
      <w:r w:rsidR="005C5F9B" w:rsidRPr="00755370">
        <w:rPr>
          <w:b/>
          <w:bCs/>
        </w:rPr>
        <w:t>racking</w:t>
      </w:r>
      <w:r>
        <w:t>:</w:t>
      </w:r>
      <w:r w:rsidR="005C5F9B">
        <w:t xml:space="preserve"> All ongoing and proposed sector projects relevant to M300 objectives will be reviewed and documented, including their timelines, budgets, objectives, and implementation status. Variances between planned and actual progress will be analyzed to support performance oversight.</w:t>
      </w:r>
    </w:p>
    <w:p w14:paraId="4875F2EE" w14:textId="77777777" w:rsidR="00755370" w:rsidRDefault="00755370" w:rsidP="00755370">
      <w:pPr>
        <w:pStyle w:val="H2Bullet0"/>
        <w:numPr>
          <w:ilvl w:val="0"/>
          <w:numId w:val="0"/>
        </w:numPr>
        <w:ind w:left="1134"/>
      </w:pPr>
    </w:p>
    <w:p w14:paraId="12DE7BBE" w14:textId="34C263F7" w:rsidR="005C5F9B" w:rsidRDefault="00755370" w:rsidP="00755370">
      <w:pPr>
        <w:pStyle w:val="H2Bullet0"/>
      </w:pPr>
      <w:r w:rsidRPr="00755370">
        <w:rPr>
          <w:b/>
          <w:bCs/>
        </w:rPr>
        <w:t>S</w:t>
      </w:r>
      <w:r w:rsidR="005C5F9B" w:rsidRPr="00755370">
        <w:rPr>
          <w:b/>
          <w:bCs/>
        </w:rPr>
        <w:t xml:space="preserve">upport to GEAPP in the </w:t>
      </w:r>
      <w:r w:rsidRPr="00755370">
        <w:rPr>
          <w:b/>
          <w:bCs/>
        </w:rPr>
        <w:t>D</w:t>
      </w:r>
      <w:r w:rsidR="005C5F9B" w:rsidRPr="00755370">
        <w:rPr>
          <w:b/>
          <w:bCs/>
        </w:rPr>
        <w:t xml:space="preserve">evelopment of the </w:t>
      </w:r>
      <w:r w:rsidRPr="00755370">
        <w:rPr>
          <w:b/>
          <w:bCs/>
        </w:rPr>
        <w:t>D</w:t>
      </w:r>
      <w:r w:rsidR="005C5F9B" w:rsidRPr="00755370">
        <w:rPr>
          <w:b/>
          <w:bCs/>
        </w:rPr>
        <w:t xml:space="preserve">ata </w:t>
      </w:r>
      <w:r w:rsidRPr="00755370">
        <w:rPr>
          <w:b/>
          <w:bCs/>
        </w:rPr>
        <w:t>A</w:t>
      </w:r>
      <w:r w:rsidR="005C5F9B" w:rsidRPr="00755370">
        <w:rPr>
          <w:b/>
          <w:bCs/>
        </w:rPr>
        <w:t xml:space="preserve">ggregation </w:t>
      </w:r>
      <w:r w:rsidRPr="00755370">
        <w:rPr>
          <w:b/>
          <w:bCs/>
        </w:rPr>
        <w:t>P</w:t>
      </w:r>
      <w:r w:rsidR="005C5F9B" w:rsidRPr="00755370">
        <w:rPr>
          <w:b/>
          <w:bCs/>
        </w:rPr>
        <w:t>latform</w:t>
      </w:r>
      <w:r>
        <w:t>:</w:t>
      </w:r>
      <w:r w:rsidR="005C5F9B">
        <w:t xml:space="preserve"> EMRC will define the monitoring architecture, data structuring logic, governance protocols, interoperability requirements, and reporting rules to ensure that the platform can securely collate, store, and analyze M300-related datasets. GEAPP will lead the technical configuration, system development, and hosting of the platform.</w:t>
      </w:r>
    </w:p>
    <w:p w14:paraId="5EC93BF2" w14:textId="77777777" w:rsidR="00755370" w:rsidRDefault="00755370" w:rsidP="00755370">
      <w:pPr>
        <w:pStyle w:val="H2Bullet0"/>
        <w:numPr>
          <w:ilvl w:val="0"/>
          <w:numId w:val="0"/>
        </w:numPr>
        <w:ind w:left="1134"/>
      </w:pPr>
    </w:p>
    <w:p w14:paraId="6CE6A5FD" w14:textId="4659C92C" w:rsidR="005C5F9B" w:rsidRDefault="00755370" w:rsidP="00755370">
      <w:pPr>
        <w:pStyle w:val="H2Bullet0"/>
      </w:pPr>
      <w:r w:rsidRPr="00755370">
        <w:rPr>
          <w:b/>
          <w:bCs/>
        </w:rPr>
        <w:t>D</w:t>
      </w:r>
      <w:r w:rsidR="005C5F9B" w:rsidRPr="00755370">
        <w:rPr>
          <w:b/>
          <w:bCs/>
        </w:rPr>
        <w:t xml:space="preserve">ashboard </w:t>
      </w:r>
      <w:r w:rsidRPr="00755370">
        <w:rPr>
          <w:b/>
          <w:bCs/>
        </w:rPr>
        <w:t>S</w:t>
      </w:r>
      <w:r w:rsidR="005C5F9B" w:rsidRPr="00755370">
        <w:rPr>
          <w:b/>
          <w:bCs/>
        </w:rPr>
        <w:t xml:space="preserve">pecification and </w:t>
      </w:r>
      <w:r w:rsidRPr="00755370">
        <w:rPr>
          <w:b/>
          <w:bCs/>
        </w:rPr>
        <w:t>C</w:t>
      </w:r>
      <w:r w:rsidR="005C5F9B" w:rsidRPr="00755370">
        <w:rPr>
          <w:b/>
          <w:bCs/>
        </w:rPr>
        <w:t xml:space="preserve">onfiguration </w:t>
      </w:r>
      <w:r w:rsidRPr="00755370">
        <w:rPr>
          <w:b/>
          <w:bCs/>
        </w:rPr>
        <w:t>S</w:t>
      </w:r>
      <w:r w:rsidR="005C5F9B" w:rsidRPr="00755370">
        <w:rPr>
          <w:b/>
          <w:bCs/>
        </w:rPr>
        <w:t>upport</w:t>
      </w:r>
      <w:r>
        <w:t>:</w:t>
      </w:r>
      <w:r w:rsidR="005C5F9B">
        <w:t xml:space="preserve"> EMRC will define the dashboard requirements, including indicator groupings, user tiers, reporting frequencies, disaggregation levels, drilldown structures, visualization logic, and export formats. These specifications will guide GEAPP’s technical team in configuring the existing dashboard platform to meet M300 monitoring needs.</w:t>
      </w:r>
    </w:p>
    <w:p w14:paraId="5712CC18" w14:textId="77777777" w:rsidR="00755370" w:rsidRDefault="00755370" w:rsidP="00755370">
      <w:pPr>
        <w:pStyle w:val="H2Bullet0"/>
        <w:numPr>
          <w:ilvl w:val="0"/>
          <w:numId w:val="0"/>
        </w:numPr>
      </w:pPr>
    </w:p>
    <w:p w14:paraId="6B8BA371" w14:textId="20798D02" w:rsidR="005C5F9B" w:rsidRDefault="00755370" w:rsidP="00755370">
      <w:pPr>
        <w:pStyle w:val="H2Bullet0"/>
      </w:pPr>
      <w:r w:rsidRPr="00755370">
        <w:rPr>
          <w:b/>
          <w:bCs/>
        </w:rPr>
        <w:t>C</w:t>
      </w:r>
      <w:r w:rsidR="005C5F9B" w:rsidRPr="00755370">
        <w:rPr>
          <w:b/>
          <w:bCs/>
        </w:rPr>
        <w:t xml:space="preserve">apacity </w:t>
      </w:r>
      <w:r w:rsidRPr="00755370">
        <w:rPr>
          <w:b/>
          <w:bCs/>
        </w:rPr>
        <w:t>B</w:t>
      </w:r>
      <w:r w:rsidR="005C5F9B" w:rsidRPr="00755370">
        <w:rPr>
          <w:b/>
          <w:bCs/>
        </w:rPr>
        <w:t xml:space="preserve">uilding and </w:t>
      </w:r>
      <w:r w:rsidRPr="00755370">
        <w:rPr>
          <w:b/>
          <w:bCs/>
        </w:rPr>
        <w:t>S</w:t>
      </w:r>
      <w:r w:rsidR="005C5F9B" w:rsidRPr="00755370">
        <w:rPr>
          <w:b/>
          <w:bCs/>
        </w:rPr>
        <w:t xml:space="preserve">ustainability </w:t>
      </w:r>
      <w:r w:rsidRPr="00755370">
        <w:rPr>
          <w:b/>
          <w:bCs/>
        </w:rPr>
        <w:t>S</w:t>
      </w:r>
      <w:r w:rsidR="005C5F9B" w:rsidRPr="00755370">
        <w:rPr>
          <w:b/>
          <w:bCs/>
        </w:rPr>
        <w:t>upport</w:t>
      </w:r>
      <w:r>
        <w:t>:</w:t>
      </w:r>
      <w:r w:rsidR="005C5F9B">
        <w:t xml:space="preserve"> This includes working alongside GEAPP to train CDMU and relevant stakeholders on dashboard usage, data input protocols, validation procedures, and governance processes. EMRC will validate technical documentation and user manuals to support long-term system sustainability and institutional ownership.</w:t>
      </w:r>
    </w:p>
    <w:p w14:paraId="7DB184E8" w14:textId="670A0728" w:rsidR="005C5F9B" w:rsidRDefault="005C5F9B" w:rsidP="005C5F9B">
      <w:pPr>
        <w:pStyle w:val="H2Text"/>
      </w:pPr>
      <w:r>
        <w:t>The scope of this assignment does not include independent development of the software platform. Technical system development, hosting, and software configuration will be undertaken by GEAPP, with EMRC providing structured advisory and configuration support.</w:t>
      </w:r>
    </w:p>
    <w:p w14:paraId="2E085224" w14:textId="77777777" w:rsidR="00CB3DC4" w:rsidRDefault="00CB3DC4" w:rsidP="00CB3DC4">
      <w:pPr>
        <w:pStyle w:val="Heading2"/>
      </w:pPr>
      <w:bookmarkStart w:id="5" w:name="_Toc227601126"/>
      <w:r>
        <w:t>Implementation Structure</w:t>
      </w:r>
      <w:bookmarkEnd w:id="5"/>
    </w:p>
    <w:p w14:paraId="10440626" w14:textId="77777777" w:rsidR="00CB3DC4" w:rsidRDefault="00CB3DC4" w:rsidP="00CB3DC4">
      <w:pPr>
        <w:pStyle w:val="H2Text"/>
      </w:pPr>
      <w:r>
        <w:t>The assignment will be implemented over a three-month execution period, followed by one month of structured post-implementation support. The implementation will follow a milestone-driven structure aligned with deliverable submission, stakeholder validation, and platform configuration cycles.</w:t>
      </w:r>
    </w:p>
    <w:p w14:paraId="1CAC95D5" w14:textId="77777777" w:rsidR="00CB3DC4" w:rsidRDefault="00CB3DC4" w:rsidP="00CB3DC4">
      <w:pPr>
        <w:pStyle w:val="H2Text"/>
      </w:pPr>
      <w:r>
        <w:lastRenderedPageBreak/>
        <w:t>The implementation will be organized around coordinated workstreams executed in parallel where appropriate, with defined review and validation checkpoints. The structure ensures that monitoring framework development, data governance design, and dashboard configuration support are sequenced logically and validated before final deployment.</w:t>
      </w:r>
    </w:p>
    <w:p w14:paraId="23FCBE6F" w14:textId="77777777" w:rsidR="00CB3DC4" w:rsidRPr="00D536D9" w:rsidRDefault="00CB3DC4" w:rsidP="00CB3DC4">
      <w:pPr>
        <w:pStyle w:val="H2Text"/>
      </w:pPr>
      <w:r w:rsidRPr="00D536D9">
        <w:t>The implementation structure consists of:</w:t>
      </w:r>
    </w:p>
    <w:p w14:paraId="322268B0" w14:textId="77777777" w:rsidR="00CB3DC4" w:rsidRPr="00D536D9" w:rsidRDefault="00CB3DC4" w:rsidP="00D26D4B">
      <w:pPr>
        <w:pStyle w:val="Heading3"/>
      </w:pPr>
      <w:r w:rsidRPr="00D536D9">
        <w:t>Inception and Alignment Phase</w:t>
      </w:r>
    </w:p>
    <w:p w14:paraId="6D1702E6" w14:textId="77777777" w:rsidR="00CB3DC4" w:rsidRDefault="00CB3DC4" w:rsidP="00D26D4B">
      <w:pPr>
        <w:pStyle w:val="H2Bullet0"/>
        <w:numPr>
          <w:ilvl w:val="0"/>
          <w:numId w:val="0"/>
        </w:numPr>
        <w:ind w:left="720"/>
      </w:pPr>
      <w:r w:rsidRPr="00D536D9">
        <w:t>This phase confirms scope, reporting lines, stakeholder engagement framework, and implementation schedule. It establishes focal points within CDMU and relevant ministries and validates the detailed work plan.</w:t>
      </w:r>
    </w:p>
    <w:p w14:paraId="26D71F07" w14:textId="77777777" w:rsidR="00CB3DC4" w:rsidRPr="00D536D9" w:rsidRDefault="00CB3DC4" w:rsidP="00D26D4B">
      <w:pPr>
        <w:pStyle w:val="Heading3"/>
      </w:pPr>
      <w:r w:rsidRPr="00D536D9">
        <w:t>Technical Design Phase</w:t>
      </w:r>
    </w:p>
    <w:p w14:paraId="25CE118F" w14:textId="77777777" w:rsidR="00CB3DC4" w:rsidRDefault="00CB3DC4" w:rsidP="00D26D4B">
      <w:pPr>
        <w:pStyle w:val="H2Bullet0"/>
        <w:numPr>
          <w:ilvl w:val="0"/>
          <w:numId w:val="0"/>
        </w:numPr>
        <w:ind w:left="720"/>
      </w:pPr>
      <w:r w:rsidRPr="00D536D9">
        <w:t>This phase focuses on developing the monitoring architecture, KPI framework, data governance structure, and reporting logic. Draft outputs are internally reviewed prior to stakeholder validation.</w:t>
      </w:r>
    </w:p>
    <w:p w14:paraId="6D844F66" w14:textId="77777777" w:rsidR="00CB3DC4" w:rsidRPr="00D536D9" w:rsidRDefault="00CB3DC4" w:rsidP="00D26D4B">
      <w:pPr>
        <w:pStyle w:val="Heading3"/>
      </w:pPr>
      <w:r w:rsidRPr="00D536D9">
        <w:t>Stakeholder Validation and Data Confirmation Phase</w:t>
      </w:r>
    </w:p>
    <w:p w14:paraId="07E6DB98" w14:textId="77777777" w:rsidR="00CB3DC4" w:rsidRDefault="00CB3DC4" w:rsidP="00D26D4B">
      <w:pPr>
        <w:pStyle w:val="H2Bullet0"/>
        <w:numPr>
          <w:ilvl w:val="0"/>
          <w:numId w:val="0"/>
        </w:numPr>
        <w:ind w:left="720"/>
      </w:pPr>
      <w:r w:rsidRPr="00D536D9">
        <w:t>During this phase, defined datasets, indicators, reporting frequencies, and governance protocols are validated with CDMU and relevant institutions. Data source confirmation and access pathways are formalized.</w:t>
      </w:r>
    </w:p>
    <w:p w14:paraId="3E82FA1C" w14:textId="77777777" w:rsidR="00CB3DC4" w:rsidRPr="00D536D9" w:rsidRDefault="00CB3DC4" w:rsidP="00D71516">
      <w:pPr>
        <w:pStyle w:val="Heading3"/>
      </w:pPr>
      <w:r w:rsidRPr="00D536D9">
        <w:t>Platform Configuration Support Phase</w:t>
      </w:r>
    </w:p>
    <w:p w14:paraId="41C1DE3C" w14:textId="77777777" w:rsidR="00CB3DC4" w:rsidRDefault="00CB3DC4" w:rsidP="00D71516">
      <w:pPr>
        <w:pStyle w:val="H2Bullet0"/>
        <w:numPr>
          <w:ilvl w:val="0"/>
          <w:numId w:val="0"/>
        </w:numPr>
        <w:ind w:left="720"/>
      </w:pPr>
      <w:r w:rsidRPr="00D536D9">
        <w:t>GEAPP undertakes technical configuration of the dashboard platform based on the agreed specifications. EMRC provides structured configuration guidance and reviews outputs to ensure alignment with the defined monitoring architecture.</w:t>
      </w:r>
    </w:p>
    <w:p w14:paraId="45778A60" w14:textId="77777777" w:rsidR="00CB3DC4" w:rsidRPr="004379C1" w:rsidRDefault="00CB3DC4" w:rsidP="00D71516">
      <w:pPr>
        <w:pStyle w:val="Heading3"/>
      </w:pPr>
      <w:r w:rsidRPr="004379C1">
        <w:t>System Validation and Deployment Phase</w:t>
      </w:r>
    </w:p>
    <w:p w14:paraId="160451E7" w14:textId="77777777" w:rsidR="00CB3DC4" w:rsidRDefault="00CB3DC4" w:rsidP="00D71516">
      <w:pPr>
        <w:pStyle w:val="H2Bullet0"/>
        <w:numPr>
          <w:ilvl w:val="0"/>
          <w:numId w:val="0"/>
        </w:numPr>
        <w:ind w:left="720"/>
      </w:pPr>
      <w:r w:rsidRPr="004379C1">
        <w:t>Configured dashboards are tested against defined indicators and reporting logic. Any inconsistencies are resolved prior to final acceptance.</w:t>
      </w:r>
    </w:p>
    <w:p w14:paraId="3EC6DA44" w14:textId="77777777" w:rsidR="00CB3DC4" w:rsidRPr="004379C1" w:rsidRDefault="00CB3DC4" w:rsidP="00D71516">
      <w:pPr>
        <w:pStyle w:val="Heading3"/>
      </w:pPr>
      <w:r w:rsidRPr="004379C1">
        <w:t>Post-Implementation Support Phase</w:t>
      </w:r>
    </w:p>
    <w:p w14:paraId="6DB04A40" w14:textId="77777777" w:rsidR="00CB3DC4" w:rsidRDefault="00CB3DC4" w:rsidP="00D71516">
      <w:pPr>
        <w:pStyle w:val="H2Bullet0"/>
        <w:numPr>
          <w:ilvl w:val="0"/>
          <w:numId w:val="0"/>
        </w:numPr>
        <w:ind w:left="720"/>
      </w:pPr>
      <w:r w:rsidRPr="004379C1">
        <w:t>Following deployment, EMRC will provide one month of support to stabilize reporting processes, address clarification requests, and ensure effective transfer of operational ownership to CDMU.</w:t>
      </w:r>
    </w:p>
    <w:p w14:paraId="1F1D7A81" w14:textId="77777777" w:rsidR="00CB3DC4" w:rsidRPr="004379C1" w:rsidRDefault="00CB3DC4" w:rsidP="00D71516">
      <w:pPr>
        <w:pStyle w:val="Heading3"/>
      </w:pPr>
      <w:r w:rsidRPr="004379C1">
        <w:t>Governance and Reporting</w:t>
      </w:r>
    </w:p>
    <w:p w14:paraId="0A00342D" w14:textId="77777777" w:rsidR="00C1381D" w:rsidRDefault="00C1381D" w:rsidP="00D71516">
      <w:pPr>
        <w:pStyle w:val="H2Bullet0"/>
        <w:numPr>
          <w:ilvl w:val="0"/>
          <w:numId w:val="0"/>
        </w:numPr>
        <w:ind w:left="720"/>
      </w:pPr>
      <w:r>
        <w:t>A structured communication and reporting framework will be implemented to ensure effective coordination between EMRC, GEAPP, CDMU, and relevant stakeholders throughout the assignment.</w:t>
      </w:r>
    </w:p>
    <w:p w14:paraId="45E84B6C" w14:textId="77777777" w:rsidR="00C1381D" w:rsidRDefault="00C1381D" w:rsidP="00D71516">
      <w:pPr>
        <w:pStyle w:val="H2Bullet0"/>
        <w:numPr>
          <w:ilvl w:val="0"/>
          <w:numId w:val="0"/>
        </w:numPr>
        <w:ind w:left="720"/>
      </w:pPr>
    </w:p>
    <w:p w14:paraId="44DE63FC" w14:textId="77777777" w:rsidR="00C1381D" w:rsidRDefault="00C1381D" w:rsidP="00D71516">
      <w:pPr>
        <w:pStyle w:val="H2Bullet0"/>
        <w:numPr>
          <w:ilvl w:val="0"/>
          <w:numId w:val="0"/>
        </w:numPr>
        <w:ind w:left="720"/>
      </w:pPr>
      <w:r>
        <w:t xml:space="preserve">EMRC will maintain continuous coordination with GEAPP on technical delivery, including monitoring framework development, data structuring, and dashboard configuration support. GEAPP will serve as the primary coordination interface with CDMU and </w:t>
      </w:r>
      <w:r>
        <w:lastRenderedPageBreak/>
        <w:t>government stakeholders, ensuring alignment with institutional processes and facilitating access to relevant data custodians.</w:t>
      </w:r>
    </w:p>
    <w:p w14:paraId="1DD03A43" w14:textId="77777777" w:rsidR="00C1381D" w:rsidRDefault="00C1381D" w:rsidP="00D71516">
      <w:pPr>
        <w:pStyle w:val="H2Bullet0"/>
        <w:numPr>
          <w:ilvl w:val="0"/>
          <w:numId w:val="0"/>
        </w:numPr>
        <w:ind w:left="720"/>
      </w:pPr>
    </w:p>
    <w:p w14:paraId="406121D5" w14:textId="56612F7F" w:rsidR="00C1381D" w:rsidRDefault="00C1381D" w:rsidP="00D71516">
      <w:pPr>
        <w:pStyle w:val="H2Bullet0"/>
        <w:numPr>
          <w:ilvl w:val="0"/>
          <w:numId w:val="0"/>
        </w:numPr>
        <w:ind w:left="720"/>
      </w:pPr>
      <w:r w:rsidRPr="00C1381D">
        <w:t>Engagement with external stakeholders, including ministries, regulatory agencies, utilities, and development partners, will be conducted in a coordinated manner, with CDMU facilitating access and dissemination of technical outputs for review. EMRC will provide technical materials and respond to stakeholder inputs, while GEAPP will maintain visibility to ensure alignment.</w:t>
      </w:r>
    </w:p>
    <w:p w14:paraId="71DD4036" w14:textId="77777777" w:rsidR="00DB7B1B" w:rsidRDefault="00DB7B1B" w:rsidP="00D71516">
      <w:pPr>
        <w:pStyle w:val="H2Bullet0"/>
        <w:numPr>
          <w:ilvl w:val="0"/>
          <w:numId w:val="0"/>
        </w:numPr>
        <w:ind w:left="720"/>
      </w:pPr>
    </w:p>
    <w:p w14:paraId="75CD66D2" w14:textId="77777777" w:rsidR="00C31C2F" w:rsidRPr="00C31C2F" w:rsidRDefault="00C31C2F" w:rsidP="00D71516">
      <w:pPr>
        <w:pStyle w:val="H2Bullet0"/>
        <w:numPr>
          <w:ilvl w:val="0"/>
          <w:numId w:val="0"/>
        </w:numPr>
        <w:ind w:left="720"/>
        <w:rPr>
          <w:lang w:val="en-NG"/>
        </w:rPr>
      </w:pPr>
      <w:r w:rsidRPr="00C31C2F">
        <w:rPr>
          <w:lang w:val="en-NG"/>
        </w:rPr>
        <w:t>The assignment will follow a defined reporting cadence:</w:t>
      </w:r>
    </w:p>
    <w:p w14:paraId="63EE8B96" w14:textId="77777777" w:rsidR="00C31C2F" w:rsidRPr="00C31C2F" w:rsidRDefault="00C31C2F" w:rsidP="00D71516">
      <w:pPr>
        <w:pStyle w:val="H2Bullet0"/>
        <w:rPr>
          <w:lang w:val="en-NG"/>
        </w:rPr>
      </w:pPr>
      <w:r w:rsidRPr="00C31C2F">
        <w:rPr>
          <w:lang w:val="en-NG"/>
        </w:rPr>
        <w:t xml:space="preserve">Bi-weekly coordination meetings will be held with CDMU, GEAPP, and EMRC to review progress, address issues, and align on next steps </w:t>
      </w:r>
    </w:p>
    <w:p w14:paraId="516DE444" w14:textId="77777777" w:rsidR="00C31C2F" w:rsidRPr="00C31C2F" w:rsidRDefault="00C31C2F" w:rsidP="00D71516">
      <w:pPr>
        <w:pStyle w:val="H2Bullet0"/>
        <w:rPr>
          <w:lang w:val="en-NG"/>
        </w:rPr>
      </w:pPr>
      <w:r w:rsidRPr="00C31C2F">
        <w:rPr>
          <w:lang w:val="en-NG"/>
        </w:rPr>
        <w:t xml:space="preserve">Ad hoc technical sessions will be convened as required to address specific data, validation, or platform-related matters </w:t>
      </w:r>
    </w:p>
    <w:p w14:paraId="7FDAD852" w14:textId="77777777" w:rsidR="00C31C2F" w:rsidRDefault="00C31C2F" w:rsidP="00D71516">
      <w:pPr>
        <w:pStyle w:val="H2Bullet0"/>
        <w:rPr>
          <w:lang w:val="en-NG"/>
        </w:rPr>
      </w:pPr>
      <w:r w:rsidRPr="00C31C2F">
        <w:rPr>
          <w:lang w:val="en-NG"/>
        </w:rPr>
        <w:t>Milestone-based review sessions will be conducted at key deliverable stages</w:t>
      </w:r>
    </w:p>
    <w:p w14:paraId="0B3244D2" w14:textId="77777777" w:rsidR="00550356" w:rsidRDefault="00550356" w:rsidP="00550356">
      <w:pPr>
        <w:pStyle w:val="H2Bullet0"/>
        <w:numPr>
          <w:ilvl w:val="0"/>
          <w:numId w:val="0"/>
        </w:numPr>
        <w:ind w:left="709"/>
        <w:rPr>
          <w:lang w:val="en-NG"/>
        </w:rPr>
      </w:pPr>
    </w:p>
    <w:p w14:paraId="0679E32A" w14:textId="77777777" w:rsidR="00550356" w:rsidRDefault="00550356" w:rsidP="00550356">
      <w:pPr>
        <w:pStyle w:val="H2Bullet0"/>
        <w:numPr>
          <w:ilvl w:val="0"/>
          <w:numId w:val="0"/>
        </w:numPr>
        <w:ind w:left="709"/>
        <w:rPr>
          <w:lang w:val="en-NG"/>
        </w:rPr>
      </w:pPr>
      <w:r w:rsidRPr="00550356">
        <w:rPr>
          <w:lang w:val="en-NG"/>
        </w:rPr>
        <w:t>All deliverables will follow a structured review and validation process. Draft outputs will be submitted by EMRC to GEAPP and CDMU, after which CDMU will coordinate stakeholder review and consolidate feedback. Final outputs will be submitted following incorporation of validated inputs.</w:t>
      </w:r>
    </w:p>
    <w:p w14:paraId="5D60D756" w14:textId="77777777" w:rsidR="00550356" w:rsidRPr="00550356" w:rsidRDefault="00550356" w:rsidP="00550356">
      <w:pPr>
        <w:pStyle w:val="H2Bullet0"/>
        <w:numPr>
          <w:ilvl w:val="0"/>
          <w:numId w:val="0"/>
        </w:numPr>
        <w:ind w:left="709"/>
        <w:rPr>
          <w:lang w:val="en-NG"/>
        </w:rPr>
      </w:pPr>
    </w:p>
    <w:p w14:paraId="0D0C79C8" w14:textId="77777777" w:rsidR="00550356" w:rsidRDefault="00550356" w:rsidP="00550356">
      <w:pPr>
        <w:pStyle w:val="H2Bullet0"/>
        <w:numPr>
          <w:ilvl w:val="0"/>
          <w:numId w:val="0"/>
        </w:numPr>
        <w:ind w:left="709"/>
        <w:rPr>
          <w:lang w:val="en-NG"/>
        </w:rPr>
      </w:pPr>
      <w:r w:rsidRPr="00550356">
        <w:rPr>
          <w:lang w:val="en-NG"/>
        </w:rPr>
        <w:t>An escalation mechanism will be applied where required. Issues related to delayed data access, stakeholder responsiveness, or inconsistencies in datasets will first be addressed through technical follow-up. Where necessary, escalation will be coordinated through GEAPP and CDMU to ensure timely resolution.</w:t>
      </w:r>
    </w:p>
    <w:p w14:paraId="7FCAFD52" w14:textId="77777777" w:rsidR="00550356" w:rsidRPr="00550356" w:rsidRDefault="00550356" w:rsidP="00550356">
      <w:pPr>
        <w:pStyle w:val="H2Bullet0"/>
        <w:numPr>
          <w:ilvl w:val="0"/>
          <w:numId w:val="0"/>
        </w:numPr>
        <w:ind w:left="709"/>
        <w:rPr>
          <w:lang w:val="en-NG"/>
        </w:rPr>
      </w:pPr>
    </w:p>
    <w:p w14:paraId="43F7C7FD" w14:textId="126F87C5" w:rsidR="00C31C2F" w:rsidRPr="00550356" w:rsidRDefault="00550356" w:rsidP="00550356">
      <w:pPr>
        <w:pStyle w:val="H2Bullet0"/>
        <w:numPr>
          <w:ilvl w:val="0"/>
          <w:numId w:val="0"/>
        </w:numPr>
        <w:ind w:left="709"/>
        <w:rPr>
          <w:lang w:val="en-NG"/>
        </w:rPr>
      </w:pPr>
      <w:r w:rsidRPr="00550356">
        <w:rPr>
          <w:lang w:val="en-NG"/>
        </w:rPr>
        <w:t>This approach reflects the coordination structure agreed during the project kick-off, including bi-weekly follow-up sessions, CDMU-led stakeholder engagement, and ongoing coordination with GEAPP on platform-related activities.</w:t>
      </w:r>
    </w:p>
    <w:p w14:paraId="0DE31ABD" w14:textId="7DC3438A" w:rsidR="004379C1" w:rsidRDefault="004379C1" w:rsidP="004379C1">
      <w:pPr>
        <w:pStyle w:val="Heading2"/>
      </w:pPr>
      <w:bookmarkStart w:id="6" w:name="_Toc227601127"/>
      <w:r>
        <w:t>Key Deliverables</w:t>
      </w:r>
      <w:bookmarkEnd w:id="6"/>
    </w:p>
    <w:p w14:paraId="235E12E8" w14:textId="6F8A0AC7" w:rsidR="00E76212" w:rsidRDefault="00E76212" w:rsidP="00C31C2F">
      <w:pPr>
        <w:pStyle w:val="H2Text"/>
      </w:pPr>
      <w:r>
        <w:t>This assignment will produce a series of structured deliverables aligned with the workstreams outlined in the technical proposal. These deliverables will collectively establish the monitoring architecture required to track implementation of the Mission 300 National Energy Compact in Nigeria.</w:t>
      </w:r>
    </w:p>
    <w:p w14:paraId="0A92A13F" w14:textId="6B081F34" w:rsidR="00E76212" w:rsidRPr="00E76212" w:rsidRDefault="00E76212" w:rsidP="00E76212">
      <w:pPr>
        <w:pStyle w:val="H2Text"/>
      </w:pPr>
      <w:r>
        <w:t>The Inception Report constitutes the first formal deliverable and establishes the implementation roadmap for the assignment.</w:t>
      </w:r>
    </w:p>
    <w:p w14:paraId="58D8C174" w14:textId="5DA0915C" w:rsidR="004542B6" w:rsidRPr="004542B6" w:rsidRDefault="004542B6" w:rsidP="004542B6">
      <w:pPr>
        <w:pStyle w:val="H2Bullet0"/>
        <w:rPr>
          <w:b/>
        </w:rPr>
      </w:pPr>
      <w:r w:rsidRPr="004542B6">
        <w:rPr>
          <w:b/>
        </w:rPr>
        <w:t>Inception Report</w:t>
      </w:r>
    </w:p>
    <w:p w14:paraId="0629EE23" w14:textId="5D484E40" w:rsidR="007F1353" w:rsidRDefault="0040090C" w:rsidP="007F1353">
      <w:pPr>
        <w:pStyle w:val="H2Bullet0"/>
        <w:numPr>
          <w:ilvl w:val="0"/>
          <w:numId w:val="0"/>
        </w:numPr>
        <w:ind w:left="1134"/>
      </w:pPr>
      <w:r w:rsidRPr="0040090C">
        <w:t xml:space="preserve">This document confirms </w:t>
      </w:r>
      <w:r w:rsidR="00303E84">
        <w:t xml:space="preserve">the </w:t>
      </w:r>
      <w:r w:rsidR="007F1353" w:rsidRPr="007F1353">
        <w:t xml:space="preserve">scope of work, implementation methodology, stakeholder engagement approach, coordination arrangements, reporting cadence, access roles, and sequencing of activities. It also provides a preliminary </w:t>
      </w:r>
      <w:r w:rsidR="007F1353" w:rsidRPr="007F1353">
        <w:lastRenderedPageBreak/>
        <w:t>baseline assessment and outlines the framework through which subsequent technical deliverables will be developed.</w:t>
      </w:r>
    </w:p>
    <w:p w14:paraId="44F41650" w14:textId="68B1C044" w:rsidR="004542B6" w:rsidRDefault="004542B6" w:rsidP="00303E84">
      <w:pPr>
        <w:pStyle w:val="H1Bullet"/>
        <w:rPr>
          <w:b/>
          <w:bCs/>
        </w:rPr>
      </w:pPr>
      <w:r w:rsidRPr="00303E84">
        <w:rPr>
          <w:b/>
          <w:bCs/>
        </w:rPr>
        <w:t>Data Requirement Report</w:t>
      </w:r>
    </w:p>
    <w:p w14:paraId="1A0F6584" w14:textId="095F8643" w:rsidR="0093070D" w:rsidRPr="0093070D" w:rsidRDefault="0093070D" w:rsidP="0093070D">
      <w:pPr>
        <w:pStyle w:val="H1Bullet"/>
        <w:numPr>
          <w:ilvl w:val="0"/>
          <w:numId w:val="0"/>
        </w:numPr>
        <w:ind w:left="1134"/>
      </w:pPr>
      <w:r w:rsidRPr="0093070D">
        <w:t>Following approval of the Inception Report, EMRC will develop a comprehensive Data Requirement Report defining the datasets and key performance indicators required to monitor Mission 300 implementation. This report will specify indicator definitions, calculation logic, disaggregation levels, reporting frequencies, and alignment of indicators with the five pillars of the Nigeria National Energy Compact.</w:t>
      </w:r>
    </w:p>
    <w:p w14:paraId="6FC23573" w14:textId="77777777" w:rsidR="0040090C" w:rsidRDefault="0040090C" w:rsidP="0040090C">
      <w:pPr>
        <w:pStyle w:val="H2Bullet0"/>
        <w:rPr>
          <w:b/>
          <w:bCs/>
        </w:rPr>
      </w:pPr>
      <w:r w:rsidRPr="0040090C">
        <w:rPr>
          <w:b/>
          <w:bCs/>
        </w:rPr>
        <w:t>Data Source and Collection Strategy Report</w:t>
      </w:r>
    </w:p>
    <w:p w14:paraId="59254169" w14:textId="0A8676DD" w:rsidR="00012CA9" w:rsidRDefault="00D911C2" w:rsidP="00012CA9">
      <w:pPr>
        <w:pStyle w:val="H2Bullet0"/>
        <w:numPr>
          <w:ilvl w:val="0"/>
          <w:numId w:val="0"/>
        </w:numPr>
        <w:ind w:left="1134"/>
      </w:pPr>
      <w:r w:rsidRPr="00D911C2">
        <w:t>This report will establish the structured framework through which monitoring data will be obtained. It will include mapping of primary and secondary data sources, identification of institutional data custodians, definition of data access pathways, specification of reporting frequency, and documentation of data quality protocols. The report will also incorporate a consolidated Mission 300 project register and a summary of key implementation bottlenecks identified across ongoing and proposed interventions.</w:t>
      </w:r>
    </w:p>
    <w:p w14:paraId="6CFF2D24" w14:textId="77777777" w:rsidR="00D911C2" w:rsidRPr="00012CA9" w:rsidRDefault="00D911C2" w:rsidP="00012CA9">
      <w:pPr>
        <w:pStyle w:val="H2Bullet0"/>
        <w:numPr>
          <w:ilvl w:val="0"/>
          <w:numId w:val="0"/>
        </w:numPr>
        <w:ind w:left="1134"/>
      </w:pPr>
    </w:p>
    <w:p w14:paraId="024B0920" w14:textId="77777777" w:rsidR="0040090C" w:rsidRDefault="0040090C" w:rsidP="0040090C">
      <w:pPr>
        <w:pStyle w:val="H2Bullet0"/>
        <w:rPr>
          <w:b/>
          <w:bCs/>
        </w:rPr>
      </w:pPr>
      <w:r w:rsidRPr="00F437CD">
        <w:rPr>
          <w:b/>
          <w:bCs/>
        </w:rPr>
        <w:t>Prototype Dashboard</w:t>
      </w:r>
    </w:p>
    <w:p w14:paraId="6BBA85F6" w14:textId="5EFBEF2E" w:rsidR="00E750AE" w:rsidRDefault="00E750AE" w:rsidP="00E750AE">
      <w:pPr>
        <w:pStyle w:val="H2Bullet0"/>
        <w:numPr>
          <w:ilvl w:val="0"/>
          <w:numId w:val="0"/>
        </w:numPr>
        <w:ind w:left="1134"/>
      </w:pPr>
      <w:r w:rsidRPr="00E750AE">
        <w:t>Based on the defined data requirements and monitoring architecture, GEAPP’s technical team will configure an initial version of the monitoring dashboard on the existing platform. EMRC will support this process by providing indicator specifications, baseline datasets, and structured review feedback during testing and validation cycles.</w:t>
      </w:r>
    </w:p>
    <w:p w14:paraId="15AB7EBA" w14:textId="77777777" w:rsidR="00E750AE" w:rsidRPr="00E750AE" w:rsidRDefault="00E750AE" w:rsidP="00E750AE">
      <w:pPr>
        <w:pStyle w:val="H2Bullet0"/>
        <w:numPr>
          <w:ilvl w:val="0"/>
          <w:numId w:val="0"/>
        </w:numPr>
        <w:ind w:left="1134" w:hanging="425"/>
      </w:pPr>
    </w:p>
    <w:p w14:paraId="07696ACF" w14:textId="77777777" w:rsidR="00F437CD" w:rsidRPr="00F437CD" w:rsidRDefault="00F437CD" w:rsidP="00F437CD">
      <w:pPr>
        <w:pStyle w:val="H2Bullet0"/>
        <w:rPr>
          <w:b/>
          <w:bCs/>
        </w:rPr>
      </w:pPr>
      <w:r w:rsidRPr="00F437CD">
        <w:rPr>
          <w:b/>
          <w:bCs/>
        </w:rPr>
        <w:t>Final Data Dashboard Monitoring System</w:t>
      </w:r>
    </w:p>
    <w:p w14:paraId="7B45099C" w14:textId="132BBAD7" w:rsidR="00F437CD" w:rsidRDefault="007D0ED3" w:rsidP="00F437CD">
      <w:pPr>
        <w:pStyle w:val="H2Text"/>
        <w:ind w:left="1134"/>
      </w:pPr>
      <w:r w:rsidRPr="007D0ED3">
        <w:t>Following validation of the prototype system, the final configured dashboard will be delivered with approved indicators, structured reporting views, user access controls, and visualization tools aligned with agreed monitoring requirements.</w:t>
      </w:r>
    </w:p>
    <w:p w14:paraId="5B6F8669" w14:textId="77777777" w:rsidR="00F437CD" w:rsidRPr="00F437CD" w:rsidRDefault="00F437CD" w:rsidP="00F437CD">
      <w:pPr>
        <w:pStyle w:val="H2Bullet0"/>
        <w:rPr>
          <w:b/>
          <w:bCs/>
        </w:rPr>
      </w:pPr>
      <w:r w:rsidRPr="00F437CD">
        <w:rPr>
          <w:b/>
          <w:bCs/>
        </w:rPr>
        <w:t>Training and Documentation Package</w:t>
      </w:r>
    </w:p>
    <w:p w14:paraId="368DC349" w14:textId="7919C217" w:rsidR="00F437CD" w:rsidRDefault="00AB20AB" w:rsidP="00F437CD">
      <w:pPr>
        <w:pStyle w:val="H2Text"/>
        <w:ind w:left="1134"/>
      </w:pPr>
      <w:r w:rsidRPr="00AB20AB">
        <w:t xml:space="preserve">EMRC will support capacity building for the </w:t>
      </w:r>
      <w:r>
        <w:t>CDMU</w:t>
      </w:r>
      <w:r w:rsidRPr="00AB20AB">
        <w:t xml:space="preserve"> and relevant stakeholders through training sessions, operational guidance, and validation of technical documentation and user manuals prepared by GEAPP.</w:t>
      </w:r>
    </w:p>
    <w:p w14:paraId="1C315D4B" w14:textId="77777777" w:rsidR="00F437CD" w:rsidRPr="00F437CD" w:rsidRDefault="00F437CD" w:rsidP="00F437CD">
      <w:pPr>
        <w:pStyle w:val="H2Bullet0"/>
        <w:rPr>
          <w:b/>
          <w:bCs/>
        </w:rPr>
      </w:pPr>
      <w:r w:rsidRPr="00F437CD">
        <w:rPr>
          <w:b/>
          <w:bCs/>
        </w:rPr>
        <w:t>Final Report and Presentation</w:t>
      </w:r>
    </w:p>
    <w:p w14:paraId="0E096371" w14:textId="1B463720" w:rsidR="00F437CD" w:rsidRDefault="00D62E77" w:rsidP="00F437CD">
      <w:pPr>
        <w:pStyle w:val="H2Text"/>
        <w:ind w:left="1134"/>
      </w:pPr>
      <w:r w:rsidRPr="00D62E77">
        <w:t>At the conclusion of the assignment, EMRC will deliver a consolidated final report summarizing implementation activities, monitoring architecture design, dashboard configuration outcomes, governance arrangements, and recommendations for sustaining the monitoring system</w:t>
      </w:r>
    </w:p>
    <w:p w14:paraId="32AF45AE" w14:textId="77777777" w:rsidR="00F437CD" w:rsidRPr="00F437CD" w:rsidRDefault="00F437CD" w:rsidP="00F437CD">
      <w:pPr>
        <w:pStyle w:val="H2Bullet0"/>
        <w:rPr>
          <w:b/>
          <w:bCs/>
        </w:rPr>
      </w:pPr>
      <w:r w:rsidRPr="00F437CD">
        <w:rPr>
          <w:b/>
          <w:bCs/>
        </w:rPr>
        <w:t>Post-Implementation Support</w:t>
      </w:r>
    </w:p>
    <w:p w14:paraId="41204603" w14:textId="29D3B6FF" w:rsidR="00F437CD" w:rsidRDefault="00D62E77" w:rsidP="00F437CD">
      <w:pPr>
        <w:pStyle w:val="H2Text"/>
        <w:ind w:left="1134"/>
      </w:pPr>
      <w:r w:rsidRPr="00D62E77">
        <w:lastRenderedPageBreak/>
        <w:t>Following deployment of the monitoring system, EMRC will provide one month of post-implementation support to assist with system stabilization, clarification requests, and transition of operational ownership to CDMU.</w:t>
      </w:r>
    </w:p>
    <w:p w14:paraId="5F668092" w14:textId="31673471" w:rsidR="00D252A8" w:rsidRDefault="00D252A8" w:rsidP="00D252A8">
      <w:pPr>
        <w:pStyle w:val="Heading2"/>
      </w:pPr>
      <w:bookmarkStart w:id="7" w:name="_Toc227601128"/>
      <w:r>
        <w:t>Timeline</w:t>
      </w:r>
      <w:bookmarkEnd w:id="7"/>
    </w:p>
    <w:p w14:paraId="492EF38A" w14:textId="6DEB8E9B" w:rsidR="0062320C" w:rsidRDefault="0062320C" w:rsidP="00C40D01">
      <w:pPr>
        <w:pStyle w:val="H2Text"/>
      </w:pPr>
      <w:r>
        <w:t>The assignment will be implemented over a total duration of four months, consisting of three months of active implementation and one month of structured post-implementation support.</w:t>
      </w:r>
    </w:p>
    <w:p w14:paraId="712E378C" w14:textId="2941DA70" w:rsidR="0062320C" w:rsidRPr="0062320C" w:rsidRDefault="0062320C" w:rsidP="0062320C">
      <w:pPr>
        <w:pStyle w:val="H2Text"/>
      </w:pPr>
      <w:r>
        <w:t>The schedule below presents the proposed implementation timeline, reflecting a phased but overlapping approach to stakeholder engagement, data collection, validation, and system configuration. Final milestone dates will be validated during the formal kick-off engagement with CDMU and GEAPP to ensure alignment with institutional availability and data access timelines.</w:t>
      </w:r>
    </w:p>
    <w:p w14:paraId="30958598" w14:textId="437E4920" w:rsidR="00DA7BC7" w:rsidRPr="00DA7BC7" w:rsidRDefault="00DA7BC7" w:rsidP="00DA7BC7">
      <w:pPr>
        <w:pStyle w:val="Caption"/>
        <w:rPr>
          <w:lang w:val="en-US"/>
        </w:rPr>
      </w:pPr>
      <w:r>
        <w:t xml:space="preserve">Table </w:t>
      </w:r>
      <w:r>
        <w:fldChar w:fldCharType="begin"/>
      </w:r>
      <w:r>
        <w:instrText xml:space="preserve"> SEQ Table \* ARABIC </w:instrText>
      </w:r>
      <w:r>
        <w:fldChar w:fldCharType="separate"/>
      </w:r>
      <w:r>
        <w:rPr>
          <w:noProof/>
        </w:rPr>
        <w:t>1</w:t>
      </w:r>
      <w:r>
        <w:rPr>
          <w:noProof/>
        </w:rPr>
        <w:fldChar w:fldCharType="end"/>
      </w:r>
      <w:r>
        <w:t>: Implementation Milestone Matrix</w:t>
      </w:r>
    </w:p>
    <w:tbl>
      <w:tblPr>
        <w:tblStyle w:val="TableGrid"/>
        <w:tblW w:w="0" w:type="auto"/>
        <w:tblInd w:w="1134" w:type="dxa"/>
        <w:tblLook w:val="04A0" w:firstRow="1" w:lastRow="0" w:firstColumn="1" w:lastColumn="0" w:noHBand="0" w:noVBand="1"/>
      </w:tblPr>
      <w:tblGrid>
        <w:gridCol w:w="614"/>
        <w:gridCol w:w="3112"/>
        <w:gridCol w:w="2499"/>
        <w:gridCol w:w="1139"/>
      </w:tblGrid>
      <w:tr w:rsidR="00D6499E" w14:paraId="0B3C5D35" w14:textId="77777777" w:rsidTr="00DA7BC7">
        <w:trPr>
          <w:cnfStyle w:val="100000000000" w:firstRow="1" w:lastRow="0" w:firstColumn="0" w:lastColumn="0" w:oddVBand="0" w:evenVBand="0" w:oddHBand="0" w:evenHBand="0" w:firstRowFirstColumn="0" w:firstRowLastColumn="0" w:lastRowFirstColumn="0" w:lastRowLastColumn="0"/>
        </w:trPr>
        <w:tc>
          <w:tcPr>
            <w:tcW w:w="0" w:type="auto"/>
          </w:tcPr>
          <w:p w14:paraId="2C35B893" w14:textId="5A69ECF0" w:rsidR="00DA7BC7" w:rsidRPr="00DC7F87" w:rsidRDefault="00DA7BC7" w:rsidP="00AE0ABE">
            <w:pPr>
              <w:pStyle w:val="H2Bullet0"/>
              <w:numPr>
                <w:ilvl w:val="0"/>
                <w:numId w:val="0"/>
              </w:numPr>
              <w:rPr>
                <w:lang w:val="en-GB"/>
              </w:rPr>
            </w:pPr>
            <w:r>
              <w:rPr>
                <w:lang w:val="en-GB"/>
              </w:rPr>
              <w:t>Phase</w:t>
            </w:r>
          </w:p>
        </w:tc>
        <w:tc>
          <w:tcPr>
            <w:tcW w:w="0" w:type="auto"/>
          </w:tcPr>
          <w:p w14:paraId="23F6A8C2" w14:textId="73D5F21F" w:rsidR="00DA7BC7" w:rsidRPr="00DC7F87" w:rsidRDefault="00DA7BC7" w:rsidP="00AE0ABE">
            <w:pPr>
              <w:pStyle w:val="H2Bullet0"/>
              <w:numPr>
                <w:ilvl w:val="0"/>
                <w:numId w:val="0"/>
              </w:numPr>
              <w:rPr>
                <w:lang w:val="en-GB"/>
              </w:rPr>
            </w:pPr>
            <w:r>
              <w:rPr>
                <w:lang w:val="en-GB"/>
              </w:rPr>
              <w:t>Key Activities</w:t>
            </w:r>
          </w:p>
        </w:tc>
        <w:tc>
          <w:tcPr>
            <w:tcW w:w="0" w:type="auto"/>
          </w:tcPr>
          <w:p w14:paraId="48B4EDA6" w14:textId="51021B15" w:rsidR="00DA7BC7" w:rsidRPr="00DC7F87" w:rsidRDefault="00DA7BC7" w:rsidP="00AE0ABE">
            <w:pPr>
              <w:pStyle w:val="H2Bullet0"/>
              <w:numPr>
                <w:ilvl w:val="0"/>
                <w:numId w:val="0"/>
              </w:numPr>
              <w:rPr>
                <w:lang w:val="en-GB"/>
              </w:rPr>
            </w:pPr>
            <w:r>
              <w:rPr>
                <w:lang w:val="en-GB"/>
              </w:rPr>
              <w:t>Primary Outputs</w:t>
            </w:r>
          </w:p>
        </w:tc>
        <w:tc>
          <w:tcPr>
            <w:tcW w:w="0" w:type="auto"/>
          </w:tcPr>
          <w:p w14:paraId="600DC49B" w14:textId="4B94BE11" w:rsidR="00DA7BC7" w:rsidRPr="00DC7F87" w:rsidRDefault="00DA7BC7" w:rsidP="00AE0ABE">
            <w:pPr>
              <w:pStyle w:val="H2Bullet0"/>
              <w:numPr>
                <w:ilvl w:val="0"/>
                <w:numId w:val="0"/>
              </w:numPr>
              <w:rPr>
                <w:lang w:val="en-GB"/>
              </w:rPr>
            </w:pPr>
            <w:r>
              <w:rPr>
                <w:lang w:val="en-GB"/>
              </w:rPr>
              <w:t>Target Completion</w:t>
            </w:r>
          </w:p>
        </w:tc>
      </w:tr>
      <w:tr w:rsidR="00DB2DA1" w14:paraId="313A18E5" w14:textId="77777777" w:rsidTr="00DA7BC7">
        <w:tc>
          <w:tcPr>
            <w:tcW w:w="0" w:type="auto"/>
            <w:vMerge w:val="restart"/>
          </w:tcPr>
          <w:p w14:paraId="64E997C2" w14:textId="77777777" w:rsidR="00DB2DA1" w:rsidRPr="006C6BC7" w:rsidRDefault="00DB2DA1" w:rsidP="00DA7BC7">
            <w:pPr>
              <w:pStyle w:val="H2Bullet0"/>
              <w:numPr>
                <w:ilvl w:val="0"/>
                <w:numId w:val="0"/>
              </w:numPr>
              <w:rPr>
                <w:b/>
                <w:bCs/>
                <w:lang w:val="en-GB"/>
              </w:rPr>
            </w:pPr>
            <w:r>
              <w:rPr>
                <w:b/>
                <w:bCs/>
                <w:lang w:val="en-GB"/>
              </w:rPr>
              <w:t>Month 1</w:t>
            </w:r>
          </w:p>
          <w:p w14:paraId="706FD879" w14:textId="77777777" w:rsidR="00DB2DA1" w:rsidRPr="00DB7A01" w:rsidRDefault="00DB2DA1" w:rsidP="00DA7BC7">
            <w:pPr>
              <w:pStyle w:val="H2Bullet0"/>
              <w:numPr>
                <w:ilvl w:val="0"/>
                <w:numId w:val="0"/>
              </w:numPr>
              <w:rPr>
                <w:b/>
                <w:bCs/>
                <w:lang w:val="en-GB"/>
              </w:rPr>
            </w:pPr>
            <w:r>
              <w:rPr>
                <w:b/>
                <w:bCs/>
                <w:lang w:val="en-GB"/>
              </w:rPr>
              <w:t xml:space="preserve"> </w:t>
            </w:r>
          </w:p>
          <w:p w14:paraId="25D06723" w14:textId="0DD0827C" w:rsidR="00DB2DA1" w:rsidRPr="006C6BC7" w:rsidRDefault="00DB2DA1" w:rsidP="00DA7BC7">
            <w:pPr>
              <w:pStyle w:val="H2Bullet0"/>
              <w:ind w:left="0"/>
              <w:rPr>
                <w:b/>
                <w:bCs/>
                <w:lang w:val="en-GB"/>
              </w:rPr>
            </w:pPr>
            <w:r>
              <w:rPr>
                <w:b/>
                <w:bCs/>
                <w:lang w:val="en-GB"/>
              </w:rPr>
              <w:t xml:space="preserve"> </w:t>
            </w:r>
          </w:p>
        </w:tc>
        <w:tc>
          <w:tcPr>
            <w:tcW w:w="0" w:type="auto"/>
          </w:tcPr>
          <w:p w14:paraId="47117BFC" w14:textId="31D0FBC3" w:rsidR="00DB2DA1" w:rsidRPr="00B91BAA" w:rsidRDefault="00DB2DA1" w:rsidP="00DA7BC7">
            <w:pPr>
              <w:pStyle w:val="H2Bullet0"/>
              <w:numPr>
                <w:ilvl w:val="0"/>
                <w:numId w:val="0"/>
              </w:numPr>
              <w:rPr>
                <w:lang w:val="en-GB"/>
              </w:rPr>
            </w:pPr>
            <w:r w:rsidRPr="00A91CDB">
              <w:t>Inception and alignment activities</w:t>
            </w:r>
          </w:p>
        </w:tc>
        <w:tc>
          <w:tcPr>
            <w:tcW w:w="0" w:type="auto"/>
          </w:tcPr>
          <w:p w14:paraId="04CE5D53" w14:textId="395746DA" w:rsidR="00DB2DA1" w:rsidRPr="00B91BAA" w:rsidRDefault="00DB2DA1" w:rsidP="00DA7BC7">
            <w:pPr>
              <w:pStyle w:val="H2Bullet0"/>
              <w:numPr>
                <w:ilvl w:val="0"/>
                <w:numId w:val="0"/>
              </w:numPr>
              <w:rPr>
                <w:lang w:val="en-GB"/>
              </w:rPr>
            </w:pPr>
            <w:r w:rsidRPr="00A91CDB">
              <w:t>Approved Inception Report</w:t>
            </w:r>
          </w:p>
        </w:tc>
        <w:tc>
          <w:tcPr>
            <w:tcW w:w="0" w:type="auto"/>
            <w:vMerge w:val="restart"/>
          </w:tcPr>
          <w:p w14:paraId="7BDEE668" w14:textId="6445D8F5" w:rsidR="00DB2DA1" w:rsidRPr="00FB78AB" w:rsidRDefault="00DB2DA1" w:rsidP="00DA7BC7">
            <w:pPr>
              <w:pStyle w:val="H2Bullet0"/>
              <w:numPr>
                <w:ilvl w:val="0"/>
                <w:numId w:val="0"/>
              </w:numPr>
              <w:rPr>
                <w:b/>
                <w:bCs/>
                <w:lang w:val="en-GB"/>
              </w:rPr>
            </w:pPr>
            <w:r w:rsidRPr="00FB78AB">
              <w:rPr>
                <w:b/>
                <w:bCs/>
              </w:rPr>
              <w:t>End of Month 1</w:t>
            </w:r>
          </w:p>
        </w:tc>
      </w:tr>
      <w:tr w:rsidR="00DB2DA1" w14:paraId="3F695E63" w14:textId="77777777" w:rsidTr="00DA7BC7">
        <w:tc>
          <w:tcPr>
            <w:tcW w:w="0" w:type="auto"/>
            <w:vMerge/>
          </w:tcPr>
          <w:p w14:paraId="1CD9DF70" w14:textId="4A20BC6E" w:rsidR="00DB2DA1" w:rsidRPr="00DB7A01" w:rsidRDefault="00DB2DA1" w:rsidP="00DA7BC7">
            <w:pPr>
              <w:pStyle w:val="H2Bullet0"/>
              <w:ind w:left="0"/>
              <w:rPr>
                <w:b/>
                <w:bCs/>
                <w:lang w:val="en-GB"/>
              </w:rPr>
            </w:pPr>
          </w:p>
        </w:tc>
        <w:tc>
          <w:tcPr>
            <w:tcW w:w="0" w:type="auto"/>
          </w:tcPr>
          <w:p w14:paraId="6D5D81C9" w14:textId="0649F1AE" w:rsidR="00DB2DA1" w:rsidRPr="00B91BAA" w:rsidRDefault="00DB2DA1" w:rsidP="00DA7BC7">
            <w:pPr>
              <w:pStyle w:val="H2Bullet0"/>
              <w:numPr>
                <w:ilvl w:val="0"/>
                <w:numId w:val="0"/>
              </w:numPr>
              <w:rPr>
                <w:lang w:val="en-GB"/>
              </w:rPr>
            </w:pPr>
            <w:r w:rsidRPr="00A91CDB">
              <w:t>KPI definition and monitoring framework design</w:t>
            </w:r>
          </w:p>
        </w:tc>
        <w:tc>
          <w:tcPr>
            <w:tcW w:w="0" w:type="auto"/>
          </w:tcPr>
          <w:p w14:paraId="3748DB67" w14:textId="6170F3B2" w:rsidR="00DB2DA1" w:rsidRPr="00B91BAA" w:rsidRDefault="00DB2DA1" w:rsidP="00DA7BC7">
            <w:pPr>
              <w:pStyle w:val="H2Bullet0"/>
              <w:numPr>
                <w:ilvl w:val="0"/>
                <w:numId w:val="0"/>
              </w:numPr>
              <w:rPr>
                <w:lang w:val="en-GB"/>
              </w:rPr>
            </w:pPr>
            <w:r w:rsidRPr="00A91CDB">
              <w:t>Draft KPI Matrix</w:t>
            </w:r>
          </w:p>
        </w:tc>
        <w:tc>
          <w:tcPr>
            <w:tcW w:w="0" w:type="auto"/>
            <w:vMerge/>
          </w:tcPr>
          <w:p w14:paraId="0115E11A" w14:textId="10B0A269" w:rsidR="00DB2DA1" w:rsidRPr="001D25F7" w:rsidRDefault="00DB2DA1" w:rsidP="00DA7BC7">
            <w:pPr>
              <w:pStyle w:val="H2Bullet0"/>
              <w:numPr>
                <w:ilvl w:val="0"/>
                <w:numId w:val="0"/>
              </w:numPr>
              <w:rPr>
                <w:lang w:val="en-GB"/>
              </w:rPr>
            </w:pPr>
          </w:p>
        </w:tc>
      </w:tr>
      <w:tr w:rsidR="00DB2DA1" w14:paraId="70D1B533" w14:textId="77777777" w:rsidTr="00DA7BC7">
        <w:tc>
          <w:tcPr>
            <w:tcW w:w="0" w:type="auto"/>
            <w:vMerge/>
          </w:tcPr>
          <w:p w14:paraId="4856E1CB" w14:textId="425AB048" w:rsidR="00DB2DA1" w:rsidRPr="00B91BAA" w:rsidRDefault="00DB2DA1" w:rsidP="00DA7BC7">
            <w:pPr>
              <w:pStyle w:val="H2Bullet0"/>
              <w:numPr>
                <w:ilvl w:val="0"/>
                <w:numId w:val="0"/>
              </w:numPr>
              <w:rPr>
                <w:b/>
                <w:bCs/>
                <w:lang w:val="en-GB"/>
              </w:rPr>
            </w:pPr>
          </w:p>
        </w:tc>
        <w:tc>
          <w:tcPr>
            <w:tcW w:w="0" w:type="auto"/>
          </w:tcPr>
          <w:p w14:paraId="36477C56" w14:textId="74358934" w:rsidR="00DB2DA1" w:rsidRPr="00B91BAA" w:rsidRDefault="00DB2DA1" w:rsidP="00DA7BC7">
            <w:pPr>
              <w:pStyle w:val="H2Bullet0"/>
              <w:numPr>
                <w:ilvl w:val="0"/>
                <w:numId w:val="0"/>
              </w:numPr>
              <w:rPr>
                <w:lang w:val="en-GB"/>
              </w:rPr>
            </w:pPr>
            <w:r w:rsidRPr="00A91CDB">
              <w:t>Preliminary data source mapping</w:t>
            </w:r>
            <w:r>
              <w:t xml:space="preserve"> and stakeholder identification</w:t>
            </w:r>
          </w:p>
        </w:tc>
        <w:tc>
          <w:tcPr>
            <w:tcW w:w="0" w:type="auto"/>
          </w:tcPr>
          <w:p w14:paraId="6F79C256" w14:textId="5F2CAC85" w:rsidR="00DB2DA1" w:rsidRPr="00B91BAA" w:rsidRDefault="00DB2DA1" w:rsidP="00DA7BC7">
            <w:pPr>
              <w:pStyle w:val="H2Bullet0"/>
              <w:numPr>
                <w:ilvl w:val="0"/>
                <w:numId w:val="0"/>
              </w:numPr>
              <w:rPr>
                <w:lang w:val="en-GB"/>
              </w:rPr>
            </w:pPr>
            <w:r w:rsidRPr="00A91CDB">
              <w:t>Draft Data Source Map</w:t>
            </w:r>
          </w:p>
        </w:tc>
        <w:tc>
          <w:tcPr>
            <w:tcW w:w="0" w:type="auto"/>
            <w:vMerge/>
          </w:tcPr>
          <w:p w14:paraId="2D2147F1" w14:textId="141B84CE" w:rsidR="00DB2DA1" w:rsidRPr="001D25F7" w:rsidRDefault="00DB2DA1" w:rsidP="00DA7BC7">
            <w:pPr>
              <w:pStyle w:val="H2Bullet0"/>
              <w:numPr>
                <w:ilvl w:val="0"/>
                <w:numId w:val="0"/>
              </w:numPr>
              <w:rPr>
                <w:lang w:val="en-GB"/>
              </w:rPr>
            </w:pPr>
          </w:p>
        </w:tc>
      </w:tr>
      <w:tr w:rsidR="00DB2DA1" w14:paraId="1E96BC33" w14:textId="77777777" w:rsidTr="00DA7BC7">
        <w:tc>
          <w:tcPr>
            <w:tcW w:w="0" w:type="auto"/>
            <w:vMerge/>
          </w:tcPr>
          <w:p w14:paraId="38215EC3" w14:textId="3CF42B19" w:rsidR="00DB2DA1" w:rsidRPr="00C93755" w:rsidRDefault="00DB2DA1" w:rsidP="00DA7BC7">
            <w:pPr>
              <w:pStyle w:val="H2Bullet0"/>
              <w:numPr>
                <w:ilvl w:val="0"/>
                <w:numId w:val="0"/>
              </w:numPr>
              <w:rPr>
                <w:b/>
                <w:bCs/>
                <w:lang w:val="en-GB"/>
              </w:rPr>
            </w:pPr>
          </w:p>
        </w:tc>
        <w:tc>
          <w:tcPr>
            <w:tcW w:w="0" w:type="auto"/>
          </w:tcPr>
          <w:p w14:paraId="733D34C8" w14:textId="3ED86529" w:rsidR="00DB2DA1" w:rsidRPr="007F5320" w:rsidRDefault="00DB2DA1" w:rsidP="00DA7BC7">
            <w:pPr>
              <w:pStyle w:val="H2Bullet0"/>
              <w:numPr>
                <w:ilvl w:val="0"/>
                <w:numId w:val="0"/>
              </w:numPr>
              <w:rPr>
                <w:lang w:val="en-GB"/>
              </w:rPr>
            </w:pPr>
            <w:r w:rsidRPr="00A91CDB">
              <w:t xml:space="preserve">Stakeholder </w:t>
            </w:r>
            <w:r>
              <w:t>engagement initiation and baseline data collection (public and programme data)</w:t>
            </w:r>
          </w:p>
        </w:tc>
        <w:tc>
          <w:tcPr>
            <w:tcW w:w="0" w:type="auto"/>
          </w:tcPr>
          <w:p w14:paraId="0E1EC39C" w14:textId="19A92BA0" w:rsidR="00DB2DA1" w:rsidRPr="00336097" w:rsidRDefault="00DB2DA1" w:rsidP="00DA7BC7">
            <w:pPr>
              <w:pStyle w:val="H2Bullet0"/>
              <w:numPr>
                <w:ilvl w:val="0"/>
                <w:numId w:val="0"/>
              </w:numPr>
              <w:rPr>
                <w:lang w:val="en-GB"/>
              </w:rPr>
            </w:pPr>
            <w:r>
              <w:t>Initial baselube datasets and engagement structure</w:t>
            </w:r>
          </w:p>
        </w:tc>
        <w:tc>
          <w:tcPr>
            <w:tcW w:w="0" w:type="auto"/>
            <w:vMerge/>
          </w:tcPr>
          <w:p w14:paraId="4D430153" w14:textId="14442714" w:rsidR="00DB2DA1" w:rsidRPr="001D25F7" w:rsidRDefault="00DB2DA1" w:rsidP="00DA7BC7">
            <w:pPr>
              <w:pStyle w:val="H2Bullet0"/>
              <w:numPr>
                <w:ilvl w:val="0"/>
                <w:numId w:val="0"/>
              </w:numPr>
              <w:rPr>
                <w:lang w:val="en-GB"/>
              </w:rPr>
            </w:pPr>
          </w:p>
        </w:tc>
      </w:tr>
      <w:tr w:rsidR="00DB2DA1" w14:paraId="21E88ADC" w14:textId="77777777" w:rsidTr="00DA7BC7">
        <w:tc>
          <w:tcPr>
            <w:tcW w:w="0" w:type="auto"/>
            <w:vMerge/>
          </w:tcPr>
          <w:p w14:paraId="5004C6B1" w14:textId="77777777" w:rsidR="00DB2DA1" w:rsidRPr="00C93755" w:rsidRDefault="00DB2DA1" w:rsidP="00DA7BC7">
            <w:pPr>
              <w:pStyle w:val="H2Bullet0"/>
              <w:numPr>
                <w:ilvl w:val="0"/>
                <w:numId w:val="0"/>
              </w:numPr>
              <w:rPr>
                <w:b/>
                <w:bCs/>
              </w:rPr>
            </w:pPr>
          </w:p>
        </w:tc>
        <w:tc>
          <w:tcPr>
            <w:tcW w:w="0" w:type="auto"/>
          </w:tcPr>
          <w:p w14:paraId="62475D20" w14:textId="3E594980" w:rsidR="00DB2DA1" w:rsidRPr="00A91CDB" w:rsidRDefault="00DB2DA1" w:rsidP="00DA7BC7">
            <w:pPr>
              <w:pStyle w:val="H2Bullet0"/>
              <w:numPr>
                <w:ilvl w:val="0"/>
                <w:numId w:val="0"/>
              </w:numPr>
            </w:pPr>
            <w:r>
              <w:t>Initial data requests to institutions and identification of reporting formats</w:t>
            </w:r>
          </w:p>
        </w:tc>
        <w:tc>
          <w:tcPr>
            <w:tcW w:w="0" w:type="auto"/>
          </w:tcPr>
          <w:p w14:paraId="66CC72E2" w14:textId="771856E7" w:rsidR="00DB2DA1" w:rsidRDefault="00DB2DA1" w:rsidP="00DA7BC7">
            <w:pPr>
              <w:pStyle w:val="H2Bullet0"/>
              <w:numPr>
                <w:ilvl w:val="0"/>
                <w:numId w:val="0"/>
              </w:numPr>
            </w:pPr>
            <w:r>
              <w:t>Data request templates and submission structure</w:t>
            </w:r>
          </w:p>
        </w:tc>
        <w:tc>
          <w:tcPr>
            <w:tcW w:w="0" w:type="auto"/>
            <w:vMerge/>
          </w:tcPr>
          <w:p w14:paraId="4C603546" w14:textId="77777777" w:rsidR="00DB2DA1" w:rsidRPr="001D25F7" w:rsidRDefault="00DB2DA1" w:rsidP="00DA7BC7">
            <w:pPr>
              <w:pStyle w:val="H2Bullet0"/>
              <w:numPr>
                <w:ilvl w:val="0"/>
                <w:numId w:val="0"/>
              </w:numPr>
            </w:pPr>
          </w:p>
        </w:tc>
      </w:tr>
      <w:tr w:rsidR="00506D4C" w14:paraId="26E7B289" w14:textId="77777777" w:rsidTr="00DA7BC7">
        <w:tc>
          <w:tcPr>
            <w:tcW w:w="0" w:type="auto"/>
            <w:vMerge w:val="restart"/>
          </w:tcPr>
          <w:p w14:paraId="4C2446A4" w14:textId="66608C2D" w:rsidR="00506D4C" w:rsidRPr="00C93755" w:rsidRDefault="00506D4C" w:rsidP="00DA7BC7">
            <w:pPr>
              <w:pStyle w:val="H2Bullet0"/>
              <w:numPr>
                <w:ilvl w:val="0"/>
                <w:numId w:val="0"/>
              </w:numPr>
              <w:rPr>
                <w:b/>
                <w:bCs/>
              </w:rPr>
            </w:pPr>
            <w:r>
              <w:rPr>
                <w:b/>
                <w:bCs/>
              </w:rPr>
              <w:t>Month 2</w:t>
            </w:r>
          </w:p>
        </w:tc>
        <w:tc>
          <w:tcPr>
            <w:tcW w:w="0" w:type="auto"/>
          </w:tcPr>
          <w:p w14:paraId="26B6D1C1" w14:textId="7D066D53" w:rsidR="00506D4C" w:rsidRPr="00A91CDB" w:rsidRDefault="00506D4C" w:rsidP="00DA7BC7">
            <w:pPr>
              <w:pStyle w:val="H2Bullet0"/>
              <w:numPr>
                <w:ilvl w:val="0"/>
                <w:numId w:val="0"/>
              </w:numPr>
            </w:pPr>
            <w:r>
              <w:t>Continued data collection from insitutional and public sources</w:t>
            </w:r>
          </w:p>
        </w:tc>
        <w:tc>
          <w:tcPr>
            <w:tcW w:w="0" w:type="auto"/>
          </w:tcPr>
          <w:p w14:paraId="4E999A3A" w14:textId="4E3CDA8E" w:rsidR="00506D4C" w:rsidRPr="00A91CDB" w:rsidRDefault="00506D4C" w:rsidP="00DA7BC7">
            <w:pPr>
              <w:pStyle w:val="H2Bullet0"/>
              <w:numPr>
                <w:ilvl w:val="0"/>
                <w:numId w:val="0"/>
              </w:numPr>
            </w:pPr>
            <w:r>
              <w:t>Consolidated dataset inputs</w:t>
            </w:r>
          </w:p>
        </w:tc>
        <w:tc>
          <w:tcPr>
            <w:tcW w:w="0" w:type="auto"/>
            <w:vMerge w:val="restart"/>
          </w:tcPr>
          <w:p w14:paraId="75BE76FD" w14:textId="0B326191" w:rsidR="00506D4C" w:rsidRPr="00FB78AB" w:rsidRDefault="00506D4C" w:rsidP="00DA7BC7">
            <w:pPr>
              <w:pStyle w:val="H2Bullet0"/>
              <w:numPr>
                <w:ilvl w:val="0"/>
                <w:numId w:val="0"/>
              </w:numPr>
              <w:rPr>
                <w:b/>
                <w:bCs/>
              </w:rPr>
            </w:pPr>
            <w:r w:rsidRPr="00FB78AB">
              <w:rPr>
                <w:b/>
                <w:bCs/>
              </w:rPr>
              <w:t>End of Month 2</w:t>
            </w:r>
          </w:p>
        </w:tc>
      </w:tr>
      <w:tr w:rsidR="00506D4C" w14:paraId="347E6FEB" w14:textId="77777777" w:rsidTr="00DA7BC7">
        <w:tc>
          <w:tcPr>
            <w:tcW w:w="0" w:type="auto"/>
            <w:vMerge/>
          </w:tcPr>
          <w:p w14:paraId="0D31162B" w14:textId="77777777" w:rsidR="00506D4C" w:rsidRPr="00C93755" w:rsidRDefault="00506D4C" w:rsidP="00DA7BC7">
            <w:pPr>
              <w:pStyle w:val="H2Bullet0"/>
              <w:numPr>
                <w:ilvl w:val="0"/>
                <w:numId w:val="0"/>
              </w:numPr>
              <w:rPr>
                <w:b/>
                <w:bCs/>
              </w:rPr>
            </w:pPr>
          </w:p>
        </w:tc>
        <w:tc>
          <w:tcPr>
            <w:tcW w:w="0" w:type="auto"/>
          </w:tcPr>
          <w:p w14:paraId="2F2C3994" w14:textId="13A1A6A6" w:rsidR="00506D4C" w:rsidRPr="00A91CDB" w:rsidRDefault="00506D4C" w:rsidP="00DA7BC7">
            <w:pPr>
              <w:pStyle w:val="H2Bullet0"/>
              <w:numPr>
                <w:ilvl w:val="0"/>
                <w:numId w:val="0"/>
              </w:numPr>
            </w:pPr>
            <w:r w:rsidRPr="00DA7BC7">
              <w:rPr>
                <w:lang w:val="en-GB"/>
              </w:rPr>
              <w:t xml:space="preserve">Data source validation and </w:t>
            </w:r>
            <w:r>
              <w:rPr>
                <w:lang w:val="en-GB"/>
              </w:rPr>
              <w:t>refinement of data source mapping</w:t>
            </w:r>
          </w:p>
        </w:tc>
        <w:tc>
          <w:tcPr>
            <w:tcW w:w="0" w:type="auto"/>
          </w:tcPr>
          <w:p w14:paraId="4EA9A0F5" w14:textId="3F800775" w:rsidR="00506D4C" w:rsidRPr="00A91CDB" w:rsidRDefault="00506D4C" w:rsidP="00DA7BC7">
            <w:pPr>
              <w:pStyle w:val="H2Bullet0"/>
              <w:numPr>
                <w:ilvl w:val="0"/>
                <w:numId w:val="0"/>
              </w:numPr>
            </w:pPr>
            <w:r>
              <w:rPr>
                <w:lang w:val="en-GB"/>
              </w:rPr>
              <w:t>Validated data source framework</w:t>
            </w:r>
          </w:p>
        </w:tc>
        <w:tc>
          <w:tcPr>
            <w:tcW w:w="0" w:type="auto"/>
            <w:vMerge/>
          </w:tcPr>
          <w:p w14:paraId="5C90A7B3" w14:textId="77777777" w:rsidR="00506D4C" w:rsidRPr="001D25F7" w:rsidRDefault="00506D4C" w:rsidP="00DA7BC7">
            <w:pPr>
              <w:pStyle w:val="H2Bullet0"/>
              <w:numPr>
                <w:ilvl w:val="0"/>
                <w:numId w:val="0"/>
              </w:numPr>
            </w:pPr>
          </w:p>
        </w:tc>
      </w:tr>
      <w:tr w:rsidR="00506D4C" w14:paraId="12769DCA" w14:textId="77777777" w:rsidTr="00DA7BC7">
        <w:tc>
          <w:tcPr>
            <w:tcW w:w="0" w:type="auto"/>
            <w:vMerge/>
          </w:tcPr>
          <w:p w14:paraId="7A87EE25" w14:textId="77777777" w:rsidR="00506D4C" w:rsidRPr="00C93755" w:rsidRDefault="00506D4C" w:rsidP="00DA7BC7">
            <w:pPr>
              <w:pStyle w:val="H2Bullet0"/>
              <w:numPr>
                <w:ilvl w:val="0"/>
                <w:numId w:val="0"/>
              </w:numPr>
              <w:rPr>
                <w:b/>
                <w:bCs/>
              </w:rPr>
            </w:pPr>
          </w:p>
        </w:tc>
        <w:tc>
          <w:tcPr>
            <w:tcW w:w="0" w:type="auto"/>
          </w:tcPr>
          <w:p w14:paraId="4BC7F8CD" w14:textId="191FC4FA" w:rsidR="00506D4C" w:rsidRPr="00A91CDB" w:rsidRDefault="00506D4C" w:rsidP="00DA7BC7">
            <w:pPr>
              <w:pStyle w:val="H2Bullet0"/>
              <w:numPr>
                <w:ilvl w:val="0"/>
                <w:numId w:val="0"/>
              </w:numPr>
            </w:pPr>
            <w:r>
              <w:rPr>
                <w:lang w:val="en-GB"/>
              </w:rPr>
              <w:t>Finalization of data requirements and structuring</w:t>
            </w:r>
          </w:p>
        </w:tc>
        <w:tc>
          <w:tcPr>
            <w:tcW w:w="0" w:type="auto"/>
          </w:tcPr>
          <w:p w14:paraId="51A0B7F3" w14:textId="4AB88FBE" w:rsidR="00506D4C" w:rsidRPr="00A91CDB" w:rsidRDefault="00506D4C" w:rsidP="00DA7BC7">
            <w:pPr>
              <w:pStyle w:val="H2Bullet0"/>
              <w:numPr>
                <w:ilvl w:val="0"/>
                <w:numId w:val="0"/>
              </w:numPr>
            </w:pPr>
            <w:r>
              <w:rPr>
                <w:lang w:val="en-GB"/>
              </w:rPr>
              <w:t>Data Requirement Report</w:t>
            </w:r>
          </w:p>
        </w:tc>
        <w:tc>
          <w:tcPr>
            <w:tcW w:w="0" w:type="auto"/>
            <w:vMerge/>
          </w:tcPr>
          <w:p w14:paraId="1DBDB933" w14:textId="77777777" w:rsidR="00506D4C" w:rsidRPr="001D25F7" w:rsidRDefault="00506D4C" w:rsidP="00DA7BC7">
            <w:pPr>
              <w:pStyle w:val="H2Bullet0"/>
              <w:numPr>
                <w:ilvl w:val="0"/>
                <w:numId w:val="0"/>
              </w:numPr>
            </w:pPr>
          </w:p>
        </w:tc>
      </w:tr>
      <w:tr w:rsidR="00506D4C" w14:paraId="7D38C103" w14:textId="77777777" w:rsidTr="00DA7BC7">
        <w:tc>
          <w:tcPr>
            <w:tcW w:w="0" w:type="auto"/>
            <w:vMerge/>
          </w:tcPr>
          <w:p w14:paraId="64182FDD" w14:textId="77777777" w:rsidR="00506D4C" w:rsidRPr="00C93755" w:rsidRDefault="00506D4C" w:rsidP="00DA7BC7">
            <w:pPr>
              <w:pStyle w:val="H2Bullet0"/>
              <w:numPr>
                <w:ilvl w:val="0"/>
                <w:numId w:val="0"/>
              </w:numPr>
              <w:rPr>
                <w:b/>
                <w:bCs/>
              </w:rPr>
            </w:pPr>
          </w:p>
        </w:tc>
        <w:tc>
          <w:tcPr>
            <w:tcW w:w="0" w:type="auto"/>
          </w:tcPr>
          <w:p w14:paraId="0EF11039" w14:textId="31F6688D" w:rsidR="00506D4C" w:rsidRPr="00A91CDB" w:rsidRDefault="00506D4C" w:rsidP="00DA7BC7">
            <w:pPr>
              <w:pStyle w:val="H2Bullet0"/>
              <w:numPr>
                <w:ilvl w:val="0"/>
                <w:numId w:val="0"/>
              </w:numPr>
            </w:pPr>
            <w:r>
              <w:rPr>
                <w:lang w:val="en-GB"/>
              </w:rPr>
              <w:t>Development of data source and collection strategy</w:t>
            </w:r>
          </w:p>
        </w:tc>
        <w:tc>
          <w:tcPr>
            <w:tcW w:w="0" w:type="auto"/>
          </w:tcPr>
          <w:p w14:paraId="51081381" w14:textId="18059EC0" w:rsidR="00506D4C" w:rsidRPr="00A91CDB" w:rsidRDefault="0037092A" w:rsidP="00DA7BC7">
            <w:pPr>
              <w:pStyle w:val="H2Bullet0"/>
              <w:numPr>
                <w:ilvl w:val="0"/>
                <w:numId w:val="0"/>
              </w:numPr>
            </w:pPr>
            <w:r w:rsidRPr="0037092A">
              <w:rPr>
                <w:lang w:val="en-GB"/>
              </w:rPr>
              <w:t>Development of data governance structure and validation protocols</w:t>
            </w:r>
          </w:p>
        </w:tc>
        <w:tc>
          <w:tcPr>
            <w:tcW w:w="0" w:type="auto"/>
            <w:vMerge/>
          </w:tcPr>
          <w:p w14:paraId="3DE10990" w14:textId="77777777" w:rsidR="00506D4C" w:rsidRPr="001D25F7" w:rsidRDefault="00506D4C" w:rsidP="00DA7BC7">
            <w:pPr>
              <w:pStyle w:val="H2Bullet0"/>
              <w:numPr>
                <w:ilvl w:val="0"/>
                <w:numId w:val="0"/>
              </w:numPr>
            </w:pPr>
          </w:p>
        </w:tc>
      </w:tr>
      <w:tr w:rsidR="00506D4C" w14:paraId="4E077BB7" w14:textId="77777777" w:rsidTr="00DA7BC7">
        <w:tc>
          <w:tcPr>
            <w:tcW w:w="0" w:type="auto"/>
            <w:vMerge/>
          </w:tcPr>
          <w:p w14:paraId="5E4A3037" w14:textId="77777777" w:rsidR="00506D4C" w:rsidRPr="00C93755" w:rsidRDefault="00506D4C" w:rsidP="00DA7BC7">
            <w:pPr>
              <w:pStyle w:val="H2Bullet0"/>
              <w:numPr>
                <w:ilvl w:val="0"/>
                <w:numId w:val="0"/>
              </w:numPr>
              <w:rPr>
                <w:b/>
                <w:bCs/>
              </w:rPr>
            </w:pPr>
          </w:p>
        </w:tc>
        <w:tc>
          <w:tcPr>
            <w:tcW w:w="0" w:type="auto"/>
          </w:tcPr>
          <w:p w14:paraId="5F28A8B6" w14:textId="6585EDA2" w:rsidR="00506D4C" w:rsidRDefault="00506D4C" w:rsidP="00DA7BC7">
            <w:pPr>
              <w:pStyle w:val="H2Bullet0"/>
              <w:numPr>
                <w:ilvl w:val="0"/>
                <w:numId w:val="0"/>
              </w:numPr>
            </w:pPr>
            <w:r>
              <w:t>Project mapping and preliminary assessment</w:t>
            </w:r>
          </w:p>
        </w:tc>
        <w:tc>
          <w:tcPr>
            <w:tcW w:w="0" w:type="auto"/>
          </w:tcPr>
          <w:p w14:paraId="35DD3C30" w14:textId="03CECC70" w:rsidR="00506D4C" w:rsidRDefault="00FB78AB" w:rsidP="00DA7BC7">
            <w:pPr>
              <w:pStyle w:val="H2Bullet0"/>
              <w:numPr>
                <w:ilvl w:val="0"/>
                <w:numId w:val="0"/>
              </w:numPr>
            </w:pPr>
            <w:r w:rsidRPr="00FB78AB">
              <w:rPr>
                <w:lang w:val="en-GB"/>
              </w:rPr>
              <w:t>Project register structuring and bottleneck analysis</w:t>
            </w:r>
          </w:p>
        </w:tc>
        <w:tc>
          <w:tcPr>
            <w:tcW w:w="0" w:type="auto"/>
            <w:vMerge/>
          </w:tcPr>
          <w:p w14:paraId="035AD0C3" w14:textId="77777777" w:rsidR="00506D4C" w:rsidRPr="001D25F7" w:rsidRDefault="00506D4C" w:rsidP="00DA7BC7">
            <w:pPr>
              <w:pStyle w:val="H2Bullet0"/>
              <w:numPr>
                <w:ilvl w:val="0"/>
                <w:numId w:val="0"/>
              </w:numPr>
            </w:pPr>
          </w:p>
        </w:tc>
      </w:tr>
      <w:tr w:rsidR="00BC2ADF" w14:paraId="79FE6C8B" w14:textId="77777777" w:rsidTr="00DA7BC7">
        <w:tc>
          <w:tcPr>
            <w:tcW w:w="0" w:type="auto"/>
            <w:vMerge w:val="restart"/>
          </w:tcPr>
          <w:p w14:paraId="554CD9A5" w14:textId="2692E212" w:rsidR="00BC2ADF" w:rsidRPr="00C93755" w:rsidRDefault="00BC2ADF" w:rsidP="00DA7BC7">
            <w:pPr>
              <w:pStyle w:val="H2Bullet0"/>
              <w:numPr>
                <w:ilvl w:val="0"/>
                <w:numId w:val="0"/>
              </w:numPr>
              <w:rPr>
                <w:b/>
                <w:bCs/>
              </w:rPr>
            </w:pPr>
            <w:r>
              <w:rPr>
                <w:b/>
                <w:bCs/>
              </w:rPr>
              <w:t>Month 3</w:t>
            </w:r>
          </w:p>
        </w:tc>
        <w:tc>
          <w:tcPr>
            <w:tcW w:w="0" w:type="auto"/>
          </w:tcPr>
          <w:p w14:paraId="00465F6B" w14:textId="01FD7152" w:rsidR="00BC2ADF" w:rsidRPr="00372B29" w:rsidRDefault="00BC2ADF" w:rsidP="00DA7BC7">
            <w:pPr>
              <w:pStyle w:val="H2Bullet0"/>
              <w:numPr>
                <w:ilvl w:val="0"/>
                <w:numId w:val="0"/>
              </w:numPr>
            </w:pPr>
            <w:r w:rsidRPr="00AF3694">
              <w:rPr>
                <w:lang w:val="en-GB"/>
              </w:rPr>
              <w:t>Dashboard specification finalization</w:t>
            </w:r>
          </w:p>
        </w:tc>
        <w:tc>
          <w:tcPr>
            <w:tcW w:w="0" w:type="auto"/>
          </w:tcPr>
          <w:p w14:paraId="26C7427F" w14:textId="4B7A737B" w:rsidR="00BC2ADF" w:rsidRPr="00AF3694" w:rsidRDefault="00BC2ADF" w:rsidP="00DA7BC7">
            <w:pPr>
              <w:pStyle w:val="H2Bullet0"/>
              <w:numPr>
                <w:ilvl w:val="0"/>
                <w:numId w:val="0"/>
              </w:numPr>
            </w:pPr>
            <w:r w:rsidRPr="00AF3694">
              <w:t>Dashboard Specification Document</w:t>
            </w:r>
          </w:p>
        </w:tc>
        <w:tc>
          <w:tcPr>
            <w:tcW w:w="0" w:type="auto"/>
            <w:vMerge w:val="restart"/>
          </w:tcPr>
          <w:p w14:paraId="454EC593" w14:textId="5C36A812" w:rsidR="00BC2ADF" w:rsidRPr="00FB78AB" w:rsidRDefault="00BC2ADF" w:rsidP="00DA7BC7">
            <w:pPr>
              <w:pStyle w:val="H2Bullet0"/>
              <w:numPr>
                <w:ilvl w:val="0"/>
                <w:numId w:val="0"/>
              </w:numPr>
              <w:rPr>
                <w:b/>
                <w:bCs/>
              </w:rPr>
            </w:pPr>
            <w:r w:rsidRPr="00FB78AB">
              <w:rPr>
                <w:b/>
                <w:bCs/>
                <w:lang w:val="en-GB"/>
              </w:rPr>
              <w:t>Mid-Month 3</w:t>
            </w:r>
          </w:p>
        </w:tc>
      </w:tr>
      <w:tr w:rsidR="00BC2ADF" w14:paraId="293992AA" w14:textId="77777777" w:rsidTr="00DA7BC7">
        <w:tc>
          <w:tcPr>
            <w:tcW w:w="0" w:type="auto"/>
            <w:vMerge/>
          </w:tcPr>
          <w:p w14:paraId="163203EC" w14:textId="77777777" w:rsidR="00BC2ADF" w:rsidRPr="00C93755" w:rsidRDefault="00BC2ADF" w:rsidP="00DA7BC7">
            <w:pPr>
              <w:pStyle w:val="H2Bullet0"/>
              <w:numPr>
                <w:ilvl w:val="0"/>
                <w:numId w:val="0"/>
              </w:numPr>
              <w:rPr>
                <w:b/>
                <w:bCs/>
              </w:rPr>
            </w:pPr>
          </w:p>
        </w:tc>
        <w:tc>
          <w:tcPr>
            <w:tcW w:w="0" w:type="auto"/>
          </w:tcPr>
          <w:p w14:paraId="17CD334D" w14:textId="634D7FCA" w:rsidR="00BC2ADF" w:rsidRPr="00372B29" w:rsidRDefault="00BC2ADF" w:rsidP="00DA7BC7">
            <w:pPr>
              <w:pStyle w:val="H2Bullet0"/>
              <w:numPr>
                <w:ilvl w:val="0"/>
                <w:numId w:val="0"/>
              </w:numPr>
            </w:pPr>
            <w:r w:rsidRPr="00AF3694">
              <w:rPr>
                <w:lang w:val="en-GB"/>
              </w:rPr>
              <w:t>GEAPP configuration of prototype dashboard</w:t>
            </w:r>
          </w:p>
        </w:tc>
        <w:tc>
          <w:tcPr>
            <w:tcW w:w="0" w:type="auto"/>
          </w:tcPr>
          <w:p w14:paraId="3635DE26" w14:textId="31BF79A1" w:rsidR="00BC2ADF" w:rsidRPr="00AF3694" w:rsidRDefault="00BC2ADF" w:rsidP="00DA7BC7">
            <w:pPr>
              <w:pStyle w:val="H2Bullet0"/>
              <w:numPr>
                <w:ilvl w:val="0"/>
                <w:numId w:val="0"/>
              </w:numPr>
            </w:pPr>
            <w:r w:rsidRPr="00AF3694">
              <w:rPr>
                <w:lang w:val="en-GB"/>
              </w:rPr>
              <w:t>Prototype Dashboard</w:t>
            </w:r>
          </w:p>
        </w:tc>
        <w:tc>
          <w:tcPr>
            <w:tcW w:w="0" w:type="auto"/>
            <w:vMerge/>
          </w:tcPr>
          <w:p w14:paraId="4B983517" w14:textId="77777777" w:rsidR="00BC2ADF" w:rsidRPr="001D25F7" w:rsidRDefault="00BC2ADF" w:rsidP="00DA7BC7">
            <w:pPr>
              <w:pStyle w:val="H2Bullet0"/>
              <w:numPr>
                <w:ilvl w:val="0"/>
                <w:numId w:val="0"/>
              </w:numPr>
            </w:pPr>
          </w:p>
        </w:tc>
      </w:tr>
      <w:tr w:rsidR="00BC2ADF" w14:paraId="4A8A67A9" w14:textId="77777777" w:rsidTr="00DA7BC7">
        <w:tc>
          <w:tcPr>
            <w:tcW w:w="0" w:type="auto"/>
            <w:vMerge/>
          </w:tcPr>
          <w:p w14:paraId="5166D9AD" w14:textId="77777777" w:rsidR="00BC2ADF" w:rsidRPr="00C93755" w:rsidRDefault="00BC2ADF" w:rsidP="00DA7BC7">
            <w:pPr>
              <w:pStyle w:val="H2Bullet0"/>
              <w:numPr>
                <w:ilvl w:val="0"/>
                <w:numId w:val="0"/>
              </w:numPr>
              <w:rPr>
                <w:b/>
                <w:bCs/>
              </w:rPr>
            </w:pPr>
          </w:p>
        </w:tc>
        <w:tc>
          <w:tcPr>
            <w:tcW w:w="0" w:type="auto"/>
          </w:tcPr>
          <w:p w14:paraId="71B9AE0B" w14:textId="3826983C" w:rsidR="00BC2ADF" w:rsidRPr="00AF3694" w:rsidRDefault="00BC2ADF" w:rsidP="00DA7BC7">
            <w:pPr>
              <w:pStyle w:val="H2Bullet0"/>
              <w:numPr>
                <w:ilvl w:val="0"/>
                <w:numId w:val="0"/>
              </w:numPr>
            </w:pPr>
            <w:r>
              <w:t>Provision of structured data inputs and validation support</w:t>
            </w:r>
          </w:p>
        </w:tc>
        <w:tc>
          <w:tcPr>
            <w:tcW w:w="0" w:type="auto"/>
          </w:tcPr>
          <w:p w14:paraId="7B56C0EC" w14:textId="4720DD8A" w:rsidR="00BC2ADF" w:rsidRPr="00AF3694" w:rsidRDefault="00BC2ADF" w:rsidP="00DA7BC7">
            <w:pPr>
              <w:pStyle w:val="H2Bullet0"/>
              <w:numPr>
                <w:ilvl w:val="0"/>
                <w:numId w:val="0"/>
              </w:numPr>
            </w:pPr>
            <w:r>
              <w:t>Structured data inputs</w:t>
            </w:r>
          </w:p>
        </w:tc>
        <w:tc>
          <w:tcPr>
            <w:tcW w:w="0" w:type="auto"/>
            <w:vMerge/>
          </w:tcPr>
          <w:p w14:paraId="4A341159" w14:textId="77777777" w:rsidR="00BC2ADF" w:rsidRPr="001D25F7" w:rsidRDefault="00BC2ADF" w:rsidP="00DA7BC7">
            <w:pPr>
              <w:pStyle w:val="H2Bullet0"/>
              <w:numPr>
                <w:ilvl w:val="0"/>
                <w:numId w:val="0"/>
              </w:numPr>
            </w:pPr>
          </w:p>
        </w:tc>
      </w:tr>
      <w:tr w:rsidR="00D6499E" w14:paraId="15C787B4" w14:textId="77777777" w:rsidTr="00DA7BC7">
        <w:tc>
          <w:tcPr>
            <w:tcW w:w="0" w:type="auto"/>
            <w:vMerge/>
          </w:tcPr>
          <w:p w14:paraId="1A7C5856" w14:textId="77777777" w:rsidR="00AF3694" w:rsidRPr="00C93755" w:rsidRDefault="00AF3694" w:rsidP="00DA7BC7">
            <w:pPr>
              <w:pStyle w:val="H2Bullet0"/>
              <w:numPr>
                <w:ilvl w:val="0"/>
                <w:numId w:val="0"/>
              </w:numPr>
              <w:rPr>
                <w:b/>
                <w:bCs/>
              </w:rPr>
            </w:pPr>
          </w:p>
        </w:tc>
        <w:tc>
          <w:tcPr>
            <w:tcW w:w="0" w:type="auto"/>
          </w:tcPr>
          <w:p w14:paraId="2F55A74C" w14:textId="05634664" w:rsidR="00AF3694" w:rsidRPr="00372B29" w:rsidRDefault="00AF3694" w:rsidP="00DA7BC7">
            <w:pPr>
              <w:pStyle w:val="H2Bullet0"/>
              <w:numPr>
                <w:ilvl w:val="0"/>
                <w:numId w:val="0"/>
              </w:numPr>
            </w:pPr>
            <w:r w:rsidRPr="00AF3694">
              <w:rPr>
                <w:lang w:val="en-GB"/>
              </w:rPr>
              <w:t>Dashboard validation and refinement</w:t>
            </w:r>
          </w:p>
        </w:tc>
        <w:tc>
          <w:tcPr>
            <w:tcW w:w="0" w:type="auto"/>
          </w:tcPr>
          <w:p w14:paraId="03FFD01A" w14:textId="7FAF4767" w:rsidR="00AF3694" w:rsidRPr="00AF3694" w:rsidRDefault="00AF3694" w:rsidP="00DA7BC7">
            <w:pPr>
              <w:pStyle w:val="H2Bullet0"/>
              <w:numPr>
                <w:ilvl w:val="0"/>
                <w:numId w:val="0"/>
              </w:numPr>
            </w:pPr>
            <w:r w:rsidRPr="00AF3694">
              <w:rPr>
                <w:lang w:val="en-GB"/>
              </w:rPr>
              <w:t>Validated Dashboard System</w:t>
            </w:r>
          </w:p>
        </w:tc>
        <w:tc>
          <w:tcPr>
            <w:tcW w:w="0" w:type="auto"/>
            <w:vMerge w:val="restart"/>
          </w:tcPr>
          <w:p w14:paraId="07DF1F7C" w14:textId="163181CE" w:rsidR="00AF3694" w:rsidRPr="00FB78AB" w:rsidRDefault="00AF3694" w:rsidP="00DA7BC7">
            <w:pPr>
              <w:pStyle w:val="H2Bullet0"/>
              <w:numPr>
                <w:ilvl w:val="0"/>
                <w:numId w:val="0"/>
              </w:numPr>
              <w:rPr>
                <w:b/>
                <w:bCs/>
              </w:rPr>
            </w:pPr>
            <w:r w:rsidRPr="00FB78AB">
              <w:rPr>
                <w:b/>
                <w:bCs/>
                <w:lang w:val="en-GB"/>
              </w:rPr>
              <w:t>End of Month 3</w:t>
            </w:r>
          </w:p>
        </w:tc>
      </w:tr>
      <w:tr w:rsidR="00D6499E" w14:paraId="1825E77D" w14:textId="77777777" w:rsidTr="00DA7BC7">
        <w:tc>
          <w:tcPr>
            <w:tcW w:w="0" w:type="auto"/>
            <w:vMerge/>
          </w:tcPr>
          <w:p w14:paraId="00433F4D" w14:textId="77777777" w:rsidR="00AF3694" w:rsidRPr="00C93755" w:rsidRDefault="00AF3694" w:rsidP="00DA7BC7">
            <w:pPr>
              <w:pStyle w:val="H2Bullet0"/>
              <w:numPr>
                <w:ilvl w:val="0"/>
                <w:numId w:val="0"/>
              </w:numPr>
              <w:rPr>
                <w:b/>
                <w:bCs/>
              </w:rPr>
            </w:pPr>
          </w:p>
        </w:tc>
        <w:tc>
          <w:tcPr>
            <w:tcW w:w="0" w:type="auto"/>
          </w:tcPr>
          <w:p w14:paraId="2EE00CAB" w14:textId="36A2DAA1" w:rsidR="00AF3694" w:rsidRPr="00372B29" w:rsidRDefault="00AF3694" w:rsidP="00DA7BC7">
            <w:pPr>
              <w:pStyle w:val="H2Bullet0"/>
              <w:numPr>
                <w:ilvl w:val="0"/>
                <w:numId w:val="0"/>
              </w:numPr>
            </w:pPr>
            <w:r w:rsidRPr="00AF3694">
              <w:rPr>
                <w:lang w:val="en-GB"/>
              </w:rPr>
              <w:t>Training and documentation validation</w:t>
            </w:r>
          </w:p>
        </w:tc>
        <w:tc>
          <w:tcPr>
            <w:tcW w:w="0" w:type="auto"/>
          </w:tcPr>
          <w:p w14:paraId="6452CF97" w14:textId="1D0D2DEB" w:rsidR="00AF3694" w:rsidRPr="00AF3694" w:rsidRDefault="00AF3694" w:rsidP="00DA7BC7">
            <w:pPr>
              <w:pStyle w:val="H2Bullet0"/>
              <w:numPr>
                <w:ilvl w:val="0"/>
                <w:numId w:val="0"/>
              </w:numPr>
            </w:pPr>
            <w:r w:rsidRPr="00AF3694">
              <w:rPr>
                <w:lang w:val="en-GB"/>
              </w:rPr>
              <w:t>Training and Documentation Package</w:t>
            </w:r>
          </w:p>
        </w:tc>
        <w:tc>
          <w:tcPr>
            <w:tcW w:w="0" w:type="auto"/>
            <w:vMerge/>
          </w:tcPr>
          <w:p w14:paraId="57F2C96B" w14:textId="77777777" w:rsidR="00AF3694" w:rsidRPr="00FB78AB" w:rsidRDefault="00AF3694" w:rsidP="00DA7BC7">
            <w:pPr>
              <w:pStyle w:val="H2Bullet0"/>
              <w:numPr>
                <w:ilvl w:val="0"/>
                <w:numId w:val="0"/>
              </w:numPr>
              <w:rPr>
                <w:b/>
                <w:bCs/>
              </w:rPr>
            </w:pPr>
          </w:p>
        </w:tc>
      </w:tr>
      <w:tr w:rsidR="004026FD" w14:paraId="2C77CE86" w14:textId="77777777" w:rsidTr="00DA7BC7">
        <w:tc>
          <w:tcPr>
            <w:tcW w:w="0" w:type="auto"/>
            <w:vMerge w:val="restart"/>
          </w:tcPr>
          <w:p w14:paraId="54C9C38B" w14:textId="72ABAFBC" w:rsidR="004026FD" w:rsidRPr="00C93755" w:rsidRDefault="004026FD" w:rsidP="00DA7BC7">
            <w:pPr>
              <w:pStyle w:val="H2Bullet0"/>
              <w:numPr>
                <w:ilvl w:val="0"/>
                <w:numId w:val="0"/>
              </w:numPr>
              <w:rPr>
                <w:b/>
                <w:bCs/>
              </w:rPr>
            </w:pPr>
            <w:r>
              <w:rPr>
                <w:b/>
                <w:bCs/>
              </w:rPr>
              <w:t>Month 4</w:t>
            </w:r>
          </w:p>
        </w:tc>
        <w:tc>
          <w:tcPr>
            <w:tcW w:w="0" w:type="auto"/>
          </w:tcPr>
          <w:p w14:paraId="5B5F8269" w14:textId="6399BE3A" w:rsidR="004026FD" w:rsidRPr="00AF3694" w:rsidRDefault="004026FD" w:rsidP="00DA7BC7">
            <w:pPr>
              <w:pStyle w:val="H2Bullet0"/>
              <w:numPr>
                <w:ilvl w:val="0"/>
                <w:numId w:val="0"/>
              </w:numPr>
            </w:pPr>
            <w:r w:rsidRPr="00AF3694">
              <w:rPr>
                <w:lang w:val="en-GB"/>
              </w:rPr>
              <w:t>Post-implementation support</w:t>
            </w:r>
          </w:p>
        </w:tc>
        <w:tc>
          <w:tcPr>
            <w:tcW w:w="0" w:type="auto"/>
          </w:tcPr>
          <w:p w14:paraId="7A1AEAF4" w14:textId="28E79E01" w:rsidR="004026FD" w:rsidRPr="00AF3694" w:rsidRDefault="004026FD" w:rsidP="00DA7BC7">
            <w:pPr>
              <w:pStyle w:val="H2Bullet0"/>
              <w:numPr>
                <w:ilvl w:val="0"/>
                <w:numId w:val="0"/>
              </w:numPr>
            </w:pPr>
            <w:r w:rsidRPr="00AF3694">
              <w:t>Stabilization Support and Final Handover</w:t>
            </w:r>
          </w:p>
        </w:tc>
        <w:tc>
          <w:tcPr>
            <w:tcW w:w="0" w:type="auto"/>
            <w:vMerge w:val="restart"/>
          </w:tcPr>
          <w:p w14:paraId="75B499A9" w14:textId="38FCCC46" w:rsidR="004026FD" w:rsidRPr="00FB78AB" w:rsidRDefault="004026FD" w:rsidP="00DA7BC7">
            <w:pPr>
              <w:pStyle w:val="H2Bullet0"/>
              <w:numPr>
                <w:ilvl w:val="0"/>
                <w:numId w:val="0"/>
              </w:numPr>
              <w:rPr>
                <w:b/>
                <w:bCs/>
              </w:rPr>
            </w:pPr>
            <w:r w:rsidRPr="00FB78AB">
              <w:rPr>
                <w:b/>
                <w:bCs/>
                <w:lang w:val="en-GB"/>
              </w:rPr>
              <w:t>End of Month 4</w:t>
            </w:r>
          </w:p>
        </w:tc>
      </w:tr>
      <w:tr w:rsidR="004026FD" w14:paraId="2880DCB6" w14:textId="77777777" w:rsidTr="00DA7BC7">
        <w:tc>
          <w:tcPr>
            <w:tcW w:w="0" w:type="auto"/>
            <w:vMerge/>
          </w:tcPr>
          <w:p w14:paraId="2141573B" w14:textId="77777777" w:rsidR="004026FD" w:rsidRDefault="004026FD" w:rsidP="00DA7BC7">
            <w:pPr>
              <w:pStyle w:val="H2Bullet0"/>
              <w:numPr>
                <w:ilvl w:val="0"/>
                <w:numId w:val="0"/>
              </w:numPr>
              <w:rPr>
                <w:b/>
                <w:bCs/>
              </w:rPr>
            </w:pPr>
          </w:p>
        </w:tc>
        <w:tc>
          <w:tcPr>
            <w:tcW w:w="0" w:type="auto"/>
          </w:tcPr>
          <w:p w14:paraId="62BC2A2E" w14:textId="672EFF39" w:rsidR="004026FD" w:rsidRPr="00AF3694" w:rsidRDefault="004026FD" w:rsidP="00DA7BC7">
            <w:pPr>
              <w:pStyle w:val="H2Bullet0"/>
              <w:numPr>
                <w:ilvl w:val="0"/>
                <w:numId w:val="0"/>
              </w:numPr>
            </w:pPr>
            <w:r>
              <w:t>Final handover and operational transition</w:t>
            </w:r>
          </w:p>
        </w:tc>
        <w:tc>
          <w:tcPr>
            <w:tcW w:w="0" w:type="auto"/>
          </w:tcPr>
          <w:p w14:paraId="67AB05F1" w14:textId="2A46EDA5" w:rsidR="004026FD" w:rsidRPr="00AF3694" w:rsidRDefault="004026FD" w:rsidP="00DA7BC7">
            <w:pPr>
              <w:pStyle w:val="H2Bullet0"/>
              <w:numPr>
                <w:ilvl w:val="0"/>
                <w:numId w:val="0"/>
              </w:numPr>
            </w:pPr>
            <w:r>
              <w:t>Final Handover</w:t>
            </w:r>
          </w:p>
        </w:tc>
        <w:tc>
          <w:tcPr>
            <w:tcW w:w="0" w:type="auto"/>
            <w:vMerge/>
          </w:tcPr>
          <w:p w14:paraId="270FE996" w14:textId="77777777" w:rsidR="004026FD" w:rsidRPr="00AF3694" w:rsidRDefault="004026FD" w:rsidP="00DA7BC7">
            <w:pPr>
              <w:pStyle w:val="H2Bullet0"/>
              <w:numPr>
                <w:ilvl w:val="0"/>
                <w:numId w:val="0"/>
              </w:numPr>
            </w:pPr>
          </w:p>
        </w:tc>
      </w:tr>
    </w:tbl>
    <w:p w14:paraId="57788AC4" w14:textId="5B42041C" w:rsidR="008E698C" w:rsidRDefault="008E698C" w:rsidP="00B51FB8">
      <w:pPr>
        <w:pStyle w:val="Heading2"/>
      </w:pPr>
      <w:bookmarkStart w:id="8" w:name="_Toc227601129"/>
      <w:r>
        <w:t>Key Implementation Risks and Mitigation Measures</w:t>
      </w:r>
      <w:bookmarkEnd w:id="8"/>
    </w:p>
    <w:p w14:paraId="5C9E0D69" w14:textId="77777777" w:rsidR="00B51FB8" w:rsidRDefault="00B51FB8" w:rsidP="008E698C">
      <w:pPr>
        <w:pStyle w:val="H2Text"/>
      </w:pPr>
      <w:r w:rsidRPr="00B51FB8">
        <w:t>The successful delivery of the assignment is dependent on timely access to reliable data, effective stakeholder engagement, and alignment between defined indicators and available datasets. Based on the current understanding of the operating environment, several implementation risks have been identified, along with corresponding mitigation measures.</w:t>
      </w:r>
    </w:p>
    <w:p w14:paraId="0A78F759" w14:textId="77777777" w:rsidR="00B51FB8" w:rsidRDefault="00B51FB8" w:rsidP="00B51FB8">
      <w:pPr>
        <w:pStyle w:val="Heading3"/>
      </w:pPr>
      <w:r>
        <w:t>Data Access Constraints</w:t>
      </w:r>
    </w:p>
    <w:p w14:paraId="718A1E01" w14:textId="77777777" w:rsidR="00B51FB8" w:rsidRDefault="001F2C94" w:rsidP="00B51FB8">
      <w:pPr>
        <w:pStyle w:val="H3text"/>
      </w:pPr>
      <w:r w:rsidRPr="001F2C94">
        <w:t>Access to institutional datasets may be delayed due to internal approval processes, data ownership considerations, or competing priorities within participating institutions.</w:t>
      </w:r>
    </w:p>
    <w:p w14:paraId="5E64D39E" w14:textId="77777777" w:rsidR="001F2C94" w:rsidRDefault="001F2C94" w:rsidP="00B51FB8">
      <w:pPr>
        <w:pStyle w:val="H3text"/>
        <w:rPr>
          <w:lang w:val="en-US"/>
        </w:rPr>
      </w:pPr>
    </w:p>
    <w:p w14:paraId="57AACFE7" w14:textId="77777777" w:rsidR="001F2C94" w:rsidRDefault="001F2C94" w:rsidP="00B51FB8">
      <w:pPr>
        <w:pStyle w:val="H3text"/>
      </w:pPr>
      <w:r w:rsidRPr="001F2C94">
        <w:rPr>
          <w:b/>
          <w:bCs/>
          <w:lang w:val="en-US"/>
        </w:rPr>
        <w:t>Mitigation</w:t>
      </w:r>
      <w:r>
        <w:rPr>
          <w:lang w:val="en-US"/>
        </w:rPr>
        <w:t>:</w:t>
      </w:r>
      <w:r>
        <w:rPr>
          <w:lang w:val="en-US"/>
        </w:rPr>
        <w:br/>
      </w:r>
      <w:r w:rsidRPr="001F2C94">
        <w:t>Early stakeholder engagement will be initiated during the inception phase to establish communication channels and identify focal points. Data requests will be issued early in the implementation period, and follow-up will be conducted through structured coordination with CDMU and GEAPP. Where delays persist, escalation will be undertaken through agreed coordination channels.</w:t>
      </w:r>
    </w:p>
    <w:p w14:paraId="6B827DCC" w14:textId="77777777" w:rsidR="00BF2160" w:rsidRDefault="00BF2160" w:rsidP="00B51FB8">
      <w:pPr>
        <w:pStyle w:val="H3text"/>
      </w:pPr>
    </w:p>
    <w:p w14:paraId="3523CC88" w14:textId="601725BB" w:rsidR="00BF2160" w:rsidRDefault="00BF2160" w:rsidP="00BF2160">
      <w:pPr>
        <w:pStyle w:val="Heading3"/>
      </w:pPr>
      <w:r>
        <w:t>Incompleter or Inconsistent Data</w:t>
      </w:r>
    </w:p>
    <w:p w14:paraId="66338BE4" w14:textId="77777777" w:rsidR="00BF2160" w:rsidRDefault="00BF2160" w:rsidP="00BF2160">
      <w:pPr>
        <w:pStyle w:val="H3text"/>
        <w:rPr>
          <w:lang w:val="en-NG"/>
        </w:rPr>
      </w:pPr>
      <w:r w:rsidRPr="00BF2160">
        <w:rPr>
          <w:lang w:val="en-NG"/>
        </w:rPr>
        <w:t>Datasets provided by different institutions may be incomplete, inconsistent, or not aligned with defined indicator requirements, particularly where data is not routinely standardized.</w:t>
      </w:r>
    </w:p>
    <w:p w14:paraId="26438F5A" w14:textId="77777777" w:rsidR="00BF2160" w:rsidRPr="00BF2160" w:rsidRDefault="00BF2160" w:rsidP="00BF2160">
      <w:pPr>
        <w:pStyle w:val="H3text"/>
        <w:rPr>
          <w:lang w:val="en-NG"/>
        </w:rPr>
      </w:pPr>
    </w:p>
    <w:p w14:paraId="5F4579DD" w14:textId="06DEE122" w:rsidR="00BF2160" w:rsidRPr="00D36742" w:rsidRDefault="00BF2160" w:rsidP="00D36742">
      <w:pPr>
        <w:pStyle w:val="H3text"/>
        <w:rPr>
          <w:lang w:val="en-NG"/>
        </w:rPr>
      </w:pPr>
      <w:r w:rsidRPr="00BF2160">
        <w:rPr>
          <w:b/>
          <w:bCs/>
          <w:lang w:val="en-NG"/>
        </w:rPr>
        <w:t>Mitigation:</w:t>
      </w:r>
    </w:p>
    <w:p w14:paraId="3B4B9179" w14:textId="491619C4" w:rsidR="00D36742" w:rsidRDefault="00D36742" w:rsidP="00D36742">
      <w:pPr>
        <w:pStyle w:val="H3text"/>
        <w:rPr>
          <w:lang w:val="en-NG"/>
        </w:rPr>
      </w:pPr>
      <w:r w:rsidRPr="00D36742">
        <w:rPr>
          <w:lang w:val="en-NG"/>
        </w:rPr>
        <w:t>Standardized data templates will be used to guide data submission, ensuring consistency in format and structure. Internal validation checks will be applied to identify inconsistencies, and targeted follow-up will be conducted to resolve gaps. Where necessary, proxy indicators or alternative data sources may be considered.</w:t>
      </w:r>
    </w:p>
    <w:p w14:paraId="19813876" w14:textId="77777777" w:rsidR="00D36742" w:rsidRPr="00D36742" w:rsidRDefault="00D36742" w:rsidP="00D36742">
      <w:pPr>
        <w:pStyle w:val="H3text"/>
        <w:rPr>
          <w:lang w:val="en-NG"/>
        </w:rPr>
      </w:pPr>
    </w:p>
    <w:p w14:paraId="6D7C43C6" w14:textId="7EA60A09" w:rsidR="00D36742" w:rsidRPr="00806365" w:rsidRDefault="00D36742" w:rsidP="00806365">
      <w:pPr>
        <w:pStyle w:val="Heading3"/>
      </w:pPr>
      <w:r>
        <w:t>Limited Availability of Disaggregated Data</w:t>
      </w:r>
    </w:p>
    <w:p w14:paraId="279299DE" w14:textId="77777777" w:rsidR="00806365" w:rsidRDefault="00806365" w:rsidP="00806365">
      <w:pPr>
        <w:pStyle w:val="H3text"/>
        <w:rPr>
          <w:lang w:val="en-NG"/>
        </w:rPr>
      </w:pPr>
      <w:r w:rsidRPr="00806365">
        <w:rPr>
          <w:lang w:val="en-NG"/>
        </w:rPr>
        <w:t>Certain indicators may require disaggregated data (e.g., state-level or project-level data) that may not be readily available or systematically maintained.</w:t>
      </w:r>
    </w:p>
    <w:p w14:paraId="0BF206A4" w14:textId="77777777" w:rsidR="00806365" w:rsidRPr="00806365" w:rsidRDefault="00806365" w:rsidP="00806365">
      <w:pPr>
        <w:pStyle w:val="H3text"/>
        <w:rPr>
          <w:lang w:val="en-NG"/>
        </w:rPr>
      </w:pPr>
    </w:p>
    <w:p w14:paraId="308C85ED" w14:textId="4FAFCC39" w:rsidR="00806365" w:rsidRDefault="00806365" w:rsidP="00806365">
      <w:pPr>
        <w:pStyle w:val="H3text"/>
        <w:rPr>
          <w:lang w:val="en-NG"/>
        </w:rPr>
      </w:pPr>
      <w:r w:rsidRPr="00806365">
        <w:rPr>
          <w:b/>
          <w:bCs/>
          <w:lang w:val="en-NG"/>
        </w:rPr>
        <w:lastRenderedPageBreak/>
        <w:t>Mitigation:</w:t>
      </w:r>
      <w:r w:rsidRPr="00806365">
        <w:rPr>
          <w:lang w:val="en-NG"/>
        </w:rPr>
        <w:br/>
        <w:t>Indicator definitions will be aligned with available data where necessary, and data requirements will be refined during stakeholder validation. Supplementary datasets from publicly available sources and development partners will be used where appropriate to support indicator computation.</w:t>
      </w:r>
    </w:p>
    <w:p w14:paraId="2D624C88" w14:textId="77777777" w:rsidR="00806365" w:rsidRPr="00806365" w:rsidRDefault="00806365" w:rsidP="00806365">
      <w:pPr>
        <w:pStyle w:val="H3text"/>
        <w:rPr>
          <w:lang w:val="en-NG"/>
        </w:rPr>
      </w:pPr>
    </w:p>
    <w:p w14:paraId="10744BC7" w14:textId="48B0A4B3" w:rsidR="00806365" w:rsidRPr="00806365" w:rsidRDefault="00806365" w:rsidP="00806365">
      <w:pPr>
        <w:pStyle w:val="Heading3"/>
      </w:pPr>
      <w:r w:rsidRPr="00806365">
        <w:t>Stakeholder Responsiveness and Coordination Challenges</w:t>
      </w:r>
    </w:p>
    <w:p w14:paraId="588BC9A3" w14:textId="77777777" w:rsidR="00806365" w:rsidRPr="00806365" w:rsidRDefault="00806365" w:rsidP="00806365">
      <w:pPr>
        <w:pStyle w:val="H3text"/>
        <w:rPr>
          <w:lang w:val="en-US"/>
        </w:rPr>
      </w:pPr>
      <w:r w:rsidRPr="00806365">
        <w:rPr>
          <w:lang w:val="en-US"/>
        </w:rPr>
        <w:t>Timely engagement with multiple stakeholders across ministries, agencies, and utilities may be affected by scheduling constraints and competing institutional priorities.</w:t>
      </w:r>
    </w:p>
    <w:p w14:paraId="05C362D6" w14:textId="77777777" w:rsidR="00806365" w:rsidRPr="00806365" w:rsidRDefault="00806365" w:rsidP="00806365">
      <w:pPr>
        <w:pStyle w:val="H3text"/>
        <w:rPr>
          <w:lang w:val="en-US"/>
        </w:rPr>
      </w:pPr>
    </w:p>
    <w:p w14:paraId="33B35F72" w14:textId="77777777" w:rsidR="00806365" w:rsidRPr="00806365" w:rsidRDefault="00806365" w:rsidP="00806365">
      <w:pPr>
        <w:pStyle w:val="H3text"/>
        <w:rPr>
          <w:lang w:val="en-US"/>
        </w:rPr>
      </w:pPr>
      <w:r w:rsidRPr="00806365">
        <w:rPr>
          <w:b/>
          <w:bCs/>
          <w:lang w:val="en-US"/>
        </w:rPr>
        <w:t>Mitigation</w:t>
      </w:r>
      <w:r w:rsidRPr="00806365">
        <w:rPr>
          <w:lang w:val="en-US"/>
        </w:rPr>
        <w:t>:</w:t>
      </w:r>
    </w:p>
    <w:p w14:paraId="3966B0DF" w14:textId="37CB54C2" w:rsidR="00B77BF7" w:rsidRDefault="00806365" w:rsidP="00B77BF7">
      <w:pPr>
        <w:pStyle w:val="H3text"/>
        <w:rPr>
          <w:lang w:val="en-US"/>
        </w:rPr>
      </w:pPr>
      <w:r w:rsidRPr="00806365">
        <w:rPr>
          <w:lang w:val="en-US"/>
        </w:rPr>
        <w:t>A structured reporting cadence, including bi-weekly coordination meetings, will be maintained to ensure regular engagement. CDMU will support coordination and facilitate access to stakeholders, while GEAPP will maintain oversight to ensure alignment and timely resolution of engagement challenges.</w:t>
      </w:r>
    </w:p>
    <w:p w14:paraId="46EB48CB" w14:textId="77777777" w:rsidR="00B77BF7" w:rsidRDefault="00B77BF7" w:rsidP="00B77BF7">
      <w:pPr>
        <w:pStyle w:val="H3text"/>
        <w:rPr>
          <w:lang w:val="en-US"/>
        </w:rPr>
      </w:pPr>
    </w:p>
    <w:p w14:paraId="131BEA30" w14:textId="78C39EFE" w:rsidR="00B77BF7" w:rsidRPr="00B77BF7" w:rsidRDefault="00B77BF7" w:rsidP="00B77BF7">
      <w:pPr>
        <w:pStyle w:val="Heading3"/>
      </w:pPr>
      <w:r w:rsidRPr="00B77BF7">
        <w:t>Alignment Between Data Availability and KPI Requirements</w:t>
      </w:r>
    </w:p>
    <w:p w14:paraId="30F3E989" w14:textId="77777777" w:rsidR="00B77BF7" w:rsidRPr="00B77BF7" w:rsidRDefault="00B77BF7" w:rsidP="00B77BF7">
      <w:pPr>
        <w:pStyle w:val="H3text"/>
        <w:rPr>
          <w:lang w:val="en-US"/>
        </w:rPr>
      </w:pPr>
      <w:r w:rsidRPr="00B77BF7">
        <w:rPr>
          <w:lang w:val="en-US"/>
        </w:rPr>
        <w:t>Some indicators defined within the monitoring framework may not be fully supported by available datasets at the required level of detail or reporting frequency.</w:t>
      </w:r>
    </w:p>
    <w:p w14:paraId="18530C28" w14:textId="77777777" w:rsidR="00B77BF7" w:rsidRPr="00B77BF7" w:rsidRDefault="00B77BF7" w:rsidP="00B77BF7">
      <w:pPr>
        <w:pStyle w:val="H3text"/>
        <w:rPr>
          <w:lang w:val="en-US"/>
        </w:rPr>
      </w:pPr>
    </w:p>
    <w:p w14:paraId="450616C6" w14:textId="77777777" w:rsidR="00B77BF7" w:rsidRPr="00B77BF7" w:rsidRDefault="00B77BF7" w:rsidP="00B77BF7">
      <w:pPr>
        <w:pStyle w:val="H3text"/>
        <w:rPr>
          <w:lang w:val="en-US"/>
        </w:rPr>
      </w:pPr>
      <w:r w:rsidRPr="00B77BF7">
        <w:rPr>
          <w:b/>
          <w:bCs/>
          <w:lang w:val="en-US"/>
        </w:rPr>
        <w:t>Mitigation</w:t>
      </w:r>
      <w:r w:rsidRPr="00B77BF7">
        <w:rPr>
          <w:lang w:val="en-US"/>
        </w:rPr>
        <w:t>:</w:t>
      </w:r>
    </w:p>
    <w:p w14:paraId="6665D37E" w14:textId="55EAA6BF" w:rsidR="00B77BF7" w:rsidRDefault="00B77BF7" w:rsidP="00B77BF7">
      <w:pPr>
        <w:pStyle w:val="H3text"/>
        <w:rPr>
          <w:lang w:val="en-US"/>
        </w:rPr>
      </w:pPr>
      <w:r w:rsidRPr="00B77BF7">
        <w:rPr>
          <w:lang w:val="en-US"/>
        </w:rPr>
        <w:t>Indicator definitions will be reviewed and validated in consultation with stakeholders to ensure feasibility. Where necessary, indicators will be refined to reflect practical data availability, while maintaining alignment with overall monitoring objectives.</w:t>
      </w:r>
    </w:p>
    <w:p w14:paraId="6F0041DC" w14:textId="619488E7" w:rsidR="00B77BF7" w:rsidRPr="00B77BF7" w:rsidRDefault="00B77BF7" w:rsidP="00B77BF7">
      <w:pPr>
        <w:pStyle w:val="Heading3"/>
      </w:pPr>
      <w:r w:rsidRPr="00B77BF7">
        <w:t>Integration and Validation Risks</w:t>
      </w:r>
    </w:p>
    <w:p w14:paraId="77EB7CFF" w14:textId="77777777" w:rsidR="00B77BF7" w:rsidRPr="00B77BF7" w:rsidRDefault="00B77BF7" w:rsidP="00B77BF7">
      <w:pPr>
        <w:pStyle w:val="H3text"/>
        <w:rPr>
          <w:lang w:val="en-US"/>
        </w:rPr>
      </w:pPr>
      <w:r w:rsidRPr="00B77BF7">
        <w:rPr>
          <w:lang w:val="en-US"/>
        </w:rPr>
        <w:t>Delays or inconsistencies in data validation may affect the timely configuration and testing of the dashboard system.</w:t>
      </w:r>
    </w:p>
    <w:p w14:paraId="20272804" w14:textId="77777777" w:rsidR="00B77BF7" w:rsidRPr="00B77BF7" w:rsidRDefault="00B77BF7" w:rsidP="00B77BF7">
      <w:pPr>
        <w:pStyle w:val="H3text"/>
        <w:rPr>
          <w:lang w:val="en-US"/>
        </w:rPr>
      </w:pPr>
    </w:p>
    <w:p w14:paraId="1936F227" w14:textId="77777777" w:rsidR="00B77BF7" w:rsidRPr="00B77BF7" w:rsidRDefault="00B77BF7" w:rsidP="00B77BF7">
      <w:pPr>
        <w:pStyle w:val="H3text"/>
        <w:rPr>
          <w:lang w:val="en-US"/>
        </w:rPr>
      </w:pPr>
      <w:r w:rsidRPr="00B77BF7">
        <w:rPr>
          <w:b/>
          <w:bCs/>
          <w:lang w:val="en-US"/>
        </w:rPr>
        <w:t>Mitigation</w:t>
      </w:r>
      <w:r w:rsidRPr="00B77BF7">
        <w:rPr>
          <w:lang w:val="en-US"/>
        </w:rPr>
        <w:t>:</w:t>
      </w:r>
    </w:p>
    <w:p w14:paraId="2BD621AA" w14:textId="6BF48DB1" w:rsidR="00B77BF7" w:rsidRPr="00D36742" w:rsidRDefault="00B77BF7" w:rsidP="00B77BF7">
      <w:pPr>
        <w:pStyle w:val="H3text"/>
        <w:rPr>
          <w:lang w:val="en-US"/>
        </w:rPr>
        <w:sectPr w:rsidR="00B77BF7" w:rsidRPr="00D36742" w:rsidSect="006D7F9A">
          <w:pgSz w:w="11906" w:h="16838"/>
          <w:pgMar w:top="1985" w:right="1701" w:bottom="1418" w:left="1701" w:header="709" w:footer="709" w:gutter="0"/>
          <w:cols w:space="708"/>
          <w:docGrid w:linePitch="360"/>
        </w:sectPr>
      </w:pPr>
      <w:r w:rsidRPr="00B77BF7">
        <w:rPr>
          <w:lang w:val="en-US"/>
        </w:rPr>
        <w:t>Data validation will be conducted progressively throughout the implementation period, rather than as a single-stage activity. Structured data inputs will be provided to GEAPP to support configuration, and iterative review of dashboard outputs will be undertaken to resolve inconsistencies prior to final deployment.</w:t>
      </w:r>
    </w:p>
    <w:p w14:paraId="0B1969F7" w14:textId="6AD4ED66" w:rsidR="00D97857" w:rsidRPr="00DA7BC7" w:rsidRDefault="00D97857" w:rsidP="00D97857">
      <w:pPr>
        <w:pStyle w:val="Caption"/>
        <w:rPr>
          <w:lang w:val="en-US"/>
        </w:rPr>
      </w:pPr>
      <w:r>
        <w:lastRenderedPageBreak/>
        <w:t xml:space="preserve">figure </w:t>
      </w:r>
      <w:r>
        <w:fldChar w:fldCharType="begin"/>
      </w:r>
      <w:r>
        <w:instrText xml:space="preserve"> SEQ Table \* ARABIC </w:instrText>
      </w:r>
      <w:r>
        <w:fldChar w:fldCharType="separate"/>
      </w:r>
      <w:r>
        <w:rPr>
          <w:noProof/>
        </w:rPr>
        <w:t>1</w:t>
      </w:r>
      <w:r>
        <w:rPr>
          <w:noProof/>
        </w:rPr>
        <w:fldChar w:fldCharType="end"/>
      </w:r>
      <w:r>
        <w:t>: Operational Sequencing</w:t>
      </w:r>
    </w:p>
    <w:p w14:paraId="0E321D14" w14:textId="77777777" w:rsidR="00D97857" w:rsidRDefault="00D97857" w:rsidP="00DA7BC7">
      <w:pPr>
        <w:pStyle w:val="H2Text"/>
      </w:pPr>
    </w:p>
    <w:p w14:paraId="5535E166" w14:textId="2F575068" w:rsidR="00D97857" w:rsidRDefault="002C5C74" w:rsidP="00DA7BC7">
      <w:pPr>
        <w:pStyle w:val="H2Text"/>
        <w:sectPr w:rsidR="00D97857" w:rsidSect="00D97857">
          <w:pgSz w:w="16838" w:h="11906" w:orient="landscape"/>
          <w:pgMar w:top="1701" w:right="1985" w:bottom="1701" w:left="1418" w:header="709" w:footer="709" w:gutter="0"/>
          <w:cols w:space="708"/>
          <w:docGrid w:linePitch="360"/>
        </w:sectPr>
      </w:pPr>
      <w:r w:rsidRPr="002C5C74">
        <w:drawing>
          <wp:inline distT="0" distB="0" distL="0" distR="0" wp14:anchorId="43B484F1" wp14:editId="4A9D6D90">
            <wp:extent cx="8531225" cy="4197985"/>
            <wp:effectExtent l="0" t="0" r="3175" b="0"/>
            <wp:docPr id="700188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88167" name=""/>
                    <pic:cNvPicPr/>
                  </pic:nvPicPr>
                  <pic:blipFill>
                    <a:blip r:embed="rId19"/>
                    <a:stretch>
                      <a:fillRect/>
                    </a:stretch>
                  </pic:blipFill>
                  <pic:spPr>
                    <a:xfrm>
                      <a:off x="0" y="0"/>
                      <a:ext cx="8531225" cy="4197985"/>
                    </a:xfrm>
                    <a:prstGeom prst="rect">
                      <a:avLst/>
                    </a:prstGeom>
                  </pic:spPr>
                </pic:pic>
              </a:graphicData>
            </a:graphic>
          </wp:inline>
        </w:drawing>
      </w:r>
    </w:p>
    <w:p w14:paraId="3BE54FB0" w14:textId="33D28DED" w:rsidR="00D97857" w:rsidRDefault="00C1594B" w:rsidP="00C1594B">
      <w:pPr>
        <w:pStyle w:val="Heading1"/>
      </w:pPr>
      <w:bookmarkStart w:id="9" w:name="_Toc227601130"/>
      <w:r>
        <w:lastRenderedPageBreak/>
        <w:t>Introduction</w:t>
      </w:r>
      <w:bookmarkEnd w:id="9"/>
    </w:p>
    <w:p w14:paraId="44041779" w14:textId="102DAD7B" w:rsidR="00C1594B" w:rsidRDefault="00863DCB" w:rsidP="00C1594B">
      <w:pPr>
        <w:pStyle w:val="Heading2"/>
      </w:pPr>
      <w:bookmarkStart w:id="10" w:name="_Toc227601131"/>
      <w:r w:rsidRPr="00863DCB">
        <w:t>Mission 300 and the Nigeria National Energy Compact</w:t>
      </w:r>
      <w:bookmarkEnd w:id="10"/>
    </w:p>
    <w:p w14:paraId="7E8BB3C7" w14:textId="77777777" w:rsidR="00863DCB" w:rsidRDefault="00863DCB" w:rsidP="00863DCB">
      <w:pPr>
        <w:pStyle w:val="H2Text"/>
      </w:pPr>
      <w:r w:rsidRPr="00863DCB">
        <w:t>Mission 300 (M300) seeks to connect 300 million people in Sub-Saharan Africa to electricity by 2030 through coordinated sector reform, infrastructure investment, and private sector mobilization</w:t>
      </w:r>
      <w:r>
        <w:t xml:space="preserve">. </w:t>
      </w:r>
      <w:r w:rsidRPr="00863DCB">
        <w:t>Nigeria’s National Energy Compact operationalizes this objective at country level, setting measurable acceleration targets for electricity access and clean cooking.</w:t>
      </w:r>
      <w:r>
        <w:t xml:space="preserve"> </w:t>
      </w:r>
    </w:p>
    <w:p w14:paraId="55E2CA46" w14:textId="3F00A29E" w:rsidR="00863DCB" w:rsidRDefault="00863DCB" w:rsidP="00863DCB">
      <w:pPr>
        <w:pStyle w:val="H2Text"/>
      </w:pPr>
      <w:r w:rsidRPr="00863DCB">
        <w:t>As of 2022, Nigeria’s electricity access rate stood at 61 percent</w:t>
      </w:r>
      <w:bookmarkStart w:id="11" w:name="_Ref222663364"/>
      <w:r w:rsidR="00807159">
        <w:rPr>
          <w:rStyle w:val="FootnoteReference"/>
        </w:rPr>
        <w:footnoteReference w:id="1"/>
      </w:r>
      <w:bookmarkEnd w:id="11"/>
      <w:r w:rsidRPr="00863DCB">
        <w:t>, leaving over 86 million people without access</w:t>
      </w:r>
      <w:r w:rsidR="00003019">
        <w:fldChar w:fldCharType="begin"/>
      </w:r>
      <w:r w:rsidR="00003019">
        <w:instrText xml:space="preserve"> NOTEREF _Ref222663364 \f \h </w:instrText>
      </w:r>
      <w:r w:rsidR="00003019">
        <w:fldChar w:fldCharType="separate"/>
      </w:r>
      <w:r w:rsidR="00003019" w:rsidRPr="00003019">
        <w:rPr>
          <w:rStyle w:val="FootnoteReference"/>
        </w:rPr>
        <w:t>1</w:t>
      </w:r>
      <w:r w:rsidR="00003019">
        <w:fldChar w:fldCharType="end"/>
      </w:r>
      <w:r>
        <w:t xml:space="preserve">. </w:t>
      </w:r>
      <w:r w:rsidRPr="00863DCB">
        <w:t>Clea</w:t>
      </w:r>
      <w:r w:rsidR="00324945">
        <w:t>n</w:t>
      </w:r>
      <w:r w:rsidRPr="00863DCB">
        <w:t xml:space="preserve"> cooking access was reported at 26 percent</w:t>
      </w:r>
      <w:bookmarkStart w:id="12" w:name="_Ref222663515"/>
      <w:r w:rsidR="00706E81">
        <w:rPr>
          <w:rStyle w:val="FootnoteReference"/>
        </w:rPr>
        <w:footnoteReference w:id="2"/>
      </w:r>
      <w:bookmarkEnd w:id="12"/>
      <w:r w:rsidRPr="00863DCB">
        <w:t>, with over 160 million people lacking modern cooking solutions</w:t>
      </w:r>
      <w:r w:rsidR="007D43FC">
        <w:fldChar w:fldCharType="begin"/>
      </w:r>
      <w:r w:rsidR="007D43FC">
        <w:instrText xml:space="preserve"> NOTEREF _Ref222663515 \f \h </w:instrText>
      </w:r>
      <w:r w:rsidR="007D43FC">
        <w:fldChar w:fldCharType="separate"/>
      </w:r>
      <w:r w:rsidR="007D43FC" w:rsidRPr="007D43FC">
        <w:rPr>
          <w:rStyle w:val="FootnoteReference"/>
        </w:rPr>
        <w:t>2</w:t>
      </w:r>
      <w:r w:rsidR="007D43FC">
        <w:fldChar w:fldCharType="end"/>
      </w:r>
      <w:r>
        <w:t xml:space="preserve">. </w:t>
      </w:r>
      <w:r w:rsidRPr="00863DCB">
        <w:t>In addition, an estimated metering gap of approximately 7 million electricity end users has been identified</w:t>
      </w:r>
      <w:r w:rsidR="009E7F48">
        <w:fldChar w:fldCharType="begin"/>
      </w:r>
      <w:r w:rsidR="009E7F48">
        <w:instrText xml:space="preserve"> NOTEREF _Ref222663515 \f \h </w:instrText>
      </w:r>
      <w:r w:rsidR="009E7F48">
        <w:fldChar w:fldCharType="separate"/>
      </w:r>
      <w:r w:rsidR="009E7F48" w:rsidRPr="009E7F48">
        <w:rPr>
          <w:rStyle w:val="FootnoteReference"/>
        </w:rPr>
        <w:t>2</w:t>
      </w:r>
      <w:r w:rsidR="009E7F48">
        <w:fldChar w:fldCharType="end"/>
      </w:r>
      <w:r>
        <w:t>.</w:t>
      </w:r>
    </w:p>
    <w:p w14:paraId="3C7CBBB9" w14:textId="42D7A1C5" w:rsidR="00863DCB" w:rsidRDefault="00863DCB" w:rsidP="00863DCB">
      <w:pPr>
        <w:pStyle w:val="H2Text"/>
      </w:pPr>
      <w:r>
        <w:t xml:space="preserve"> </w:t>
      </w:r>
      <w:r w:rsidRPr="00863DCB">
        <w:t>These figures highlight both the scale of the access deficit and the structural complexity of delivery. The Compact’s ambition to accelerate electricity access growth from 4 percent to 9 percent annually</w:t>
      </w:r>
      <w:r w:rsidR="00E21C64">
        <w:fldChar w:fldCharType="begin"/>
      </w:r>
      <w:r w:rsidR="00E21C64">
        <w:instrText xml:space="preserve"> NOTEREF _Ref222663515 \f \h </w:instrText>
      </w:r>
      <w:r w:rsidR="00E21C64">
        <w:fldChar w:fldCharType="separate"/>
      </w:r>
      <w:r w:rsidR="00E21C64" w:rsidRPr="00E21C64">
        <w:rPr>
          <w:rStyle w:val="FootnoteReference"/>
        </w:rPr>
        <w:t>2</w:t>
      </w:r>
      <w:r w:rsidR="00E21C64">
        <w:fldChar w:fldCharType="end"/>
      </w:r>
      <w:r w:rsidRPr="00863DCB">
        <w:t>, and clean cooking access from 22 percent to 25 percent annually</w:t>
      </w:r>
      <w:r>
        <w:t xml:space="preserve">, </w:t>
      </w:r>
      <w:r w:rsidRPr="00863DCB">
        <w:t>requires disciplined monitoring of infrastructure expansion, financial sustainability, project execution, and private sector participation across multiple institutions.</w:t>
      </w:r>
      <w:r>
        <w:t xml:space="preserve"> </w:t>
      </w:r>
    </w:p>
    <w:p w14:paraId="3543F77E" w14:textId="1EB8AD28" w:rsidR="00863DCB" w:rsidRDefault="00863DCB" w:rsidP="00863DCB">
      <w:pPr>
        <w:pStyle w:val="H2Text"/>
      </w:pPr>
      <w:r w:rsidRPr="00863DCB">
        <w:t>The Compact is structured around five pillars: infrastructure rehabilitation and expansion; last mile access; financially viable utilities; private sector mobilization; and regional integratio</w:t>
      </w:r>
      <w:r>
        <w:t>n</w:t>
      </w:r>
      <w:r w:rsidR="00E21C64">
        <w:fldChar w:fldCharType="begin"/>
      </w:r>
      <w:r w:rsidR="00E21C64">
        <w:instrText xml:space="preserve"> NOTEREF _Ref222663515 \f \h </w:instrText>
      </w:r>
      <w:r w:rsidR="00E21C64">
        <w:fldChar w:fldCharType="separate"/>
      </w:r>
      <w:r w:rsidR="00E21C64" w:rsidRPr="00E21C64">
        <w:rPr>
          <w:rStyle w:val="FootnoteReference"/>
        </w:rPr>
        <w:t>2</w:t>
      </w:r>
      <w:r w:rsidR="00E21C64">
        <w:fldChar w:fldCharType="end"/>
      </w:r>
      <w:r>
        <w:t>.</w:t>
      </w:r>
    </w:p>
    <w:p w14:paraId="3FA5A041" w14:textId="69C234EA" w:rsidR="00863DCB" w:rsidRPr="00863DCB" w:rsidRDefault="00863DCB" w:rsidP="00863DCB">
      <w:pPr>
        <w:pStyle w:val="H2Text"/>
      </w:pPr>
      <w:r>
        <w:t xml:space="preserve"> </w:t>
      </w:r>
      <w:r w:rsidRPr="00863DCB">
        <w:t>Each pillar involves distinct datasets, implementing entities, and reporting streams. Without an integrated monitoring structure, tracking cross-pillar progress becomes fragmented and inconsistent.</w:t>
      </w:r>
    </w:p>
    <w:p w14:paraId="4D1A3F96" w14:textId="001CBD43" w:rsidR="00611DF3" w:rsidRDefault="00863DCB" w:rsidP="00611DF3">
      <w:pPr>
        <w:pStyle w:val="Heading2"/>
      </w:pPr>
      <w:bookmarkStart w:id="13" w:name="_Toc227601132"/>
      <w:r w:rsidRPr="00863DCB">
        <w:t>Need for an Integrated Monitoring Architecture</w:t>
      </w:r>
      <w:bookmarkEnd w:id="13"/>
    </w:p>
    <w:p w14:paraId="50F34CB0" w14:textId="45A03B21" w:rsidR="00863DCB" w:rsidRDefault="00863DCB" w:rsidP="00863DCB">
      <w:pPr>
        <w:pStyle w:val="H2Text"/>
      </w:pPr>
      <w:r w:rsidRPr="00863DCB">
        <w:t>At present, datasets relevant to M300 implementation are distributed across ministries, regulatory agencies, utilities, development partners, and project developers</w:t>
      </w:r>
      <w:r>
        <w:t xml:space="preserve">. </w:t>
      </w:r>
      <w:r w:rsidRPr="00863DCB">
        <w:t>While individual institutions maintain operational data, there is no unified system that consolidates performance indicators across the five Compact pillars into a single monitoring framework.</w:t>
      </w:r>
    </w:p>
    <w:p w14:paraId="0A66E051" w14:textId="10D68D33" w:rsidR="00863DCB" w:rsidRDefault="00863DCB" w:rsidP="00863DCB">
      <w:pPr>
        <w:pStyle w:val="H2Text"/>
      </w:pPr>
      <w:r w:rsidRPr="00863DCB">
        <w:t>This fragmentation creates three structural risks:</w:t>
      </w:r>
    </w:p>
    <w:p w14:paraId="3B0B24B6" w14:textId="5958D4E8" w:rsidR="00863DCB" w:rsidRPr="00863DCB" w:rsidRDefault="00863DCB" w:rsidP="005B7293">
      <w:pPr>
        <w:pStyle w:val="H2Bullet0"/>
      </w:pPr>
      <w:r w:rsidRPr="00863DCB">
        <w:t>First, inconsistent definitions and reporting freque</w:t>
      </w:r>
      <w:r w:rsidR="00DF3DEF">
        <w:t>n</w:t>
      </w:r>
      <w:r w:rsidRPr="00863DCB">
        <w:t>cies can limit comparability across datasets.</w:t>
      </w:r>
    </w:p>
    <w:p w14:paraId="358C3E13" w14:textId="77777777" w:rsidR="00863DCB" w:rsidRPr="00863DCB" w:rsidRDefault="00863DCB" w:rsidP="005B7293">
      <w:pPr>
        <w:pStyle w:val="H2Bullet0"/>
      </w:pPr>
      <w:r w:rsidRPr="00863DCB">
        <w:t>Second, delays in data validation can undermine timely decision-making.</w:t>
      </w:r>
    </w:p>
    <w:p w14:paraId="60361E37" w14:textId="77777777" w:rsidR="00863DCB" w:rsidRPr="00863DCB" w:rsidRDefault="00863DCB" w:rsidP="005B7293">
      <w:pPr>
        <w:pStyle w:val="H2Bullet0"/>
      </w:pPr>
      <w:r w:rsidRPr="00863DCB">
        <w:lastRenderedPageBreak/>
        <w:t>Third, absence of centralized aggregation reduces visibility over implementation gaps, milestone slippages, and cross-pillar dependencies.</w:t>
      </w:r>
    </w:p>
    <w:p w14:paraId="2C620B23" w14:textId="157D681C" w:rsidR="00863DCB" w:rsidRDefault="00863DCB" w:rsidP="00863DCB">
      <w:pPr>
        <w:pStyle w:val="H2Text"/>
      </w:pPr>
      <w:r w:rsidRPr="00863DCB">
        <w:t>To address this, the Federal Ministry of Power and the Federal Ministry of Finance, working alongside GEAPP, have initiated the development of a centralized monitoring dashboard embedded within the Compact Delivery Monitoring Unit (CDMU)</w:t>
      </w:r>
      <w:r>
        <w:t xml:space="preserve">. </w:t>
      </w:r>
      <w:r w:rsidRPr="00863DCB">
        <w:t>The dashboard will serve as the institutional mechanism for aggregating datasets, standardizing indicators, tracking project performance, and enabling structured reporting to stakeholders.</w:t>
      </w:r>
    </w:p>
    <w:p w14:paraId="23B8E6F0" w14:textId="03045352" w:rsidR="00863DCB" w:rsidRDefault="00863DCB" w:rsidP="00863DCB">
      <w:pPr>
        <w:pStyle w:val="Heading2"/>
      </w:pPr>
      <w:bookmarkStart w:id="14" w:name="_Toc227601133"/>
      <w:r>
        <w:t>Institutional and Governance Framework</w:t>
      </w:r>
      <w:bookmarkEnd w:id="14"/>
    </w:p>
    <w:p w14:paraId="230C5169" w14:textId="3794A790" w:rsidR="00863DCB" w:rsidRDefault="005F5BC7" w:rsidP="00863DCB">
      <w:pPr>
        <w:pStyle w:val="H2Text"/>
      </w:pPr>
      <w:r w:rsidRPr="005F5BC7">
        <w:t>The monitoring dashboard will be embedded within CDMU, which serves as the coordination platform for Compact implementation monitoring</w:t>
      </w:r>
      <w:r>
        <w:t xml:space="preserve">. </w:t>
      </w:r>
      <w:r w:rsidRPr="005F5BC7">
        <w:t>The Consultant will report to the Federal Ministry of Power and the Federal Ministry of Finance and will work closely with CDMU and GEAPP throughout the assignment.</w:t>
      </w:r>
    </w:p>
    <w:p w14:paraId="73ABCEB9" w14:textId="77777777" w:rsidR="005F5BC7" w:rsidRPr="005F5BC7" w:rsidRDefault="005F5BC7" w:rsidP="005F5BC7">
      <w:pPr>
        <w:pStyle w:val="H2Text"/>
      </w:pPr>
      <w:r w:rsidRPr="005F5BC7">
        <w:t>GEAPP will configure the technical dashboard platform, while EMRC will define the monitoring architecture, data requirements, governance framework, and reporting logic that will guide configuration and system operation. This division of roles ensures that technical deployment is anchored in a clearly defined monitoring structure and institutional governance framework.</w:t>
      </w:r>
    </w:p>
    <w:p w14:paraId="21269542" w14:textId="77777777" w:rsidR="005F5BC7" w:rsidRPr="005F5BC7" w:rsidRDefault="005F5BC7" w:rsidP="005F5BC7">
      <w:pPr>
        <w:pStyle w:val="H2Text"/>
      </w:pPr>
      <w:r w:rsidRPr="005F5BC7">
        <w:t>The objective is not merely to deploy a digital interface, but to establish a structured monitoring system that supports accountability, cross-pillar coordination, and evidence-based policy oversight under the M300 Compact.</w:t>
      </w:r>
    </w:p>
    <w:p w14:paraId="4E226C59" w14:textId="62CEF4B4" w:rsidR="005F5BC7" w:rsidRDefault="00A86103" w:rsidP="00A86103">
      <w:pPr>
        <w:pStyle w:val="Heading1"/>
      </w:pPr>
      <w:bookmarkStart w:id="15" w:name="_Toc227601134"/>
      <w:r>
        <w:lastRenderedPageBreak/>
        <w:t>Understanding of the Assignment</w:t>
      </w:r>
      <w:bookmarkEnd w:id="15"/>
    </w:p>
    <w:p w14:paraId="148E0514" w14:textId="317A23C2" w:rsidR="00A86103" w:rsidRDefault="00A86103" w:rsidP="00A86103">
      <w:pPr>
        <w:pStyle w:val="Heading2"/>
      </w:pPr>
      <w:bookmarkStart w:id="16" w:name="_Toc227601135"/>
      <w:r>
        <w:t>Nature of the Assignment</w:t>
      </w:r>
      <w:bookmarkEnd w:id="16"/>
    </w:p>
    <w:p w14:paraId="7783807E" w14:textId="267D6E8F" w:rsidR="00A86103" w:rsidRPr="00A86103" w:rsidRDefault="00A86103" w:rsidP="00A86103">
      <w:pPr>
        <w:pStyle w:val="H2Text"/>
      </w:pPr>
      <w:r w:rsidRPr="00A86103">
        <w:t>The assignment is not limited to the development of a visual dashboard interface. It requires the design of a structured monitoring architecture capable of aggregating, validating, and reporting data across the five pillars of the M300 National Energy Compact.</w:t>
      </w:r>
    </w:p>
    <w:p w14:paraId="26135587" w14:textId="0AE54D73" w:rsidR="00A86103" w:rsidRDefault="00A86103" w:rsidP="00A86103">
      <w:pPr>
        <w:pStyle w:val="H2Text"/>
      </w:pPr>
      <w:r w:rsidRPr="00A86103">
        <w:t>The central challenge addressed by this assignment is the integration of heterogeneous datasets originating from multiple institutions, each operating under distinct reporting formats, validation standards, and operational timelines. Effective monitoring under M300 therefore depends on three interrelated components:</w:t>
      </w:r>
    </w:p>
    <w:p w14:paraId="64A88EEB" w14:textId="77777777" w:rsidR="00A86103" w:rsidRPr="00A86103" w:rsidRDefault="00A86103" w:rsidP="00A86103">
      <w:pPr>
        <w:pStyle w:val="H2Bullet0"/>
      </w:pPr>
      <w:r w:rsidRPr="00A86103">
        <w:t>A clearly defined indicator framework aligned to Compact objectives</w:t>
      </w:r>
    </w:p>
    <w:p w14:paraId="317FAA6F" w14:textId="77777777" w:rsidR="00A86103" w:rsidRPr="00A86103" w:rsidRDefault="00A86103" w:rsidP="00A86103">
      <w:pPr>
        <w:pStyle w:val="H2Bullet0"/>
      </w:pPr>
      <w:r w:rsidRPr="00A86103">
        <w:t>A structured data lifecycle model governing acquisition, validation, aggregation, and reporting</w:t>
      </w:r>
    </w:p>
    <w:p w14:paraId="09BA2EBB" w14:textId="77777777" w:rsidR="00A86103" w:rsidRPr="00A86103" w:rsidRDefault="00A86103" w:rsidP="00A86103">
      <w:pPr>
        <w:pStyle w:val="H2Bullet0"/>
      </w:pPr>
      <w:r w:rsidRPr="00A86103">
        <w:t>A configuration-ready dashboard specification that translates monitoring logic into operational views</w:t>
      </w:r>
    </w:p>
    <w:p w14:paraId="469F7D92" w14:textId="76A996F4" w:rsidR="00A86103" w:rsidRDefault="00A86103" w:rsidP="00A86103">
      <w:pPr>
        <w:pStyle w:val="H2Text"/>
      </w:pPr>
      <w:r w:rsidRPr="00A86103">
        <w:t>The assignment requires aligning these components within an institutional framework embedded in CDMU</w:t>
      </w:r>
      <w:r>
        <w:t xml:space="preserve"> </w:t>
      </w:r>
      <w:r w:rsidRPr="00A86103">
        <w:t>and supported by GEAPP’s existing technical platform.</w:t>
      </w:r>
    </w:p>
    <w:p w14:paraId="23603B35" w14:textId="7B3E8A72" w:rsidR="00A86103" w:rsidRDefault="00A86103" w:rsidP="00A86103">
      <w:pPr>
        <w:pStyle w:val="Heading2"/>
      </w:pPr>
      <w:bookmarkStart w:id="17" w:name="_Toc227601136"/>
      <w:r w:rsidRPr="00A86103">
        <w:t>Monitoring Architecture Requirements</w:t>
      </w:r>
      <w:bookmarkEnd w:id="17"/>
    </w:p>
    <w:p w14:paraId="662D2B25" w14:textId="1F41E3D2" w:rsidR="00A86103" w:rsidRDefault="00A86103" w:rsidP="00A86103">
      <w:pPr>
        <w:pStyle w:val="H2Text"/>
      </w:pPr>
      <w:r w:rsidRPr="00A86103">
        <w:t>Monitoring M300 implementation requires a layered structure that connects national-level targets to project-level execution. The monitoring architecture must therefore:</w:t>
      </w:r>
    </w:p>
    <w:p w14:paraId="6F0E7D08" w14:textId="3F1B62AA" w:rsidR="00A86103" w:rsidRDefault="00A86103" w:rsidP="00A86103">
      <w:pPr>
        <w:pStyle w:val="H2Bullet0"/>
      </w:pPr>
      <w:r>
        <w:t>Map indicators to each of the five Compact pillars</w:t>
      </w:r>
    </w:p>
    <w:p w14:paraId="2DF6E3A7" w14:textId="2D7A57B0" w:rsidR="00A86103" w:rsidRDefault="00A86103" w:rsidP="00A86103">
      <w:pPr>
        <w:pStyle w:val="H2Bullet0"/>
      </w:pPr>
      <w:r>
        <w:t>Define measurable KPIs with consistent technical definitions</w:t>
      </w:r>
    </w:p>
    <w:p w14:paraId="4B9E40EE" w14:textId="43369103" w:rsidR="00A86103" w:rsidRDefault="00A86103" w:rsidP="00A86103">
      <w:pPr>
        <w:pStyle w:val="H2Bullet0"/>
      </w:pPr>
      <w:r>
        <w:t>Establish disaggregation levels, including national, state, utility, and project-level reporting where applicable</w:t>
      </w:r>
    </w:p>
    <w:p w14:paraId="25E73798" w14:textId="32FBBB22" w:rsidR="00A86103" w:rsidRDefault="00A86103" w:rsidP="00A86103">
      <w:pPr>
        <w:pStyle w:val="H2Bullet0"/>
      </w:pPr>
      <w:r>
        <w:t>Define reporting frequencies and validation timelines</w:t>
      </w:r>
    </w:p>
    <w:p w14:paraId="47758D5E" w14:textId="324C75FF" w:rsidR="00A86103" w:rsidRPr="00A86103" w:rsidRDefault="00A86103" w:rsidP="00A86103">
      <w:pPr>
        <w:pStyle w:val="H2Bullet0"/>
      </w:pPr>
      <w:r>
        <w:t>Ensure traceability between reported figures and source datasets</w:t>
      </w:r>
    </w:p>
    <w:p w14:paraId="6EE36232" w14:textId="2C31C4BB" w:rsidR="00A86103" w:rsidRDefault="00A86103" w:rsidP="00A86103">
      <w:pPr>
        <w:pStyle w:val="H2Text"/>
      </w:pPr>
      <w:r w:rsidRPr="00A86103">
        <w:t>The architecture must also accommodate both infrastructure indicators, such as connections and metering deployment, and institutional indicators, such as financial viability and private sector participation.</w:t>
      </w:r>
    </w:p>
    <w:p w14:paraId="119B4CA2" w14:textId="66EF6260" w:rsidR="00A86103" w:rsidRDefault="00A86103" w:rsidP="00A86103">
      <w:pPr>
        <w:pStyle w:val="Heading2"/>
      </w:pPr>
      <w:bookmarkStart w:id="18" w:name="_Toc227601137"/>
      <w:r w:rsidRPr="00A86103">
        <w:t>Data Integration and Governance Imperatives</w:t>
      </w:r>
      <w:bookmarkEnd w:id="18"/>
    </w:p>
    <w:p w14:paraId="5EF97680" w14:textId="5200E63A" w:rsidR="00A86103" w:rsidRDefault="00A86103" w:rsidP="00A86103">
      <w:pPr>
        <w:pStyle w:val="H2Text"/>
      </w:pPr>
      <w:r w:rsidRPr="00A86103">
        <w:t>Data relevant to M300 implementation is distributed across ministries, regulatory agencies, utilities, project developers, and development partners. Integrating these datasets requires structured governance protocols to ensure:</w:t>
      </w:r>
    </w:p>
    <w:p w14:paraId="745C95AD" w14:textId="50E3C1B6" w:rsidR="00A86103" w:rsidRPr="00A86103" w:rsidRDefault="00A86103" w:rsidP="00A86103">
      <w:pPr>
        <w:pStyle w:val="H2Bullet0"/>
      </w:pPr>
      <w:r w:rsidRPr="00A86103">
        <w:t>Consistent data definitions</w:t>
      </w:r>
    </w:p>
    <w:p w14:paraId="1F696D9D" w14:textId="41F0E090" w:rsidR="00A86103" w:rsidRPr="00A86103" w:rsidRDefault="00A86103" w:rsidP="00A86103">
      <w:pPr>
        <w:pStyle w:val="H2Bullet0"/>
      </w:pPr>
      <w:r w:rsidRPr="00A86103">
        <w:t>Quality assurance and validation checks</w:t>
      </w:r>
    </w:p>
    <w:p w14:paraId="2A89B5BD" w14:textId="7E208DE7" w:rsidR="00A86103" w:rsidRPr="00A86103" w:rsidRDefault="00A86103" w:rsidP="00A86103">
      <w:pPr>
        <w:pStyle w:val="H2Bullet0"/>
      </w:pPr>
      <w:r w:rsidRPr="00A86103">
        <w:t>Clear data ownership and submission responsibilities</w:t>
      </w:r>
    </w:p>
    <w:p w14:paraId="2CEDAC42" w14:textId="61BF2CA5" w:rsidR="00A86103" w:rsidRPr="00A86103" w:rsidRDefault="00A86103" w:rsidP="00A86103">
      <w:pPr>
        <w:pStyle w:val="H2Bullet0"/>
      </w:pPr>
      <w:r w:rsidRPr="00A86103">
        <w:lastRenderedPageBreak/>
        <w:t>Defined update cycles</w:t>
      </w:r>
    </w:p>
    <w:p w14:paraId="5815271D" w14:textId="34F62390" w:rsidR="00A86103" w:rsidRDefault="00A86103" w:rsidP="00A86103">
      <w:pPr>
        <w:pStyle w:val="H2Bullet0"/>
      </w:pPr>
      <w:r w:rsidRPr="00A86103">
        <w:t>Escalation pathways for discrepancies</w:t>
      </w:r>
    </w:p>
    <w:p w14:paraId="2B7799D3" w14:textId="77777777" w:rsidR="00F82AE7" w:rsidRDefault="00F82AE7" w:rsidP="00A86103">
      <w:pPr>
        <w:pStyle w:val="H2Bullet0"/>
        <w:numPr>
          <w:ilvl w:val="0"/>
          <w:numId w:val="0"/>
        </w:numPr>
        <w:ind w:left="709"/>
      </w:pPr>
    </w:p>
    <w:p w14:paraId="260EF789" w14:textId="1A50DE94" w:rsidR="00A86103" w:rsidRDefault="00A86103" w:rsidP="00A86103">
      <w:pPr>
        <w:pStyle w:val="H2Bullet0"/>
        <w:numPr>
          <w:ilvl w:val="0"/>
          <w:numId w:val="0"/>
        </w:numPr>
        <w:ind w:left="709"/>
      </w:pPr>
      <w:r>
        <w:t>Without these governance mechanisms, dashboard outputs risk becoming inconsistent or outdated, undermining credibility and policy usefulness.</w:t>
      </w:r>
    </w:p>
    <w:p w14:paraId="273B01F0" w14:textId="77777777" w:rsidR="00A86103" w:rsidRDefault="00A86103" w:rsidP="00A86103">
      <w:pPr>
        <w:pStyle w:val="H2Bullet0"/>
        <w:numPr>
          <w:ilvl w:val="0"/>
          <w:numId w:val="0"/>
        </w:numPr>
        <w:ind w:left="720"/>
      </w:pPr>
      <w:r>
        <w:t>The assignment therefore requires not only the identification of datasets but also the establishment of a governance model that defines how data flows into the system, how it is verified, and how it is maintained over time.</w:t>
      </w:r>
    </w:p>
    <w:p w14:paraId="3FDD7381" w14:textId="415D054D" w:rsidR="00A86103" w:rsidRDefault="00F82AE7" w:rsidP="00F82AE7">
      <w:pPr>
        <w:pStyle w:val="Heading2"/>
      </w:pPr>
      <w:bookmarkStart w:id="19" w:name="_Toc227601138"/>
      <w:r w:rsidRPr="00F82AE7">
        <w:t>Role Delineation and System Sustainability</w:t>
      </w:r>
      <w:bookmarkEnd w:id="19"/>
    </w:p>
    <w:p w14:paraId="4A90CEF2" w14:textId="08744A17" w:rsidR="00F82AE7" w:rsidRDefault="00F82AE7" w:rsidP="00F82AE7">
      <w:pPr>
        <w:pStyle w:val="H2Text"/>
      </w:pPr>
      <w:r w:rsidRPr="00F82AE7">
        <w:t>Under the agreed structure, GEAPP will configure and host the dashboard platform. EMRC’s role is to design the monitoring framework, define data requirements, establish governance protocols, and provide configuration guidance to ensure that the platform reflects the agreed monitoring architecture.</w:t>
      </w:r>
    </w:p>
    <w:p w14:paraId="6D25DEED" w14:textId="418D51DB" w:rsidR="00F82AE7" w:rsidRDefault="00F82AE7" w:rsidP="00F82AE7">
      <w:pPr>
        <w:pStyle w:val="H2Text"/>
      </w:pPr>
      <w:r w:rsidRPr="00F82AE7">
        <w:t>This delineation ensures that technical system development is grounded in a structured monitoring logic and institutional ownership model. The sustainability of the dashboard will depend on the clarity of data governance arrangements, the quality of documentation, and the capacity of CDMU and relevant stakeholders to maintain and update the system.</w:t>
      </w:r>
    </w:p>
    <w:p w14:paraId="6CEF1DC7" w14:textId="53348B7C" w:rsidR="00F82AE7" w:rsidRPr="00645FC4" w:rsidRDefault="00F82AE7" w:rsidP="00645FC4">
      <w:pPr>
        <w:pStyle w:val="H2Text"/>
      </w:pPr>
      <w:r w:rsidRPr="00F82AE7">
        <w:t>Accordingly, this assignment must result in both a functional monitoring dashboard and a clearly defined institutional framework for its continued operation.</w:t>
      </w:r>
    </w:p>
    <w:p w14:paraId="33026EC2" w14:textId="2F8D491A" w:rsidR="00863DCB" w:rsidRDefault="00645FC4" w:rsidP="00645FC4">
      <w:pPr>
        <w:pStyle w:val="Heading1"/>
      </w:pPr>
      <w:bookmarkStart w:id="20" w:name="_Toc227601139"/>
      <w:r w:rsidRPr="00645FC4">
        <w:lastRenderedPageBreak/>
        <w:t>Methodological Framework</w:t>
      </w:r>
      <w:bookmarkEnd w:id="20"/>
    </w:p>
    <w:p w14:paraId="7526DF9D" w14:textId="2F81E2A0" w:rsidR="00645FC4" w:rsidRDefault="00645FC4" w:rsidP="00645FC4">
      <w:pPr>
        <w:pStyle w:val="H1Text"/>
      </w:pPr>
      <w:r w:rsidRPr="00645FC4">
        <w:t>The methodological framework for this assignment translates the monitoring architecture and data governance approach outlined in EMRC’s technical proposal into a structured implementation sequence. The approach is designed to ensure that indicator definition, data structuring, governance protocols, and dashboard configuration support are logically aligned and validated prior to system deployment.</w:t>
      </w:r>
    </w:p>
    <w:p w14:paraId="55462841" w14:textId="6F68B985" w:rsidR="00645FC4" w:rsidRDefault="00645FC4" w:rsidP="00645FC4">
      <w:pPr>
        <w:pStyle w:val="H1Text"/>
      </w:pPr>
      <w:r w:rsidRPr="00645FC4">
        <w:t>The methodology is organized around five execution components.</w:t>
      </w:r>
    </w:p>
    <w:p w14:paraId="64A53AE0" w14:textId="29BF0B77" w:rsidR="00645FC4" w:rsidRDefault="00645FC4" w:rsidP="00645FC4">
      <w:pPr>
        <w:pStyle w:val="Heading2"/>
      </w:pPr>
      <w:bookmarkStart w:id="21" w:name="_Toc227601140"/>
      <w:r w:rsidRPr="00645FC4">
        <w:t>Indicator and Monitoring Framework Definition</w:t>
      </w:r>
      <w:bookmarkEnd w:id="21"/>
    </w:p>
    <w:p w14:paraId="5887F3F9" w14:textId="68B07CC5" w:rsidR="00645FC4" w:rsidRDefault="00645FC4" w:rsidP="00645FC4">
      <w:pPr>
        <w:pStyle w:val="H2Text"/>
      </w:pPr>
      <w:r w:rsidRPr="00645FC4">
        <w:t>The first step of implementation will focus on defining the monitoring framework required to track M300 implementation across its five pillars.</w:t>
      </w:r>
    </w:p>
    <w:p w14:paraId="0FBE6AA6" w14:textId="77777777" w:rsidR="00645FC4" w:rsidRPr="00645FC4" w:rsidRDefault="00645FC4" w:rsidP="00645FC4">
      <w:pPr>
        <w:pStyle w:val="H2Text"/>
      </w:pPr>
      <w:r w:rsidRPr="00645FC4">
        <w:t>This will involve:</w:t>
      </w:r>
    </w:p>
    <w:p w14:paraId="170E1449" w14:textId="77777777" w:rsidR="00645FC4" w:rsidRPr="00645FC4" w:rsidRDefault="00645FC4" w:rsidP="00645FC4">
      <w:pPr>
        <w:pStyle w:val="H2Bullet0"/>
      </w:pPr>
      <w:r w:rsidRPr="00645FC4">
        <w:t>Translating Compact objectives into measurable performance indicators</w:t>
      </w:r>
    </w:p>
    <w:p w14:paraId="122CEDEB" w14:textId="77777777" w:rsidR="00645FC4" w:rsidRPr="00645FC4" w:rsidRDefault="00645FC4" w:rsidP="00645FC4">
      <w:pPr>
        <w:pStyle w:val="H2Bullet0"/>
      </w:pPr>
      <w:r w:rsidRPr="00645FC4">
        <w:t>Defining technical calculation logic for each KPI</w:t>
      </w:r>
    </w:p>
    <w:p w14:paraId="60B00917" w14:textId="77777777" w:rsidR="00645FC4" w:rsidRPr="00645FC4" w:rsidRDefault="00645FC4" w:rsidP="00645FC4">
      <w:pPr>
        <w:pStyle w:val="H2Bullet0"/>
      </w:pPr>
      <w:r w:rsidRPr="00645FC4">
        <w:t>Establishing disaggregation levels required for reporting</w:t>
      </w:r>
    </w:p>
    <w:p w14:paraId="5C59A473" w14:textId="77777777" w:rsidR="00645FC4" w:rsidRPr="00645FC4" w:rsidRDefault="00645FC4" w:rsidP="00645FC4">
      <w:pPr>
        <w:pStyle w:val="H2Bullet0"/>
      </w:pPr>
      <w:r w:rsidRPr="00645FC4">
        <w:t>Aligning indicators with reporting frequency requirements</w:t>
      </w:r>
    </w:p>
    <w:p w14:paraId="7606BB99" w14:textId="77777777" w:rsidR="00645FC4" w:rsidRPr="00645FC4" w:rsidRDefault="00645FC4" w:rsidP="00645FC4">
      <w:pPr>
        <w:pStyle w:val="H2Bullet0"/>
      </w:pPr>
      <w:r w:rsidRPr="00645FC4">
        <w:t>Defining traceability between reported outputs and source datasets</w:t>
      </w:r>
    </w:p>
    <w:p w14:paraId="125D45AA" w14:textId="3244D5B3" w:rsidR="00645FC4" w:rsidRDefault="00645FC4" w:rsidP="00645FC4">
      <w:pPr>
        <w:pStyle w:val="H2Text"/>
      </w:pPr>
      <w:r w:rsidRPr="00645FC4">
        <w:t>This step ensures that the dashboard is built on defined measurement logic rather than aggregated figures without consistent definitions.</w:t>
      </w:r>
    </w:p>
    <w:p w14:paraId="7C90CA23" w14:textId="64718BD0" w:rsidR="00645FC4" w:rsidRDefault="00645FC4" w:rsidP="00645FC4">
      <w:pPr>
        <w:pStyle w:val="Heading2"/>
      </w:pPr>
      <w:bookmarkStart w:id="22" w:name="_Toc227601141"/>
      <w:r w:rsidRPr="00645FC4">
        <w:t>Structured Data Lifecycle Design</w:t>
      </w:r>
      <w:bookmarkEnd w:id="22"/>
    </w:p>
    <w:p w14:paraId="366E972D" w14:textId="77777777" w:rsidR="00645FC4" w:rsidRPr="00645FC4" w:rsidRDefault="00645FC4" w:rsidP="00645FC4">
      <w:pPr>
        <w:pStyle w:val="H2Text"/>
      </w:pPr>
      <w:r w:rsidRPr="00645FC4">
        <w:t>This component will establish:</w:t>
      </w:r>
    </w:p>
    <w:p w14:paraId="4BAA68FF" w14:textId="77777777" w:rsidR="00645FC4" w:rsidRPr="00645FC4" w:rsidRDefault="00645FC4" w:rsidP="00645FC4">
      <w:pPr>
        <w:pStyle w:val="H2Bullet0"/>
      </w:pPr>
      <w:r w:rsidRPr="00645FC4">
        <w:t>Data submission structures and required formats</w:t>
      </w:r>
    </w:p>
    <w:p w14:paraId="638ADBB2" w14:textId="77777777" w:rsidR="00645FC4" w:rsidRPr="00645FC4" w:rsidRDefault="00645FC4" w:rsidP="00645FC4">
      <w:pPr>
        <w:pStyle w:val="H2Bullet0"/>
      </w:pPr>
      <w:r w:rsidRPr="00645FC4">
        <w:t>Validation rules and quality control checks</w:t>
      </w:r>
    </w:p>
    <w:p w14:paraId="611B2C6E" w14:textId="77777777" w:rsidR="00645FC4" w:rsidRPr="00645FC4" w:rsidRDefault="00645FC4" w:rsidP="00645FC4">
      <w:pPr>
        <w:pStyle w:val="H2Bullet0"/>
      </w:pPr>
      <w:r w:rsidRPr="00645FC4">
        <w:t>Update cycles and reporting intervals</w:t>
      </w:r>
    </w:p>
    <w:p w14:paraId="6A845FF6" w14:textId="77777777" w:rsidR="00645FC4" w:rsidRPr="00645FC4" w:rsidRDefault="00645FC4" w:rsidP="00645FC4">
      <w:pPr>
        <w:pStyle w:val="H2Bullet0"/>
      </w:pPr>
      <w:r w:rsidRPr="00645FC4">
        <w:t>Version control requirements</w:t>
      </w:r>
    </w:p>
    <w:p w14:paraId="73623EB3" w14:textId="77777777" w:rsidR="00645FC4" w:rsidRPr="00645FC4" w:rsidRDefault="00645FC4" w:rsidP="00645FC4">
      <w:pPr>
        <w:pStyle w:val="H2Bullet0"/>
      </w:pPr>
      <w:r w:rsidRPr="00645FC4">
        <w:t>Escalation protocols for discrepancies</w:t>
      </w:r>
    </w:p>
    <w:p w14:paraId="27535E09" w14:textId="489BF516" w:rsidR="00645FC4" w:rsidRDefault="00645FC4" w:rsidP="00645FC4">
      <w:pPr>
        <w:pStyle w:val="H2Bullet0"/>
        <w:numPr>
          <w:ilvl w:val="0"/>
          <w:numId w:val="0"/>
        </w:numPr>
        <w:ind w:left="709"/>
      </w:pPr>
      <w:r w:rsidRPr="00645FC4">
        <w:t>The objective is to ensure consistency between institutional data submissions and dashboard outputs.</w:t>
      </w:r>
    </w:p>
    <w:p w14:paraId="190DA3BA" w14:textId="352E41D7" w:rsidR="00645FC4" w:rsidRPr="00645FC4" w:rsidRDefault="00645FC4" w:rsidP="00645FC4">
      <w:pPr>
        <w:pStyle w:val="Heading2"/>
      </w:pPr>
      <w:bookmarkStart w:id="23" w:name="_Toc227601142"/>
      <w:r w:rsidRPr="00645FC4">
        <w:t>Data Source Mapping and Institutional Responsibility Alignment</w:t>
      </w:r>
      <w:bookmarkEnd w:id="23"/>
    </w:p>
    <w:p w14:paraId="0C42E6D0" w14:textId="7B3C2669" w:rsidR="00645FC4" w:rsidRDefault="00645FC4" w:rsidP="00645FC4">
      <w:pPr>
        <w:pStyle w:val="H2Text"/>
      </w:pPr>
      <w:r w:rsidRPr="00645FC4">
        <w:t>Given that M300 implementation spans multiple institutions, systematic data source mapping will be undertaken to define reporting responsibility and access pathways.</w:t>
      </w:r>
    </w:p>
    <w:p w14:paraId="274A8FC8" w14:textId="77777777" w:rsidR="00645FC4" w:rsidRPr="00645FC4" w:rsidRDefault="00645FC4" w:rsidP="00645FC4">
      <w:pPr>
        <w:pStyle w:val="H2Text"/>
      </w:pPr>
      <w:r w:rsidRPr="00645FC4">
        <w:t>This will include:</w:t>
      </w:r>
    </w:p>
    <w:p w14:paraId="727AB7EE" w14:textId="77777777" w:rsidR="00645FC4" w:rsidRPr="00645FC4" w:rsidRDefault="00645FC4" w:rsidP="00645FC4">
      <w:pPr>
        <w:pStyle w:val="H2Bullet0"/>
      </w:pPr>
      <w:r w:rsidRPr="00645FC4">
        <w:t>Identification of primary data custodians for each indicator</w:t>
      </w:r>
    </w:p>
    <w:p w14:paraId="68EF2237" w14:textId="77777777" w:rsidR="00645FC4" w:rsidRPr="00645FC4" w:rsidRDefault="00645FC4" w:rsidP="00645FC4">
      <w:pPr>
        <w:pStyle w:val="H2Bullet0"/>
      </w:pPr>
      <w:r w:rsidRPr="00645FC4">
        <w:t>Confirmation of reporting mandates where applicable</w:t>
      </w:r>
    </w:p>
    <w:p w14:paraId="39008274" w14:textId="77777777" w:rsidR="00645FC4" w:rsidRPr="00645FC4" w:rsidRDefault="00645FC4" w:rsidP="00645FC4">
      <w:pPr>
        <w:pStyle w:val="H2Bullet0"/>
      </w:pPr>
      <w:r w:rsidRPr="00645FC4">
        <w:t>Mapping of data submission frequency</w:t>
      </w:r>
    </w:p>
    <w:p w14:paraId="63997A40" w14:textId="77777777" w:rsidR="00645FC4" w:rsidRDefault="00645FC4" w:rsidP="00645FC4">
      <w:pPr>
        <w:pStyle w:val="H2Bullet0"/>
      </w:pPr>
      <w:r w:rsidRPr="00645FC4">
        <w:t>Clarification of ownership and update responsibility</w:t>
      </w:r>
    </w:p>
    <w:p w14:paraId="1CF674C4" w14:textId="07A55B61" w:rsidR="00645FC4" w:rsidRDefault="00645FC4" w:rsidP="00645FC4">
      <w:pPr>
        <w:pStyle w:val="H2Bullet0"/>
        <w:numPr>
          <w:ilvl w:val="0"/>
          <w:numId w:val="0"/>
        </w:numPr>
        <w:ind w:left="709"/>
      </w:pPr>
      <w:r w:rsidRPr="00645FC4">
        <w:lastRenderedPageBreak/>
        <w:t>This step establishes accountability within the monitoring system and reduces ambiguity over data provenance.</w:t>
      </w:r>
    </w:p>
    <w:p w14:paraId="6A499BC5" w14:textId="00DB3819" w:rsidR="00645FC4" w:rsidRDefault="00645FC4" w:rsidP="00645FC4">
      <w:pPr>
        <w:pStyle w:val="Heading2"/>
      </w:pPr>
      <w:bookmarkStart w:id="24" w:name="_Toc227601143"/>
      <w:r w:rsidRPr="00645FC4">
        <w:t>Dashboard Specification and Configuration Support</w:t>
      </w:r>
      <w:bookmarkEnd w:id="24"/>
    </w:p>
    <w:p w14:paraId="04EDEF12" w14:textId="449C416A" w:rsidR="00645FC4" w:rsidRDefault="00645FC4" w:rsidP="00645FC4">
      <w:pPr>
        <w:pStyle w:val="H2Text"/>
      </w:pPr>
      <w:r w:rsidRPr="00645FC4">
        <w:t>Based on the defined monitoring framework and data lifecycle model, EMRC will prepare a structured dashboard specification document.</w:t>
      </w:r>
    </w:p>
    <w:p w14:paraId="68BA561C" w14:textId="20B0343C" w:rsidR="00645FC4" w:rsidRDefault="00645FC4" w:rsidP="00645FC4">
      <w:pPr>
        <w:pStyle w:val="H2Text"/>
      </w:pPr>
      <w:r w:rsidRPr="00645FC4">
        <w:t>The specification will define:</w:t>
      </w:r>
    </w:p>
    <w:p w14:paraId="218DF942" w14:textId="77777777" w:rsidR="001B45AC" w:rsidRPr="001B45AC" w:rsidRDefault="001B45AC" w:rsidP="001B45AC">
      <w:pPr>
        <w:pStyle w:val="H2Bullet0"/>
      </w:pPr>
      <w:r w:rsidRPr="001B45AC">
        <w:t>Indicator groupings by pillar</w:t>
      </w:r>
    </w:p>
    <w:p w14:paraId="5EA02241" w14:textId="77777777" w:rsidR="001B45AC" w:rsidRPr="001B45AC" w:rsidRDefault="001B45AC" w:rsidP="001B45AC">
      <w:pPr>
        <w:pStyle w:val="H2Bullet0"/>
      </w:pPr>
      <w:r w:rsidRPr="001B45AC">
        <w:t>Aggregation logic and calculation dependencies</w:t>
      </w:r>
    </w:p>
    <w:p w14:paraId="404F0A2E" w14:textId="77777777" w:rsidR="001B45AC" w:rsidRPr="001B45AC" w:rsidRDefault="001B45AC" w:rsidP="001B45AC">
      <w:pPr>
        <w:pStyle w:val="H2Bullet0"/>
      </w:pPr>
      <w:r w:rsidRPr="001B45AC">
        <w:t>Drilldown hierarchies</w:t>
      </w:r>
    </w:p>
    <w:p w14:paraId="33465623" w14:textId="77777777" w:rsidR="001B45AC" w:rsidRPr="001B45AC" w:rsidRDefault="001B45AC" w:rsidP="001B45AC">
      <w:pPr>
        <w:pStyle w:val="H2Bullet0"/>
      </w:pPr>
      <w:r w:rsidRPr="001B45AC">
        <w:t>User access tiers</w:t>
      </w:r>
    </w:p>
    <w:p w14:paraId="2C6344DF" w14:textId="77777777" w:rsidR="001B45AC" w:rsidRPr="001B45AC" w:rsidRDefault="001B45AC" w:rsidP="001B45AC">
      <w:pPr>
        <w:pStyle w:val="H2Bullet0"/>
      </w:pPr>
      <w:r w:rsidRPr="001B45AC">
        <w:t>Reporting formats and export structures</w:t>
      </w:r>
    </w:p>
    <w:p w14:paraId="7755F5C7" w14:textId="77777777" w:rsidR="001B45AC" w:rsidRDefault="001B45AC" w:rsidP="001B45AC">
      <w:pPr>
        <w:pStyle w:val="H2Text"/>
      </w:pPr>
      <w:r w:rsidRPr="001B45AC">
        <w:t>GEAPP will configure the dashboard platform in accordance with this specification. EMRC will review configured outputs to verify alignment with agreed definitions, reporting logic, and governance protocols.</w:t>
      </w:r>
    </w:p>
    <w:p w14:paraId="1B202E58" w14:textId="5C121A50" w:rsidR="00600604" w:rsidRPr="001B45AC" w:rsidRDefault="00600604" w:rsidP="00600604">
      <w:pPr>
        <w:pStyle w:val="Heading2"/>
      </w:pPr>
      <w:bookmarkStart w:id="25" w:name="_Toc227601144"/>
      <w:r w:rsidRPr="00600604">
        <w:t>Validation, Testing, and Institutional Embedding</w:t>
      </w:r>
      <w:bookmarkEnd w:id="25"/>
    </w:p>
    <w:p w14:paraId="465C21DF" w14:textId="3D5C3C1F" w:rsidR="00600604" w:rsidRDefault="00600604" w:rsidP="00600604">
      <w:pPr>
        <w:pStyle w:val="H2Text"/>
      </w:pPr>
      <w:r>
        <w:t>Prior to deployment, configured dashboard outputs will undergo structured validation against defined indicators and reporting requirements.</w:t>
      </w:r>
    </w:p>
    <w:p w14:paraId="1335F0FB" w14:textId="578C5315" w:rsidR="001B45AC" w:rsidRDefault="00600604" w:rsidP="00600604">
      <w:pPr>
        <w:pStyle w:val="H2Text"/>
      </w:pPr>
      <w:r>
        <w:t>This stage will include:</w:t>
      </w:r>
    </w:p>
    <w:p w14:paraId="1F8DF049" w14:textId="77777777" w:rsidR="00600604" w:rsidRPr="00600604" w:rsidRDefault="00600604" w:rsidP="00600604">
      <w:pPr>
        <w:pStyle w:val="H2Bullet0"/>
      </w:pPr>
      <w:r w:rsidRPr="00600604">
        <w:t>Technical review sessions with CDMU</w:t>
      </w:r>
    </w:p>
    <w:p w14:paraId="2347EED2" w14:textId="77777777" w:rsidR="00600604" w:rsidRPr="00600604" w:rsidRDefault="00600604" w:rsidP="00600604">
      <w:pPr>
        <w:pStyle w:val="H2Bullet0"/>
      </w:pPr>
      <w:r w:rsidRPr="00600604">
        <w:t>Validation of data aggregation logic</w:t>
      </w:r>
    </w:p>
    <w:p w14:paraId="19A1C103" w14:textId="77777777" w:rsidR="00600604" w:rsidRPr="00600604" w:rsidRDefault="00600604" w:rsidP="00600604">
      <w:pPr>
        <w:pStyle w:val="H2Bullet0"/>
      </w:pPr>
      <w:r w:rsidRPr="00600604">
        <w:t>Testing of user access tiers</w:t>
      </w:r>
    </w:p>
    <w:p w14:paraId="6D7657F2" w14:textId="77777777" w:rsidR="00600604" w:rsidRPr="00600604" w:rsidRDefault="00600604" w:rsidP="00600604">
      <w:pPr>
        <w:pStyle w:val="H2Bullet0"/>
      </w:pPr>
      <w:r w:rsidRPr="00600604">
        <w:t>Review of documentation and operating guidelines</w:t>
      </w:r>
    </w:p>
    <w:p w14:paraId="7018C02B" w14:textId="77777777" w:rsidR="00600604" w:rsidRPr="00600604" w:rsidRDefault="00600604" w:rsidP="00600604">
      <w:pPr>
        <w:pStyle w:val="H2Bullet0"/>
      </w:pPr>
      <w:r w:rsidRPr="00600604">
        <w:t>Training sessions for relevant stakeholders</w:t>
      </w:r>
    </w:p>
    <w:p w14:paraId="00912923" w14:textId="77777777" w:rsidR="00600604" w:rsidRPr="00600604" w:rsidRDefault="00600604" w:rsidP="00600604">
      <w:pPr>
        <w:pStyle w:val="H2Text"/>
      </w:pPr>
      <w:r w:rsidRPr="00600604">
        <w:t>The objective is to ensure that the system is not only functional but institutionally embedded and operationally sustainable.</w:t>
      </w:r>
    </w:p>
    <w:p w14:paraId="09BCDC15" w14:textId="77777777" w:rsidR="00600604" w:rsidRPr="00600604" w:rsidRDefault="00600604" w:rsidP="00600604">
      <w:pPr>
        <w:pStyle w:val="H2Text"/>
      </w:pPr>
      <w:r w:rsidRPr="00600604">
        <w:t>This methodological structure ensures that:</w:t>
      </w:r>
    </w:p>
    <w:p w14:paraId="2D53BFDC" w14:textId="77777777" w:rsidR="00600604" w:rsidRPr="00600604" w:rsidRDefault="00600604" w:rsidP="00600604">
      <w:pPr>
        <w:pStyle w:val="H2Bullet0"/>
      </w:pPr>
      <w:r w:rsidRPr="00600604">
        <w:t>Monitoring logic is defined before configuration.</w:t>
      </w:r>
    </w:p>
    <w:p w14:paraId="00F4378A" w14:textId="77777777" w:rsidR="00600604" w:rsidRPr="00600604" w:rsidRDefault="00600604" w:rsidP="00600604">
      <w:pPr>
        <w:pStyle w:val="H2Bullet0"/>
      </w:pPr>
      <w:r w:rsidRPr="00600604">
        <w:t>Data governance precedes aggregation.</w:t>
      </w:r>
    </w:p>
    <w:p w14:paraId="340349BA" w14:textId="77777777" w:rsidR="00600604" w:rsidRPr="00600604" w:rsidRDefault="00600604" w:rsidP="00600604">
      <w:pPr>
        <w:pStyle w:val="H2Bullet0"/>
      </w:pPr>
      <w:r w:rsidRPr="00600604">
        <w:t>Institutional roles are clarified before reporting.</w:t>
      </w:r>
    </w:p>
    <w:p w14:paraId="0CDA14F4" w14:textId="753A94CC" w:rsidR="00645FC4" w:rsidRDefault="00600604" w:rsidP="00600604">
      <w:pPr>
        <w:pStyle w:val="H2Bullet0"/>
      </w:pPr>
      <w:r w:rsidRPr="00600604">
        <w:t>Deployment follows validation.</w:t>
      </w:r>
    </w:p>
    <w:p w14:paraId="0831A206" w14:textId="77777777" w:rsidR="004C454B" w:rsidRDefault="004C454B" w:rsidP="004C454B">
      <w:pPr>
        <w:pStyle w:val="H2Bullet0"/>
        <w:numPr>
          <w:ilvl w:val="0"/>
          <w:numId w:val="0"/>
        </w:numPr>
        <w:ind w:left="1134" w:hanging="425"/>
      </w:pPr>
    </w:p>
    <w:p w14:paraId="669AF77A" w14:textId="6497831C" w:rsidR="004C454B" w:rsidRDefault="002D6630" w:rsidP="002D6630">
      <w:pPr>
        <w:pStyle w:val="Heading1"/>
      </w:pPr>
      <w:bookmarkStart w:id="26" w:name="_Toc227601145"/>
      <w:r>
        <w:lastRenderedPageBreak/>
        <w:t>Detailed Scope of Work by Workstream</w:t>
      </w:r>
      <w:bookmarkEnd w:id="26"/>
    </w:p>
    <w:p w14:paraId="4340DCF6" w14:textId="38C4DA3B" w:rsidR="00927C3A" w:rsidRPr="00927C3A" w:rsidRDefault="00927C3A" w:rsidP="00927C3A">
      <w:pPr>
        <w:pStyle w:val="H1Text"/>
      </w:pPr>
      <w:r w:rsidRPr="00927C3A">
        <w:t>The assignment will be implemented through a series of structured workstreams that reflect the logical sequence required to establish the Mission 300 Monitoring Dashboard and its supporting data architecture. Each workstream corresponds to a defined component of the technical proposal and contributes to the development of a structured monitoring system embedded within the</w:t>
      </w:r>
      <w:r>
        <w:t xml:space="preserve"> CDMU</w:t>
      </w:r>
    </w:p>
    <w:p w14:paraId="4F825915" w14:textId="3BEBB1D6" w:rsidR="00E6150E" w:rsidRDefault="00E6150E" w:rsidP="00E6150E">
      <w:pPr>
        <w:pStyle w:val="Heading2"/>
      </w:pPr>
      <w:bookmarkStart w:id="27" w:name="_Toc227601146"/>
      <w:r>
        <w:t xml:space="preserve">Workstream 1: </w:t>
      </w:r>
      <w:r w:rsidR="00890E0B">
        <w:t>Inception</w:t>
      </w:r>
      <w:r w:rsidR="00840873">
        <w:t xml:space="preserve"> and Data Landsc</w:t>
      </w:r>
      <w:r w:rsidR="005E46F3">
        <w:t>ape Alignment</w:t>
      </w:r>
      <w:bookmarkEnd w:id="27"/>
    </w:p>
    <w:tbl>
      <w:tblPr>
        <w:tblStyle w:val="TableGrid"/>
        <w:tblW w:w="0" w:type="auto"/>
        <w:tblInd w:w="1134" w:type="dxa"/>
        <w:tblLook w:val="04A0" w:firstRow="1" w:lastRow="0" w:firstColumn="1" w:lastColumn="0" w:noHBand="0" w:noVBand="1"/>
      </w:tblPr>
      <w:tblGrid>
        <w:gridCol w:w="1130"/>
        <w:gridCol w:w="6234"/>
      </w:tblGrid>
      <w:tr w:rsidR="00C667FC" w14:paraId="363E3A2B" w14:textId="77777777" w:rsidTr="00AE0ABE">
        <w:trPr>
          <w:cnfStyle w:val="100000000000" w:firstRow="1" w:lastRow="0" w:firstColumn="0" w:lastColumn="0" w:oddVBand="0" w:evenVBand="0" w:oddHBand="0" w:evenHBand="0" w:firstRowFirstColumn="0" w:firstRowLastColumn="0" w:lastRowFirstColumn="0" w:lastRowLastColumn="0"/>
        </w:trPr>
        <w:tc>
          <w:tcPr>
            <w:tcW w:w="0" w:type="auto"/>
          </w:tcPr>
          <w:p w14:paraId="17E73582" w14:textId="61C43C47" w:rsidR="00E6150E" w:rsidRPr="00DC7F87" w:rsidRDefault="00E6150E" w:rsidP="00AE0ABE">
            <w:pPr>
              <w:pStyle w:val="H2Bullet0"/>
              <w:numPr>
                <w:ilvl w:val="0"/>
                <w:numId w:val="0"/>
              </w:numPr>
              <w:rPr>
                <w:lang w:val="en-GB"/>
              </w:rPr>
            </w:pPr>
            <w:r>
              <w:rPr>
                <w:lang w:val="en-GB"/>
              </w:rPr>
              <w:t>Component</w:t>
            </w:r>
          </w:p>
        </w:tc>
        <w:tc>
          <w:tcPr>
            <w:tcW w:w="0" w:type="auto"/>
          </w:tcPr>
          <w:p w14:paraId="1BFC6990" w14:textId="3529C66F" w:rsidR="00E6150E" w:rsidRPr="00DC7F87" w:rsidRDefault="00E6150E" w:rsidP="00AE0ABE">
            <w:pPr>
              <w:pStyle w:val="H2Bullet0"/>
              <w:numPr>
                <w:ilvl w:val="0"/>
                <w:numId w:val="0"/>
              </w:numPr>
              <w:rPr>
                <w:lang w:val="en-GB"/>
              </w:rPr>
            </w:pPr>
            <w:r>
              <w:rPr>
                <w:lang w:val="en-GB"/>
              </w:rPr>
              <w:t>Description</w:t>
            </w:r>
          </w:p>
        </w:tc>
      </w:tr>
      <w:tr w:rsidR="00CE0B86" w14:paraId="66084095" w14:textId="77777777" w:rsidTr="00AE0ABE">
        <w:tc>
          <w:tcPr>
            <w:tcW w:w="0" w:type="auto"/>
          </w:tcPr>
          <w:p w14:paraId="0E1AA429" w14:textId="7EE463EF" w:rsidR="00CE0B86" w:rsidRPr="00B91BAA" w:rsidRDefault="00CE0B86" w:rsidP="00CE0B86">
            <w:pPr>
              <w:pStyle w:val="H2Bullet0"/>
              <w:numPr>
                <w:ilvl w:val="0"/>
                <w:numId w:val="0"/>
              </w:numPr>
              <w:rPr>
                <w:lang w:val="en-GB"/>
              </w:rPr>
            </w:pPr>
            <w:r w:rsidRPr="00722485">
              <w:t>Objective</w:t>
            </w:r>
          </w:p>
        </w:tc>
        <w:tc>
          <w:tcPr>
            <w:tcW w:w="0" w:type="auto"/>
          </w:tcPr>
          <w:p w14:paraId="2F187F7A" w14:textId="57049D2E" w:rsidR="00CE0B86" w:rsidRPr="00B91BAA" w:rsidRDefault="00CE0B86" w:rsidP="00CE0B86">
            <w:pPr>
              <w:pStyle w:val="H2Bullet0"/>
              <w:numPr>
                <w:ilvl w:val="0"/>
                <w:numId w:val="0"/>
              </w:numPr>
              <w:rPr>
                <w:lang w:val="en-GB"/>
              </w:rPr>
            </w:pPr>
            <w:r w:rsidRPr="00722485">
              <w:t>Establish alignment with CDMU, the Federal Ministry of Power, the Federal Ministry of Finance, and GEAPP regarding the monitoring objectives, implementation approach, and data landscape relevant to Mission 300 implementation.</w:t>
            </w:r>
          </w:p>
        </w:tc>
      </w:tr>
      <w:tr w:rsidR="00CE0B86" w14:paraId="6B7FA196" w14:textId="77777777" w:rsidTr="00AE0ABE">
        <w:tc>
          <w:tcPr>
            <w:tcW w:w="0" w:type="auto"/>
          </w:tcPr>
          <w:p w14:paraId="2475885A" w14:textId="4134ADEA" w:rsidR="00CE0B86" w:rsidRPr="00B91BAA" w:rsidRDefault="00CE0B86" w:rsidP="00CE0B86">
            <w:pPr>
              <w:pStyle w:val="H2Bullet0"/>
              <w:numPr>
                <w:ilvl w:val="0"/>
                <w:numId w:val="0"/>
              </w:numPr>
              <w:rPr>
                <w:lang w:val="en-GB"/>
              </w:rPr>
            </w:pPr>
            <w:r w:rsidRPr="00722485">
              <w:t>Key Activities</w:t>
            </w:r>
          </w:p>
        </w:tc>
        <w:tc>
          <w:tcPr>
            <w:tcW w:w="0" w:type="auto"/>
          </w:tcPr>
          <w:p w14:paraId="4BFCB219" w14:textId="422C8495" w:rsidR="00CE0B86" w:rsidRPr="00B91BAA" w:rsidRDefault="00CE0B86" w:rsidP="00CE0B86">
            <w:pPr>
              <w:pStyle w:val="H2Bullet0"/>
              <w:numPr>
                <w:ilvl w:val="0"/>
                <w:numId w:val="0"/>
              </w:numPr>
              <w:rPr>
                <w:lang w:val="en-GB"/>
              </w:rPr>
            </w:pPr>
            <w:r w:rsidRPr="00722485">
              <w:t>Confirm scope of work and reporting structure. Conduct preliminary review of the existing data landscape across relevant institutions. Identify key stakeholders involved in the production, management, and publication of sector datasets. Establish coordination arrangements, reporting cadence, and sign-off mechanisms for subsequent deliverables.</w:t>
            </w:r>
          </w:p>
        </w:tc>
      </w:tr>
      <w:tr w:rsidR="00CE0B86" w14:paraId="246C548F" w14:textId="77777777" w:rsidTr="00AE0ABE">
        <w:tc>
          <w:tcPr>
            <w:tcW w:w="0" w:type="auto"/>
          </w:tcPr>
          <w:p w14:paraId="7BA95470" w14:textId="7B9F34D3" w:rsidR="00CE0B86" w:rsidRPr="00B91BAA" w:rsidRDefault="00CE0B86" w:rsidP="00CE0B86">
            <w:pPr>
              <w:pStyle w:val="H2Bullet0"/>
              <w:numPr>
                <w:ilvl w:val="0"/>
                <w:numId w:val="0"/>
              </w:numPr>
              <w:rPr>
                <w:lang w:val="en-GB"/>
              </w:rPr>
            </w:pPr>
            <w:r w:rsidRPr="00722485">
              <w:t>Outputs</w:t>
            </w:r>
          </w:p>
        </w:tc>
        <w:tc>
          <w:tcPr>
            <w:tcW w:w="0" w:type="auto"/>
          </w:tcPr>
          <w:p w14:paraId="2A19531C" w14:textId="00F2A973" w:rsidR="00CE0B86" w:rsidRPr="00B91BAA" w:rsidRDefault="00CE0B86" w:rsidP="00CE0B86">
            <w:pPr>
              <w:pStyle w:val="H2Bullet0"/>
              <w:numPr>
                <w:ilvl w:val="0"/>
                <w:numId w:val="0"/>
              </w:numPr>
              <w:rPr>
                <w:lang w:val="en-GB"/>
              </w:rPr>
            </w:pPr>
            <w:r w:rsidRPr="00722485">
              <w:t>Inception Report.</w:t>
            </w:r>
          </w:p>
        </w:tc>
      </w:tr>
      <w:tr w:rsidR="00CE0B86" w14:paraId="5EFC6909" w14:textId="77777777" w:rsidTr="00AE0ABE">
        <w:tc>
          <w:tcPr>
            <w:tcW w:w="0" w:type="auto"/>
          </w:tcPr>
          <w:p w14:paraId="482A44DF" w14:textId="6029D0E6" w:rsidR="00CE0B86" w:rsidRPr="007F5320" w:rsidRDefault="00CE0B86" w:rsidP="00CE0B86">
            <w:pPr>
              <w:pStyle w:val="H2Bullet0"/>
              <w:numPr>
                <w:ilvl w:val="0"/>
                <w:numId w:val="0"/>
              </w:numPr>
              <w:rPr>
                <w:lang w:val="en-GB"/>
              </w:rPr>
            </w:pPr>
            <w:r w:rsidRPr="00722485">
              <w:t>Institutional Interface</w:t>
            </w:r>
          </w:p>
        </w:tc>
        <w:tc>
          <w:tcPr>
            <w:tcW w:w="0" w:type="auto"/>
          </w:tcPr>
          <w:p w14:paraId="18A0F40F" w14:textId="15D57665" w:rsidR="00CE0B86" w:rsidRPr="00336097" w:rsidRDefault="00CE0B86" w:rsidP="00CE0B86">
            <w:pPr>
              <w:pStyle w:val="H2Bullet0"/>
              <w:numPr>
                <w:ilvl w:val="0"/>
                <w:numId w:val="0"/>
              </w:numPr>
              <w:rPr>
                <w:lang w:val="en-GB"/>
              </w:rPr>
            </w:pPr>
            <w:r w:rsidRPr="00722485">
              <w:t>CDMU, Federal Ministry of Power, Federal Ministry of Finance, GEAPP.</w:t>
            </w:r>
          </w:p>
        </w:tc>
      </w:tr>
    </w:tbl>
    <w:p w14:paraId="2A0376D0" w14:textId="06546F46" w:rsidR="00E6150E" w:rsidRDefault="00E6150E" w:rsidP="00E6150E">
      <w:pPr>
        <w:pStyle w:val="Heading2"/>
      </w:pPr>
      <w:bookmarkStart w:id="28" w:name="_Toc227601147"/>
      <w:r w:rsidRPr="00E6150E">
        <w:t xml:space="preserve">Workstream 2: Data </w:t>
      </w:r>
      <w:r w:rsidR="00890E0B">
        <w:t>Requirement Definition and KPI Structuring</w:t>
      </w:r>
      <w:bookmarkEnd w:id="28"/>
    </w:p>
    <w:tbl>
      <w:tblPr>
        <w:tblStyle w:val="TableGrid"/>
        <w:tblW w:w="0" w:type="auto"/>
        <w:tblInd w:w="1134" w:type="dxa"/>
        <w:tblLook w:val="04A0" w:firstRow="1" w:lastRow="0" w:firstColumn="1" w:lastColumn="0" w:noHBand="0" w:noVBand="1"/>
      </w:tblPr>
      <w:tblGrid>
        <w:gridCol w:w="1149"/>
        <w:gridCol w:w="6215"/>
      </w:tblGrid>
      <w:tr w:rsidR="00C025AB" w14:paraId="06113014" w14:textId="77777777" w:rsidTr="00AE0ABE">
        <w:trPr>
          <w:cnfStyle w:val="100000000000" w:firstRow="1" w:lastRow="0" w:firstColumn="0" w:lastColumn="0" w:oddVBand="0" w:evenVBand="0" w:oddHBand="0" w:evenHBand="0" w:firstRowFirstColumn="0" w:firstRowLastColumn="0" w:lastRowFirstColumn="0" w:lastRowLastColumn="0"/>
        </w:trPr>
        <w:tc>
          <w:tcPr>
            <w:tcW w:w="0" w:type="auto"/>
          </w:tcPr>
          <w:p w14:paraId="1D3B7CED" w14:textId="77777777" w:rsidR="00E6150E" w:rsidRPr="00DC7F87" w:rsidRDefault="00E6150E" w:rsidP="00AE0ABE">
            <w:pPr>
              <w:pStyle w:val="H2Bullet0"/>
              <w:numPr>
                <w:ilvl w:val="0"/>
                <w:numId w:val="0"/>
              </w:numPr>
              <w:rPr>
                <w:lang w:val="en-GB"/>
              </w:rPr>
            </w:pPr>
            <w:r>
              <w:rPr>
                <w:lang w:val="en-GB"/>
              </w:rPr>
              <w:t>Component</w:t>
            </w:r>
          </w:p>
        </w:tc>
        <w:tc>
          <w:tcPr>
            <w:tcW w:w="0" w:type="auto"/>
          </w:tcPr>
          <w:p w14:paraId="0E344394" w14:textId="77777777" w:rsidR="00E6150E" w:rsidRPr="00DC7F87" w:rsidRDefault="00E6150E" w:rsidP="00AE0ABE">
            <w:pPr>
              <w:pStyle w:val="H2Bullet0"/>
              <w:numPr>
                <w:ilvl w:val="0"/>
                <w:numId w:val="0"/>
              </w:numPr>
              <w:rPr>
                <w:lang w:val="en-GB"/>
              </w:rPr>
            </w:pPr>
            <w:r>
              <w:rPr>
                <w:lang w:val="en-GB"/>
              </w:rPr>
              <w:t>Description</w:t>
            </w:r>
          </w:p>
        </w:tc>
      </w:tr>
      <w:tr w:rsidR="00127862" w14:paraId="440F9EB6" w14:textId="77777777" w:rsidTr="00AE0ABE">
        <w:tc>
          <w:tcPr>
            <w:tcW w:w="0" w:type="auto"/>
          </w:tcPr>
          <w:p w14:paraId="5C6E224A" w14:textId="0092984C" w:rsidR="00127862" w:rsidRPr="00B91BAA" w:rsidRDefault="00127862" w:rsidP="00127862">
            <w:pPr>
              <w:pStyle w:val="H2Bullet0"/>
              <w:numPr>
                <w:ilvl w:val="0"/>
                <w:numId w:val="0"/>
              </w:numPr>
              <w:rPr>
                <w:lang w:val="en-GB"/>
              </w:rPr>
            </w:pPr>
            <w:r w:rsidRPr="00565063">
              <w:t>Objective</w:t>
            </w:r>
          </w:p>
        </w:tc>
        <w:tc>
          <w:tcPr>
            <w:tcW w:w="0" w:type="auto"/>
          </w:tcPr>
          <w:p w14:paraId="0826657A" w14:textId="6A20AEE5" w:rsidR="00127862" w:rsidRPr="00B91BAA" w:rsidRDefault="00127862" w:rsidP="00127862">
            <w:pPr>
              <w:pStyle w:val="H2Bullet0"/>
              <w:numPr>
                <w:ilvl w:val="0"/>
                <w:numId w:val="0"/>
              </w:numPr>
              <w:rPr>
                <w:lang w:val="en-GB"/>
              </w:rPr>
            </w:pPr>
            <w:r w:rsidRPr="00565063">
              <w:t xml:space="preserve">Define the datasets and </w:t>
            </w:r>
            <w:r w:rsidR="0015186B">
              <w:t xml:space="preserve">associated </w:t>
            </w:r>
            <w:r w:rsidRPr="00565063">
              <w:t>indicators required to monitor Mission 300 implementation across the five pillars of the Nigeria National Energy Compact.</w:t>
            </w:r>
          </w:p>
        </w:tc>
      </w:tr>
      <w:tr w:rsidR="00127862" w14:paraId="79941576" w14:textId="77777777" w:rsidTr="00AE0ABE">
        <w:tc>
          <w:tcPr>
            <w:tcW w:w="0" w:type="auto"/>
          </w:tcPr>
          <w:p w14:paraId="26487819" w14:textId="62CD05D5" w:rsidR="00127862" w:rsidRPr="00B91BAA" w:rsidRDefault="00127862" w:rsidP="00127862">
            <w:pPr>
              <w:pStyle w:val="H2Bullet0"/>
              <w:numPr>
                <w:ilvl w:val="0"/>
                <w:numId w:val="0"/>
              </w:numPr>
              <w:rPr>
                <w:lang w:val="en-GB"/>
              </w:rPr>
            </w:pPr>
            <w:r w:rsidRPr="00565063">
              <w:t>Key Activities</w:t>
            </w:r>
          </w:p>
        </w:tc>
        <w:tc>
          <w:tcPr>
            <w:tcW w:w="0" w:type="auto"/>
          </w:tcPr>
          <w:p w14:paraId="4534119A" w14:textId="4B65E6D3" w:rsidR="00127862" w:rsidRPr="00B91BAA" w:rsidRDefault="00127862" w:rsidP="00127862">
            <w:pPr>
              <w:pStyle w:val="H2Bullet0"/>
              <w:numPr>
                <w:ilvl w:val="0"/>
                <w:numId w:val="0"/>
              </w:numPr>
              <w:rPr>
                <w:lang w:val="en-GB"/>
              </w:rPr>
            </w:pPr>
            <w:r w:rsidRPr="00565063">
              <w:t>Translate Compact objectives into measurable indicators. Define technical indicator definitions and calculation logic. Establish appropriate levels of disaggregation for reporting. Determine reporting frequency for each dataset. Structure the monitoring framework that will underpin the dashboard architecture.</w:t>
            </w:r>
          </w:p>
        </w:tc>
      </w:tr>
      <w:tr w:rsidR="00127862" w14:paraId="00826B01" w14:textId="77777777" w:rsidTr="00AE0ABE">
        <w:tc>
          <w:tcPr>
            <w:tcW w:w="0" w:type="auto"/>
          </w:tcPr>
          <w:p w14:paraId="41084BE0" w14:textId="1C14DF61" w:rsidR="00127862" w:rsidRPr="00B91BAA" w:rsidRDefault="00127862" w:rsidP="00127862">
            <w:pPr>
              <w:pStyle w:val="H2Bullet0"/>
              <w:numPr>
                <w:ilvl w:val="0"/>
                <w:numId w:val="0"/>
              </w:numPr>
              <w:rPr>
                <w:lang w:val="en-GB"/>
              </w:rPr>
            </w:pPr>
            <w:r w:rsidRPr="00565063">
              <w:t>Outputs</w:t>
            </w:r>
          </w:p>
        </w:tc>
        <w:tc>
          <w:tcPr>
            <w:tcW w:w="0" w:type="auto"/>
          </w:tcPr>
          <w:p w14:paraId="76539B86" w14:textId="5687CF4E" w:rsidR="00127862" w:rsidRPr="00B91BAA" w:rsidRDefault="00127862" w:rsidP="00127862">
            <w:pPr>
              <w:pStyle w:val="H2Bullet0"/>
              <w:numPr>
                <w:ilvl w:val="0"/>
                <w:numId w:val="0"/>
              </w:numPr>
              <w:rPr>
                <w:lang w:val="en-GB"/>
              </w:rPr>
            </w:pPr>
            <w:r w:rsidRPr="00565063">
              <w:t>Data Requirement Report.</w:t>
            </w:r>
          </w:p>
        </w:tc>
      </w:tr>
      <w:tr w:rsidR="00127862" w14:paraId="37E66190" w14:textId="77777777" w:rsidTr="00AE0ABE">
        <w:tc>
          <w:tcPr>
            <w:tcW w:w="0" w:type="auto"/>
          </w:tcPr>
          <w:p w14:paraId="264FBAA4" w14:textId="3DDFAE28" w:rsidR="00127862" w:rsidRPr="007F5320" w:rsidRDefault="00127862" w:rsidP="00127862">
            <w:pPr>
              <w:pStyle w:val="H2Bullet0"/>
              <w:numPr>
                <w:ilvl w:val="0"/>
                <w:numId w:val="0"/>
              </w:numPr>
              <w:rPr>
                <w:lang w:val="en-GB"/>
              </w:rPr>
            </w:pPr>
            <w:r w:rsidRPr="00565063">
              <w:t>Institutional Interface</w:t>
            </w:r>
          </w:p>
        </w:tc>
        <w:tc>
          <w:tcPr>
            <w:tcW w:w="0" w:type="auto"/>
          </w:tcPr>
          <w:p w14:paraId="5BB7DEAC" w14:textId="46E56683" w:rsidR="00127862" w:rsidRPr="00336097" w:rsidRDefault="00127862" w:rsidP="00127862">
            <w:pPr>
              <w:pStyle w:val="H2Bullet0"/>
              <w:numPr>
                <w:ilvl w:val="0"/>
                <w:numId w:val="0"/>
              </w:numPr>
              <w:rPr>
                <w:lang w:val="en-GB"/>
              </w:rPr>
            </w:pPr>
            <w:r w:rsidRPr="00565063">
              <w:t>CDMU, Federal Ministry of Power, Federal Ministry of Finance, GEAPP.</w:t>
            </w:r>
          </w:p>
        </w:tc>
      </w:tr>
    </w:tbl>
    <w:p w14:paraId="76BBC9D9" w14:textId="6DD730E8" w:rsidR="00E6150E" w:rsidRPr="00E6150E" w:rsidRDefault="00583AB2" w:rsidP="00D326C5">
      <w:pPr>
        <w:pStyle w:val="Heading2"/>
      </w:pPr>
      <w:bookmarkStart w:id="29" w:name="_Toc227601148"/>
      <w:r>
        <w:t>Workstream 3:</w:t>
      </w:r>
      <w:r w:rsidR="00795FF1">
        <w:t xml:space="preserve"> </w:t>
      </w:r>
      <w:r w:rsidR="000171D4" w:rsidRPr="000171D4">
        <w:t>Data Source Mapping and Stakeholder Engagement</w:t>
      </w:r>
      <w:bookmarkEnd w:id="29"/>
    </w:p>
    <w:tbl>
      <w:tblPr>
        <w:tblStyle w:val="TableGrid"/>
        <w:tblW w:w="0" w:type="auto"/>
        <w:tblInd w:w="1134" w:type="dxa"/>
        <w:tblLook w:val="04A0" w:firstRow="1" w:lastRow="0" w:firstColumn="1" w:lastColumn="0" w:noHBand="0" w:noVBand="1"/>
      </w:tblPr>
      <w:tblGrid>
        <w:gridCol w:w="1118"/>
        <w:gridCol w:w="6246"/>
      </w:tblGrid>
      <w:tr w:rsidR="00971FC7" w14:paraId="2BFF5269" w14:textId="77777777" w:rsidTr="00AE0ABE">
        <w:trPr>
          <w:cnfStyle w:val="100000000000" w:firstRow="1" w:lastRow="0" w:firstColumn="0" w:lastColumn="0" w:oddVBand="0" w:evenVBand="0" w:oddHBand="0" w:evenHBand="0" w:firstRowFirstColumn="0" w:firstRowLastColumn="0" w:lastRowFirstColumn="0" w:lastRowLastColumn="0"/>
        </w:trPr>
        <w:tc>
          <w:tcPr>
            <w:tcW w:w="0" w:type="auto"/>
          </w:tcPr>
          <w:p w14:paraId="55AD73E8" w14:textId="77777777" w:rsidR="00D326C5" w:rsidRPr="00DC7F87" w:rsidRDefault="00D326C5" w:rsidP="00AE0ABE">
            <w:pPr>
              <w:pStyle w:val="H2Bullet0"/>
              <w:numPr>
                <w:ilvl w:val="0"/>
                <w:numId w:val="0"/>
              </w:numPr>
              <w:rPr>
                <w:lang w:val="en-GB"/>
              </w:rPr>
            </w:pPr>
            <w:r>
              <w:rPr>
                <w:lang w:val="en-GB"/>
              </w:rPr>
              <w:t>Component</w:t>
            </w:r>
          </w:p>
        </w:tc>
        <w:tc>
          <w:tcPr>
            <w:tcW w:w="0" w:type="auto"/>
          </w:tcPr>
          <w:p w14:paraId="7A445F0C" w14:textId="77777777" w:rsidR="00D326C5" w:rsidRPr="00DC7F87" w:rsidRDefault="00D326C5" w:rsidP="00AE0ABE">
            <w:pPr>
              <w:pStyle w:val="H2Bullet0"/>
              <w:numPr>
                <w:ilvl w:val="0"/>
                <w:numId w:val="0"/>
              </w:numPr>
              <w:rPr>
                <w:lang w:val="en-GB"/>
              </w:rPr>
            </w:pPr>
            <w:r>
              <w:rPr>
                <w:lang w:val="en-GB"/>
              </w:rPr>
              <w:t>Description</w:t>
            </w:r>
          </w:p>
        </w:tc>
      </w:tr>
      <w:tr w:rsidR="001F7C7C" w14:paraId="679C9B02" w14:textId="77777777" w:rsidTr="00AE0ABE">
        <w:tc>
          <w:tcPr>
            <w:tcW w:w="0" w:type="auto"/>
          </w:tcPr>
          <w:p w14:paraId="7D095424" w14:textId="25441D10" w:rsidR="001F7C7C" w:rsidRPr="00B91BAA" w:rsidRDefault="001F7C7C" w:rsidP="001F7C7C">
            <w:pPr>
              <w:pStyle w:val="H2Bullet0"/>
              <w:numPr>
                <w:ilvl w:val="0"/>
                <w:numId w:val="0"/>
              </w:numPr>
              <w:rPr>
                <w:lang w:val="en-GB"/>
              </w:rPr>
            </w:pPr>
            <w:r w:rsidRPr="000136C2">
              <w:lastRenderedPageBreak/>
              <w:t>Objective</w:t>
            </w:r>
          </w:p>
        </w:tc>
        <w:tc>
          <w:tcPr>
            <w:tcW w:w="0" w:type="auto"/>
          </w:tcPr>
          <w:p w14:paraId="69EDECA6" w14:textId="5EAEC5B7" w:rsidR="001F7C7C" w:rsidRPr="00B91BAA" w:rsidRDefault="001F7C7C" w:rsidP="001F7C7C">
            <w:pPr>
              <w:pStyle w:val="H2Bullet0"/>
              <w:numPr>
                <w:ilvl w:val="0"/>
                <w:numId w:val="0"/>
              </w:numPr>
              <w:rPr>
                <w:lang w:val="en-GB"/>
              </w:rPr>
            </w:pPr>
            <w:r w:rsidRPr="000136C2">
              <w:t>Identify and map the institutional sources from which monitoring data will be obtained and establish structured data acquisition pathways.</w:t>
            </w:r>
          </w:p>
        </w:tc>
      </w:tr>
      <w:tr w:rsidR="001F7C7C" w14:paraId="0BB1962A" w14:textId="77777777" w:rsidTr="00AE0ABE">
        <w:tc>
          <w:tcPr>
            <w:tcW w:w="0" w:type="auto"/>
          </w:tcPr>
          <w:p w14:paraId="7DF37B7B" w14:textId="4CF91443" w:rsidR="001F7C7C" w:rsidRPr="00B91BAA" w:rsidRDefault="001F7C7C" w:rsidP="001F7C7C">
            <w:pPr>
              <w:pStyle w:val="H2Bullet0"/>
              <w:numPr>
                <w:ilvl w:val="0"/>
                <w:numId w:val="0"/>
              </w:numPr>
              <w:rPr>
                <w:lang w:val="en-GB"/>
              </w:rPr>
            </w:pPr>
            <w:r w:rsidRPr="000136C2">
              <w:t>Key Activities</w:t>
            </w:r>
          </w:p>
        </w:tc>
        <w:tc>
          <w:tcPr>
            <w:tcW w:w="0" w:type="auto"/>
          </w:tcPr>
          <w:p w14:paraId="00D52323" w14:textId="1882B386" w:rsidR="001F7C7C" w:rsidRPr="00B91BAA" w:rsidRDefault="001F7C7C" w:rsidP="001F7C7C">
            <w:pPr>
              <w:pStyle w:val="H2Bullet0"/>
              <w:numPr>
                <w:ilvl w:val="0"/>
                <w:numId w:val="0"/>
              </w:numPr>
              <w:rPr>
                <w:lang w:val="en-GB"/>
              </w:rPr>
            </w:pPr>
            <w:r w:rsidRPr="000136C2">
              <w:t>Map data sources across ministries, regulatory agencies, utilities, project developers, development partners, and other stakeholders. Assess data availability, reporting frequency, format consistency, ownership, and access pathways for each source. Identify potential gaps, overlaps, and risks affecting data quality and completeness. Define appropriate data submission pathways based on the capacity of each reporting institution.</w:t>
            </w:r>
          </w:p>
        </w:tc>
      </w:tr>
      <w:tr w:rsidR="001F7C7C" w14:paraId="58387A3D" w14:textId="77777777" w:rsidTr="00AE0ABE">
        <w:tc>
          <w:tcPr>
            <w:tcW w:w="0" w:type="auto"/>
          </w:tcPr>
          <w:p w14:paraId="36DA6F53" w14:textId="1D3D4589" w:rsidR="001F7C7C" w:rsidRPr="00B91BAA" w:rsidRDefault="001F7C7C" w:rsidP="001F7C7C">
            <w:pPr>
              <w:pStyle w:val="H2Bullet0"/>
              <w:numPr>
                <w:ilvl w:val="0"/>
                <w:numId w:val="0"/>
              </w:numPr>
              <w:rPr>
                <w:lang w:val="en-GB"/>
              </w:rPr>
            </w:pPr>
            <w:r w:rsidRPr="000136C2">
              <w:t>Outputs</w:t>
            </w:r>
          </w:p>
        </w:tc>
        <w:tc>
          <w:tcPr>
            <w:tcW w:w="0" w:type="auto"/>
          </w:tcPr>
          <w:p w14:paraId="74ED8C9E" w14:textId="1083E3BC" w:rsidR="001F7C7C" w:rsidRPr="00B91BAA" w:rsidRDefault="001F7C7C" w:rsidP="001F7C7C">
            <w:pPr>
              <w:pStyle w:val="H2Bullet0"/>
              <w:numPr>
                <w:ilvl w:val="0"/>
                <w:numId w:val="0"/>
              </w:numPr>
              <w:rPr>
                <w:lang w:val="en-GB"/>
              </w:rPr>
            </w:pPr>
            <w:r w:rsidRPr="000136C2">
              <w:t>Draft Data Source and Collection Strategy Report.</w:t>
            </w:r>
          </w:p>
        </w:tc>
      </w:tr>
      <w:tr w:rsidR="001F7C7C" w14:paraId="1526D5D3" w14:textId="77777777" w:rsidTr="00AE0ABE">
        <w:tc>
          <w:tcPr>
            <w:tcW w:w="0" w:type="auto"/>
          </w:tcPr>
          <w:p w14:paraId="09B66548" w14:textId="3EE568B8" w:rsidR="001F7C7C" w:rsidRPr="007F5320" w:rsidRDefault="001F7C7C" w:rsidP="001F7C7C">
            <w:pPr>
              <w:pStyle w:val="H2Bullet0"/>
              <w:numPr>
                <w:ilvl w:val="0"/>
                <w:numId w:val="0"/>
              </w:numPr>
              <w:rPr>
                <w:lang w:val="en-GB"/>
              </w:rPr>
            </w:pPr>
            <w:r w:rsidRPr="000136C2">
              <w:t>Institutional Interface</w:t>
            </w:r>
          </w:p>
        </w:tc>
        <w:tc>
          <w:tcPr>
            <w:tcW w:w="0" w:type="auto"/>
          </w:tcPr>
          <w:p w14:paraId="35583CF2" w14:textId="52855B12" w:rsidR="001F7C7C" w:rsidRPr="00336097" w:rsidRDefault="001F7C7C" w:rsidP="001F7C7C">
            <w:pPr>
              <w:pStyle w:val="H2Bullet0"/>
              <w:numPr>
                <w:ilvl w:val="0"/>
                <w:numId w:val="0"/>
              </w:numPr>
              <w:rPr>
                <w:lang w:val="en-GB"/>
              </w:rPr>
            </w:pPr>
            <w:r w:rsidRPr="000136C2">
              <w:t>CDMU, GEAPP, relevant MDAs, utilities, development partners, and project implementers.</w:t>
            </w:r>
          </w:p>
        </w:tc>
      </w:tr>
    </w:tbl>
    <w:p w14:paraId="5E4EAE82" w14:textId="671D5384" w:rsidR="00E6150E" w:rsidRDefault="00795FF1" w:rsidP="00D326C5">
      <w:pPr>
        <w:pStyle w:val="Heading2"/>
      </w:pPr>
      <w:bookmarkStart w:id="30" w:name="_Toc227601149"/>
      <w:r>
        <w:t xml:space="preserve">Workstream 4: </w:t>
      </w:r>
      <w:r w:rsidR="00D326C5" w:rsidRPr="00D326C5">
        <w:t>Project Assessment and Performance Tracking</w:t>
      </w:r>
      <w:bookmarkEnd w:id="30"/>
    </w:p>
    <w:tbl>
      <w:tblPr>
        <w:tblStyle w:val="TableGrid"/>
        <w:tblW w:w="0" w:type="auto"/>
        <w:tblInd w:w="1134" w:type="dxa"/>
        <w:tblLook w:val="04A0" w:firstRow="1" w:lastRow="0" w:firstColumn="1" w:lastColumn="0" w:noHBand="0" w:noVBand="1"/>
      </w:tblPr>
      <w:tblGrid>
        <w:gridCol w:w="1115"/>
        <w:gridCol w:w="6249"/>
      </w:tblGrid>
      <w:tr w:rsidR="004A5E0F" w14:paraId="61EDE201" w14:textId="77777777" w:rsidTr="00AE0ABE">
        <w:trPr>
          <w:cnfStyle w:val="100000000000" w:firstRow="1" w:lastRow="0" w:firstColumn="0" w:lastColumn="0" w:oddVBand="0" w:evenVBand="0" w:oddHBand="0" w:evenHBand="0" w:firstRowFirstColumn="0" w:firstRowLastColumn="0" w:lastRowFirstColumn="0" w:lastRowLastColumn="0"/>
        </w:trPr>
        <w:tc>
          <w:tcPr>
            <w:tcW w:w="0" w:type="auto"/>
          </w:tcPr>
          <w:p w14:paraId="795B1125" w14:textId="77777777" w:rsidR="00D326C5" w:rsidRPr="00DC7F87" w:rsidRDefault="00D326C5" w:rsidP="00AE0ABE">
            <w:pPr>
              <w:pStyle w:val="H2Bullet0"/>
              <w:numPr>
                <w:ilvl w:val="0"/>
                <w:numId w:val="0"/>
              </w:numPr>
              <w:rPr>
                <w:lang w:val="en-GB"/>
              </w:rPr>
            </w:pPr>
            <w:r>
              <w:rPr>
                <w:lang w:val="en-GB"/>
              </w:rPr>
              <w:t>Component</w:t>
            </w:r>
          </w:p>
        </w:tc>
        <w:tc>
          <w:tcPr>
            <w:tcW w:w="0" w:type="auto"/>
          </w:tcPr>
          <w:p w14:paraId="35ADA709" w14:textId="77777777" w:rsidR="00D326C5" w:rsidRPr="00DC7F87" w:rsidRDefault="00D326C5" w:rsidP="00AE0ABE">
            <w:pPr>
              <w:pStyle w:val="H2Bullet0"/>
              <w:numPr>
                <w:ilvl w:val="0"/>
                <w:numId w:val="0"/>
              </w:numPr>
              <w:rPr>
                <w:lang w:val="en-GB"/>
              </w:rPr>
            </w:pPr>
            <w:r>
              <w:rPr>
                <w:lang w:val="en-GB"/>
              </w:rPr>
              <w:t>Description</w:t>
            </w:r>
          </w:p>
        </w:tc>
      </w:tr>
      <w:tr w:rsidR="009E53EE" w14:paraId="21ECBCC5" w14:textId="77777777" w:rsidTr="00AE0ABE">
        <w:tc>
          <w:tcPr>
            <w:tcW w:w="0" w:type="auto"/>
          </w:tcPr>
          <w:p w14:paraId="7E04231E" w14:textId="44E4D8EE" w:rsidR="009E53EE" w:rsidRPr="00B91BAA" w:rsidRDefault="009E53EE" w:rsidP="009E53EE">
            <w:pPr>
              <w:pStyle w:val="H2Bullet0"/>
              <w:numPr>
                <w:ilvl w:val="0"/>
                <w:numId w:val="0"/>
              </w:numPr>
              <w:rPr>
                <w:lang w:val="en-GB"/>
              </w:rPr>
            </w:pPr>
            <w:r w:rsidRPr="00E15551">
              <w:t>Objective</w:t>
            </w:r>
          </w:p>
        </w:tc>
        <w:tc>
          <w:tcPr>
            <w:tcW w:w="0" w:type="auto"/>
          </w:tcPr>
          <w:p w14:paraId="7FC41F2B" w14:textId="64F40AEF" w:rsidR="009E53EE" w:rsidRPr="00B91BAA" w:rsidRDefault="009E53EE" w:rsidP="009E53EE">
            <w:pPr>
              <w:pStyle w:val="H2Bullet0"/>
              <w:numPr>
                <w:ilvl w:val="0"/>
                <w:numId w:val="0"/>
              </w:numPr>
              <w:rPr>
                <w:lang w:val="en-GB"/>
              </w:rPr>
            </w:pPr>
            <w:r w:rsidRPr="00E15551">
              <w:t>Establish a structured basis for tracking Mission 300 implementation activities and identifying delivery constraints across relevant projects and programs.</w:t>
            </w:r>
          </w:p>
        </w:tc>
      </w:tr>
      <w:tr w:rsidR="009E53EE" w14:paraId="26DA3B1B" w14:textId="77777777" w:rsidTr="00AE0ABE">
        <w:tc>
          <w:tcPr>
            <w:tcW w:w="0" w:type="auto"/>
          </w:tcPr>
          <w:p w14:paraId="121286B2" w14:textId="1ADCDE1F" w:rsidR="009E53EE" w:rsidRPr="00B91BAA" w:rsidRDefault="009E53EE" w:rsidP="009E53EE">
            <w:pPr>
              <w:pStyle w:val="H2Bullet0"/>
              <w:numPr>
                <w:ilvl w:val="0"/>
                <w:numId w:val="0"/>
              </w:numPr>
              <w:rPr>
                <w:lang w:val="en-GB"/>
              </w:rPr>
            </w:pPr>
            <w:r w:rsidRPr="00E15551">
              <w:t>Key Activities</w:t>
            </w:r>
          </w:p>
        </w:tc>
        <w:tc>
          <w:tcPr>
            <w:tcW w:w="0" w:type="auto"/>
          </w:tcPr>
          <w:p w14:paraId="6BC605D2" w14:textId="4E4C2505" w:rsidR="009E53EE" w:rsidRPr="00B91BAA" w:rsidRDefault="009E53EE" w:rsidP="009E53EE">
            <w:pPr>
              <w:pStyle w:val="H2Bullet0"/>
              <w:numPr>
                <w:ilvl w:val="0"/>
                <w:numId w:val="0"/>
              </w:numPr>
              <w:rPr>
                <w:lang w:val="en-GB"/>
              </w:rPr>
            </w:pPr>
            <w:r w:rsidRPr="00E15551">
              <w:t>Review and document active and proposed projects contributing to Mission 300 objectives. Develop a consolidated project template with standardized tracking fields, including location, implementing entities, timelines, and implementation stage classifications. Identify delivery bottlenecks through analysis of planned versus reported project progress. Define minimum reporting fields required for consistent project tracking.</w:t>
            </w:r>
          </w:p>
        </w:tc>
      </w:tr>
      <w:tr w:rsidR="009E53EE" w14:paraId="11BF5E06" w14:textId="77777777" w:rsidTr="00AE0ABE">
        <w:tc>
          <w:tcPr>
            <w:tcW w:w="0" w:type="auto"/>
          </w:tcPr>
          <w:p w14:paraId="1D1A515A" w14:textId="423B15E8" w:rsidR="009E53EE" w:rsidRPr="00B91BAA" w:rsidRDefault="009E53EE" w:rsidP="009E53EE">
            <w:pPr>
              <w:pStyle w:val="H2Bullet0"/>
              <w:numPr>
                <w:ilvl w:val="0"/>
                <w:numId w:val="0"/>
              </w:numPr>
              <w:rPr>
                <w:lang w:val="en-GB"/>
              </w:rPr>
            </w:pPr>
            <w:r w:rsidRPr="00E15551">
              <w:t>Outputs</w:t>
            </w:r>
          </w:p>
        </w:tc>
        <w:tc>
          <w:tcPr>
            <w:tcW w:w="0" w:type="auto"/>
          </w:tcPr>
          <w:p w14:paraId="15AFBBAB" w14:textId="557FE7E6" w:rsidR="009E53EE" w:rsidRPr="00B91BAA" w:rsidRDefault="009E53EE" w:rsidP="009E53EE">
            <w:pPr>
              <w:pStyle w:val="H2Bullet0"/>
              <w:numPr>
                <w:ilvl w:val="0"/>
                <w:numId w:val="0"/>
              </w:numPr>
              <w:rPr>
                <w:lang w:val="en-GB"/>
              </w:rPr>
            </w:pPr>
            <w:r w:rsidRPr="00E15551">
              <w:t>Mission 300 Project Register and summary of implementation bottlenecks integrated into the Data Source and Collection Strategy Report.</w:t>
            </w:r>
          </w:p>
        </w:tc>
      </w:tr>
      <w:tr w:rsidR="009E53EE" w14:paraId="6226BAE0" w14:textId="77777777" w:rsidTr="00AE0ABE">
        <w:tc>
          <w:tcPr>
            <w:tcW w:w="0" w:type="auto"/>
          </w:tcPr>
          <w:p w14:paraId="7586C9EB" w14:textId="6CB3990C" w:rsidR="009E53EE" w:rsidRPr="007F5320" w:rsidRDefault="009E53EE" w:rsidP="009E53EE">
            <w:pPr>
              <w:pStyle w:val="H2Bullet0"/>
              <w:numPr>
                <w:ilvl w:val="0"/>
                <w:numId w:val="0"/>
              </w:numPr>
              <w:rPr>
                <w:lang w:val="en-GB"/>
              </w:rPr>
            </w:pPr>
            <w:r w:rsidRPr="00E15551">
              <w:t>Institutional Interface</w:t>
            </w:r>
          </w:p>
        </w:tc>
        <w:tc>
          <w:tcPr>
            <w:tcW w:w="0" w:type="auto"/>
          </w:tcPr>
          <w:p w14:paraId="4EFD2FFC" w14:textId="35EB8F4A" w:rsidR="009E53EE" w:rsidRPr="00336097" w:rsidRDefault="009E53EE" w:rsidP="009E53EE">
            <w:pPr>
              <w:pStyle w:val="H2Bullet0"/>
              <w:numPr>
                <w:ilvl w:val="0"/>
                <w:numId w:val="0"/>
              </w:numPr>
              <w:rPr>
                <w:lang w:val="en-GB"/>
              </w:rPr>
            </w:pPr>
            <w:r w:rsidRPr="00E15551">
              <w:t>CDMU, Federal Ministry of Power, relevant implementing agencies, development partners, and project sponsors.</w:t>
            </w:r>
          </w:p>
        </w:tc>
      </w:tr>
    </w:tbl>
    <w:p w14:paraId="2DF3B5A9" w14:textId="4DD83344" w:rsidR="00ED7173" w:rsidRDefault="00795FF1" w:rsidP="00ED7173">
      <w:pPr>
        <w:pStyle w:val="Heading2"/>
      </w:pPr>
      <w:bookmarkStart w:id="31" w:name="_Toc227601150"/>
      <w:r>
        <w:t xml:space="preserve">Workstream 5: </w:t>
      </w:r>
      <w:r w:rsidR="007B06FA">
        <w:t>Data Ingestion Design, Validation, and Governance</w:t>
      </w:r>
      <w:bookmarkEnd w:id="31"/>
    </w:p>
    <w:tbl>
      <w:tblPr>
        <w:tblStyle w:val="TableGrid"/>
        <w:tblW w:w="0" w:type="auto"/>
        <w:tblInd w:w="1134" w:type="dxa"/>
        <w:tblLook w:val="04A0" w:firstRow="1" w:lastRow="0" w:firstColumn="1" w:lastColumn="0" w:noHBand="0" w:noVBand="1"/>
      </w:tblPr>
      <w:tblGrid>
        <w:gridCol w:w="1118"/>
        <w:gridCol w:w="6246"/>
      </w:tblGrid>
      <w:tr w:rsidR="00B93559" w14:paraId="1A50DE41" w14:textId="77777777" w:rsidTr="00AE0ABE">
        <w:trPr>
          <w:cnfStyle w:val="100000000000" w:firstRow="1" w:lastRow="0" w:firstColumn="0" w:lastColumn="0" w:oddVBand="0" w:evenVBand="0" w:oddHBand="0" w:evenHBand="0" w:firstRowFirstColumn="0" w:firstRowLastColumn="0" w:lastRowFirstColumn="0" w:lastRowLastColumn="0"/>
        </w:trPr>
        <w:tc>
          <w:tcPr>
            <w:tcW w:w="0" w:type="auto"/>
          </w:tcPr>
          <w:p w14:paraId="1E93A629" w14:textId="77777777" w:rsidR="00E311CB" w:rsidRPr="00DC7F87" w:rsidRDefault="00E311CB" w:rsidP="00AE0ABE">
            <w:pPr>
              <w:pStyle w:val="H2Bullet0"/>
              <w:numPr>
                <w:ilvl w:val="0"/>
                <w:numId w:val="0"/>
              </w:numPr>
              <w:rPr>
                <w:lang w:val="en-GB"/>
              </w:rPr>
            </w:pPr>
            <w:r>
              <w:rPr>
                <w:lang w:val="en-GB"/>
              </w:rPr>
              <w:t>Component</w:t>
            </w:r>
          </w:p>
        </w:tc>
        <w:tc>
          <w:tcPr>
            <w:tcW w:w="0" w:type="auto"/>
          </w:tcPr>
          <w:p w14:paraId="215A252C" w14:textId="77777777" w:rsidR="00E311CB" w:rsidRPr="00DC7F87" w:rsidRDefault="00E311CB" w:rsidP="00AE0ABE">
            <w:pPr>
              <w:pStyle w:val="H2Bullet0"/>
              <w:numPr>
                <w:ilvl w:val="0"/>
                <w:numId w:val="0"/>
              </w:numPr>
              <w:rPr>
                <w:lang w:val="en-GB"/>
              </w:rPr>
            </w:pPr>
            <w:r>
              <w:rPr>
                <w:lang w:val="en-GB"/>
              </w:rPr>
              <w:t>Description</w:t>
            </w:r>
          </w:p>
        </w:tc>
      </w:tr>
      <w:tr w:rsidR="00B72A40" w14:paraId="19B0655B" w14:textId="77777777" w:rsidTr="00AE0ABE">
        <w:tc>
          <w:tcPr>
            <w:tcW w:w="0" w:type="auto"/>
          </w:tcPr>
          <w:p w14:paraId="2B6B3237" w14:textId="1EFF1307" w:rsidR="00B72A40" w:rsidRPr="00B91BAA" w:rsidRDefault="00B72A40" w:rsidP="00B72A40">
            <w:pPr>
              <w:pStyle w:val="H2Bullet0"/>
              <w:numPr>
                <w:ilvl w:val="0"/>
                <w:numId w:val="0"/>
              </w:numPr>
              <w:rPr>
                <w:lang w:val="en-GB"/>
              </w:rPr>
            </w:pPr>
            <w:r w:rsidRPr="00A34A01">
              <w:t>Objective</w:t>
            </w:r>
          </w:p>
        </w:tc>
        <w:tc>
          <w:tcPr>
            <w:tcW w:w="0" w:type="auto"/>
          </w:tcPr>
          <w:p w14:paraId="4A723036" w14:textId="525708C2" w:rsidR="00B72A40" w:rsidRPr="00B91BAA" w:rsidRDefault="00B72A40" w:rsidP="00B72A40">
            <w:pPr>
              <w:pStyle w:val="H2Bullet0"/>
              <w:numPr>
                <w:ilvl w:val="0"/>
                <w:numId w:val="0"/>
              </w:numPr>
              <w:rPr>
                <w:lang w:val="en-GB"/>
              </w:rPr>
            </w:pPr>
            <w:r w:rsidRPr="00A34A01">
              <w:t>Define the structured processes through which monitoring data will move from source institutions to the dashboard environment in a controlled and repeatable manner.</w:t>
            </w:r>
          </w:p>
        </w:tc>
      </w:tr>
      <w:tr w:rsidR="00B72A40" w14:paraId="1DB1D56E" w14:textId="77777777" w:rsidTr="00AE0ABE">
        <w:tc>
          <w:tcPr>
            <w:tcW w:w="0" w:type="auto"/>
          </w:tcPr>
          <w:p w14:paraId="1F2D1074" w14:textId="11B5B7CF" w:rsidR="00B72A40" w:rsidRPr="00B91BAA" w:rsidRDefault="00B72A40" w:rsidP="00B72A40">
            <w:pPr>
              <w:pStyle w:val="H2Bullet0"/>
              <w:numPr>
                <w:ilvl w:val="0"/>
                <w:numId w:val="0"/>
              </w:numPr>
              <w:rPr>
                <w:lang w:val="en-GB"/>
              </w:rPr>
            </w:pPr>
            <w:r w:rsidRPr="00A34A01">
              <w:t>Key Activities</w:t>
            </w:r>
          </w:p>
        </w:tc>
        <w:tc>
          <w:tcPr>
            <w:tcW w:w="0" w:type="auto"/>
          </w:tcPr>
          <w:p w14:paraId="1EDCF50E" w14:textId="0FA1CB37" w:rsidR="00B72A40" w:rsidRPr="00B91BAA" w:rsidRDefault="00B72A40" w:rsidP="00B72A40">
            <w:pPr>
              <w:pStyle w:val="H2Bullet0"/>
              <w:numPr>
                <w:ilvl w:val="0"/>
                <w:numId w:val="0"/>
              </w:numPr>
              <w:rPr>
                <w:lang w:val="en-GB"/>
              </w:rPr>
            </w:pPr>
            <w:r w:rsidRPr="00A34A01">
              <w:t>Design data ingestion workflows consistent with GEAPP’s platform architecture. Define validation rules, consistency checks, and exception handling procedures. Develop standardized data submission templates to facilitate reporting. Establish review and approval workflows to support traceability and accountability. Define governance roles and escalation pathways for unresolved data quality issues or delayed submissions.</w:t>
            </w:r>
          </w:p>
        </w:tc>
      </w:tr>
      <w:tr w:rsidR="00B72A40" w14:paraId="5B3BA4B4" w14:textId="77777777" w:rsidTr="00AE0ABE">
        <w:tc>
          <w:tcPr>
            <w:tcW w:w="0" w:type="auto"/>
          </w:tcPr>
          <w:p w14:paraId="4A55B168" w14:textId="39C39D0F" w:rsidR="00B72A40" w:rsidRPr="00B91BAA" w:rsidRDefault="00B72A40" w:rsidP="00B72A40">
            <w:pPr>
              <w:pStyle w:val="H2Bullet0"/>
              <w:numPr>
                <w:ilvl w:val="0"/>
                <w:numId w:val="0"/>
              </w:numPr>
              <w:rPr>
                <w:lang w:val="en-GB"/>
              </w:rPr>
            </w:pPr>
            <w:r w:rsidRPr="00A34A01">
              <w:t>Outputs</w:t>
            </w:r>
          </w:p>
        </w:tc>
        <w:tc>
          <w:tcPr>
            <w:tcW w:w="0" w:type="auto"/>
          </w:tcPr>
          <w:p w14:paraId="5483B174" w14:textId="5FEC179F" w:rsidR="00B72A40" w:rsidRPr="00B91BAA" w:rsidRDefault="00680E9D" w:rsidP="00B72A40">
            <w:pPr>
              <w:pStyle w:val="H2Bullet0"/>
              <w:numPr>
                <w:ilvl w:val="0"/>
                <w:numId w:val="0"/>
              </w:numPr>
              <w:rPr>
                <w:lang w:val="en-GB"/>
              </w:rPr>
            </w:pPr>
            <w:r w:rsidRPr="00680E9D">
              <w:rPr>
                <w:lang w:val="en-GB"/>
              </w:rPr>
              <w:t xml:space="preserve">Final Data Source and Collection Strategy Report (building on the draft developed under Workstream 3), incorporating data submission templates, </w:t>
            </w:r>
            <w:r w:rsidRPr="00680E9D">
              <w:rPr>
                <w:lang w:val="en-GB"/>
              </w:rPr>
              <w:lastRenderedPageBreak/>
              <w:t>validation protocols, exception handling procedures, and governance arrangements.</w:t>
            </w:r>
          </w:p>
        </w:tc>
      </w:tr>
      <w:tr w:rsidR="00B72A40" w14:paraId="1087EB87" w14:textId="77777777" w:rsidTr="00AE0ABE">
        <w:tc>
          <w:tcPr>
            <w:tcW w:w="0" w:type="auto"/>
          </w:tcPr>
          <w:p w14:paraId="1A2A6702" w14:textId="4C0214FB" w:rsidR="00B72A40" w:rsidRPr="007F5320" w:rsidRDefault="00B72A40" w:rsidP="00B72A40">
            <w:pPr>
              <w:pStyle w:val="H2Bullet0"/>
              <w:numPr>
                <w:ilvl w:val="0"/>
                <w:numId w:val="0"/>
              </w:numPr>
              <w:rPr>
                <w:lang w:val="en-GB"/>
              </w:rPr>
            </w:pPr>
            <w:r w:rsidRPr="00A34A01">
              <w:lastRenderedPageBreak/>
              <w:t>Institutional Interface</w:t>
            </w:r>
          </w:p>
        </w:tc>
        <w:tc>
          <w:tcPr>
            <w:tcW w:w="0" w:type="auto"/>
          </w:tcPr>
          <w:p w14:paraId="67BE747E" w14:textId="1CC3233C" w:rsidR="00B72A40" w:rsidRPr="00336097" w:rsidRDefault="00B72A40" w:rsidP="00B72A40">
            <w:pPr>
              <w:pStyle w:val="H2Bullet0"/>
              <w:numPr>
                <w:ilvl w:val="0"/>
                <w:numId w:val="0"/>
              </w:numPr>
              <w:rPr>
                <w:lang w:val="en-GB"/>
              </w:rPr>
            </w:pPr>
            <w:r w:rsidRPr="00A34A01">
              <w:t>CDMU, GEAPP technical team, relevant data custodians.</w:t>
            </w:r>
          </w:p>
        </w:tc>
      </w:tr>
    </w:tbl>
    <w:p w14:paraId="276ADFC1" w14:textId="33B46C6B" w:rsidR="00B21569" w:rsidRPr="00B21569" w:rsidRDefault="00795FF1" w:rsidP="006E1EE7">
      <w:pPr>
        <w:pStyle w:val="Heading2"/>
      </w:pPr>
      <w:bookmarkStart w:id="32" w:name="_Toc227601151"/>
      <w:r>
        <w:t xml:space="preserve">Workstream 6: </w:t>
      </w:r>
      <w:r w:rsidR="00B72A40">
        <w:t>Data Integration and Dashboard Configuration Support</w:t>
      </w:r>
      <w:bookmarkEnd w:id="32"/>
    </w:p>
    <w:tbl>
      <w:tblPr>
        <w:tblStyle w:val="TableGrid"/>
        <w:tblW w:w="0" w:type="auto"/>
        <w:tblInd w:w="1134" w:type="dxa"/>
        <w:tblLook w:val="04A0" w:firstRow="1" w:lastRow="0" w:firstColumn="1" w:lastColumn="0" w:noHBand="0" w:noVBand="1"/>
      </w:tblPr>
      <w:tblGrid>
        <w:gridCol w:w="1164"/>
        <w:gridCol w:w="6200"/>
      </w:tblGrid>
      <w:tr w:rsidR="00B64D1C" w14:paraId="2B99A5D8" w14:textId="77777777" w:rsidTr="00AE0ABE">
        <w:trPr>
          <w:cnfStyle w:val="100000000000" w:firstRow="1" w:lastRow="0" w:firstColumn="0" w:lastColumn="0" w:oddVBand="0" w:evenVBand="0" w:oddHBand="0" w:evenHBand="0" w:firstRowFirstColumn="0" w:firstRowLastColumn="0" w:lastRowFirstColumn="0" w:lastRowLastColumn="0"/>
        </w:trPr>
        <w:tc>
          <w:tcPr>
            <w:tcW w:w="0" w:type="auto"/>
          </w:tcPr>
          <w:p w14:paraId="4A16C6A1" w14:textId="77777777" w:rsidR="00B21569" w:rsidRPr="00DC7F87" w:rsidRDefault="00B21569" w:rsidP="00AE0ABE">
            <w:pPr>
              <w:pStyle w:val="H2Bullet0"/>
              <w:numPr>
                <w:ilvl w:val="0"/>
                <w:numId w:val="0"/>
              </w:numPr>
              <w:rPr>
                <w:lang w:val="en-GB"/>
              </w:rPr>
            </w:pPr>
            <w:r>
              <w:rPr>
                <w:lang w:val="en-GB"/>
              </w:rPr>
              <w:t>Component</w:t>
            </w:r>
          </w:p>
        </w:tc>
        <w:tc>
          <w:tcPr>
            <w:tcW w:w="0" w:type="auto"/>
          </w:tcPr>
          <w:p w14:paraId="66CEEE52" w14:textId="77777777" w:rsidR="00B21569" w:rsidRPr="00DC7F87" w:rsidRDefault="00B21569" w:rsidP="00AE0ABE">
            <w:pPr>
              <w:pStyle w:val="H2Bullet0"/>
              <w:numPr>
                <w:ilvl w:val="0"/>
                <w:numId w:val="0"/>
              </w:numPr>
              <w:rPr>
                <w:lang w:val="en-GB"/>
              </w:rPr>
            </w:pPr>
            <w:r>
              <w:rPr>
                <w:lang w:val="en-GB"/>
              </w:rPr>
              <w:t>Description</w:t>
            </w:r>
          </w:p>
        </w:tc>
      </w:tr>
      <w:tr w:rsidR="00FB0FAE" w14:paraId="757D14CB" w14:textId="77777777" w:rsidTr="00AE0ABE">
        <w:tc>
          <w:tcPr>
            <w:tcW w:w="0" w:type="auto"/>
          </w:tcPr>
          <w:p w14:paraId="407C1215" w14:textId="29D18142" w:rsidR="00FB0FAE" w:rsidRPr="00B91BAA" w:rsidRDefault="00FB0FAE" w:rsidP="00FB0FAE">
            <w:pPr>
              <w:pStyle w:val="H2Bullet0"/>
              <w:numPr>
                <w:ilvl w:val="0"/>
                <w:numId w:val="0"/>
              </w:numPr>
              <w:rPr>
                <w:lang w:val="en-GB"/>
              </w:rPr>
            </w:pPr>
            <w:r w:rsidRPr="00283169">
              <w:t>Objective</w:t>
            </w:r>
          </w:p>
        </w:tc>
        <w:tc>
          <w:tcPr>
            <w:tcW w:w="0" w:type="auto"/>
          </w:tcPr>
          <w:p w14:paraId="72CE7576" w14:textId="0EA62A3D" w:rsidR="00FB0FAE" w:rsidRPr="00B91BAA" w:rsidRDefault="00FB0FAE" w:rsidP="00FB0FAE">
            <w:pPr>
              <w:pStyle w:val="H2Bullet0"/>
              <w:numPr>
                <w:ilvl w:val="0"/>
                <w:numId w:val="0"/>
              </w:numPr>
              <w:rPr>
                <w:lang w:val="en-GB"/>
              </w:rPr>
            </w:pPr>
            <w:r w:rsidRPr="00283169">
              <w:t>Support GEAPP’s technical team in configuring the monitoring dashboard based on the defined data requirements, monitoring framework, and reporting architecture.</w:t>
            </w:r>
          </w:p>
        </w:tc>
      </w:tr>
      <w:tr w:rsidR="00FB0FAE" w14:paraId="23CA7BE8" w14:textId="77777777" w:rsidTr="00AE0ABE">
        <w:tc>
          <w:tcPr>
            <w:tcW w:w="0" w:type="auto"/>
          </w:tcPr>
          <w:p w14:paraId="5A93A35C" w14:textId="31CB0728" w:rsidR="00FB0FAE" w:rsidRPr="00B91BAA" w:rsidRDefault="00FB0FAE" w:rsidP="00FB0FAE">
            <w:pPr>
              <w:pStyle w:val="H2Bullet0"/>
              <w:numPr>
                <w:ilvl w:val="0"/>
                <w:numId w:val="0"/>
              </w:numPr>
              <w:rPr>
                <w:lang w:val="en-GB"/>
              </w:rPr>
            </w:pPr>
            <w:r w:rsidRPr="00283169">
              <w:t>Key Activities</w:t>
            </w:r>
          </w:p>
        </w:tc>
        <w:tc>
          <w:tcPr>
            <w:tcW w:w="0" w:type="auto"/>
          </w:tcPr>
          <w:p w14:paraId="6CEEE4C0" w14:textId="728E6592" w:rsidR="00FB0FAE" w:rsidRPr="00B91BAA" w:rsidRDefault="00FB0FAE" w:rsidP="00FB0FAE">
            <w:pPr>
              <w:pStyle w:val="H2Bullet0"/>
              <w:numPr>
                <w:ilvl w:val="0"/>
                <w:numId w:val="0"/>
              </w:numPr>
              <w:rPr>
                <w:lang w:val="en-GB"/>
              </w:rPr>
            </w:pPr>
            <w:r w:rsidRPr="00283169">
              <w:t>Provide indicator specifications, baseline datasets, and reporting structures required for dashboard configuration. Review configured dashboard outputs to ensure alignment with defined indicators and aggregation logic. Support testing and validation cycles prior to final system deployment.</w:t>
            </w:r>
          </w:p>
        </w:tc>
      </w:tr>
      <w:tr w:rsidR="00FB0FAE" w14:paraId="57880FD6" w14:textId="77777777" w:rsidTr="00AE0ABE">
        <w:tc>
          <w:tcPr>
            <w:tcW w:w="0" w:type="auto"/>
          </w:tcPr>
          <w:p w14:paraId="2A004B53" w14:textId="0D8F7400" w:rsidR="00FB0FAE" w:rsidRPr="00B91BAA" w:rsidRDefault="00FB0FAE" w:rsidP="00FB0FAE">
            <w:pPr>
              <w:pStyle w:val="H2Bullet0"/>
              <w:numPr>
                <w:ilvl w:val="0"/>
                <w:numId w:val="0"/>
              </w:numPr>
              <w:rPr>
                <w:lang w:val="en-GB"/>
              </w:rPr>
            </w:pPr>
            <w:r w:rsidRPr="00283169">
              <w:t>Outputs</w:t>
            </w:r>
          </w:p>
        </w:tc>
        <w:tc>
          <w:tcPr>
            <w:tcW w:w="0" w:type="auto"/>
          </w:tcPr>
          <w:p w14:paraId="68567309" w14:textId="6D23C303" w:rsidR="00FB0FAE" w:rsidRPr="00B91BAA" w:rsidRDefault="00FB0FAE" w:rsidP="00FB0FAE">
            <w:pPr>
              <w:pStyle w:val="H2Bullet0"/>
              <w:numPr>
                <w:ilvl w:val="0"/>
                <w:numId w:val="0"/>
              </w:numPr>
              <w:rPr>
                <w:lang w:val="en-GB"/>
              </w:rPr>
            </w:pPr>
            <w:r w:rsidRPr="00283169">
              <w:t>Prototype Dashboard and Final Data Dashboard Monitoring System configured on GEAPP’s platform.</w:t>
            </w:r>
          </w:p>
        </w:tc>
      </w:tr>
      <w:tr w:rsidR="00FB0FAE" w14:paraId="78C1D8F2" w14:textId="77777777" w:rsidTr="00AE0ABE">
        <w:tc>
          <w:tcPr>
            <w:tcW w:w="0" w:type="auto"/>
          </w:tcPr>
          <w:p w14:paraId="19D47058" w14:textId="036B4D2C" w:rsidR="00FB0FAE" w:rsidRPr="007F5320" w:rsidRDefault="00FB0FAE" w:rsidP="00FB0FAE">
            <w:pPr>
              <w:pStyle w:val="H2Bullet0"/>
              <w:numPr>
                <w:ilvl w:val="0"/>
                <w:numId w:val="0"/>
              </w:numPr>
              <w:rPr>
                <w:lang w:val="en-GB"/>
              </w:rPr>
            </w:pPr>
            <w:r w:rsidRPr="00283169">
              <w:t>Institutional Interface</w:t>
            </w:r>
          </w:p>
        </w:tc>
        <w:tc>
          <w:tcPr>
            <w:tcW w:w="0" w:type="auto"/>
          </w:tcPr>
          <w:p w14:paraId="05E68D28" w14:textId="27A05CF2" w:rsidR="00FB0FAE" w:rsidRPr="00336097" w:rsidRDefault="00FB0FAE" w:rsidP="00FB0FAE">
            <w:pPr>
              <w:pStyle w:val="H2Bullet0"/>
              <w:numPr>
                <w:ilvl w:val="0"/>
                <w:numId w:val="0"/>
              </w:numPr>
              <w:rPr>
                <w:lang w:val="en-GB"/>
              </w:rPr>
            </w:pPr>
            <w:r w:rsidRPr="00283169">
              <w:t>GEAPP technical team, CDMU.</w:t>
            </w:r>
          </w:p>
        </w:tc>
      </w:tr>
    </w:tbl>
    <w:p w14:paraId="4928D13F" w14:textId="77777777" w:rsidR="00B21569" w:rsidRDefault="00B21569" w:rsidP="00B21569">
      <w:pPr>
        <w:pStyle w:val="H2Text"/>
      </w:pPr>
    </w:p>
    <w:p w14:paraId="05C9DB94" w14:textId="43E3080F" w:rsidR="00E02F1D" w:rsidRPr="00B21569" w:rsidRDefault="00E02F1D" w:rsidP="00E02F1D">
      <w:pPr>
        <w:pStyle w:val="Heading2"/>
      </w:pPr>
      <w:bookmarkStart w:id="33" w:name="_Toc227601152"/>
      <w:r>
        <w:t xml:space="preserve">Workstream 7: </w:t>
      </w:r>
      <w:r w:rsidR="00560836" w:rsidRPr="00560836">
        <w:t>Capacity Building, Documentation, and Transition</w:t>
      </w:r>
      <w:bookmarkEnd w:id="33"/>
    </w:p>
    <w:tbl>
      <w:tblPr>
        <w:tblStyle w:val="TableGrid"/>
        <w:tblW w:w="0" w:type="auto"/>
        <w:tblInd w:w="1134" w:type="dxa"/>
        <w:tblLook w:val="04A0" w:firstRow="1" w:lastRow="0" w:firstColumn="1" w:lastColumn="0" w:noHBand="0" w:noVBand="1"/>
      </w:tblPr>
      <w:tblGrid>
        <w:gridCol w:w="1137"/>
        <w:gridCol w:w="6227"/>
      </w:tblGrid>
      <w:tr w:rsidR="00E02F1D" w14:paraId="35F31D75" w14:textId="77777777" w:rsidTr="00CB4435">
        <w:trPr>
          <w:cnfStyle w:val="100000000000" w:firstRow="1" w:lastRow="0" w:firstColumn="0" w:lastColumn="0" w:oddVBand="0" w:evenVBand="0" w:oddHBand="0" w:evenHBand="0" w:firstRowFirstColumn="0" w:firstRowLastColumn="0" w:lastRowFirstColumn="0" w:lastRowLastColumn="0"/>
        </w:trPr>
        <w:tc>
          <w:tcPr>
            <w:tcW w:w="0" w:type="auto"/>
          </w:tcPr>
          <w:p w14:paraId="2BF96C32" w14:textId="77777777" w:rsidR="00E02F1D" w:rsidRPr="00DC7F87" w:rsidRDefault="00E02F1D" w:rsidP="00CB4435">
            <w:pPr>
              <w:pStyle w:val="H2Bullet0"/>
              <w:numPr>
                <w:ilvl w:val="0"/>
                <w:numId w:val="0"/>
              </w:numPr>
              <w:rPr>
                <w:lang w:val="en-GB"/>
              </w:rPr>
            </w:pPr>
            <w:r>
              <w:rPr>
                <w:lang w:val="en-GB"/>
              </w:rPr>
              <w:t>Component</w:t>
            </w:r>
          </w:p>
        </w:tc>
        <w:tc>
          <w:tcPr>
            <w:tcW w:w="0" w:type="auto"/>
          </w:tcPr>
          <w:p w14:paraId="1AB8932E" w14:textId="77777777" w:rsidR="00E02F1D" w:rsidRPr="00DC7F87" w:rsidRDefault="00E02F1D" w:rsidP="00CB4435">
            <w:pPr>
              <w:pStyle w:val="H2Bullet0"/>
              <w:numPr>
                <w:ilvl w:val="0"/>
                <w:numId w:val="0"/>
              </w:numPr>
              <w:rPr>
                <w:lang w:val="en-GB"/>
              </w:rPr>
            </w:pPr>
            <w:r>
              <w:rPr>
                <w:lang w:val="en-GB"/>
              </w:rPr>
              <w:t>Description</w:t>
            </w:r>
          </w:p>
        </w:tc>
      </w:tr>
      <w:tr w:rsidR="00560836" w14:paraId="04484976" w14:textId="77777777" w:rsidTr="00CB4435">
        <w:tc>
          <w:tcPr>
            <w:tcW w:w="0" w:type="auto"/>
          </w:tcPr>
          <w:p w14:paraId="4ABDF1DD" w14:textId="37FD7388" w:rsidR="00560836" w:rsidRPr="00B91BAA" w:rsidRDefault="00560836" w:rsidP="00560836">
            <w:pPr>
              <w:pStyle w:val="H2Bullet0"/>
              <w:numPr>
                <w:ilvl w:val="0"/>
                <w:numId w:val="0"/>
              </w:numPr>
              <w:rPr>
                <w:lang w:val="en-GB"/>
              </w:rPr>
            </w:pPr>
            <w:r w:rsidRPr="005309C8">
              <w:t>Objective</w:t>
            </w:r>
          </w:p>
        </w:tc>
        <w:tc>
          <w:tcPr>
            <w:tcW w:w="0" w:type="auto"/>
          </w:tcPr>
          <w:p w14:paraId="73F47563" w14:textId="4216A77F" w:rsidR="00560836" w:rsidRPr="00B91BAA" w:rsidRDefault="00560836" w:rsidP="00560836">
            <w:pPr>
              <w:pStyle w:val="H2Bullet0"/>
              <w:numPr>
                <w:ilvl w:val="0"/>
                <w:numId w:val="0"/>
              </w:numPr>
              <w:rPr>
                <w:lang w:val="en-GB"/>
              </w:rPr>
            </w:pPr>
            <w:r w:rsidRPr="005309C8">
              <w:t>Ensure institutional ownership and sustainability of the monitoring system within CDMU and relevant government institutions.</w:t>
            </w:r>
          </w:p>
        </w:tc>
      </w:tr>
      <w:tr w:rsidR="00560836" w14:paraId="70943255" w14:textId="77777777" w:rsidTr="00CB4435">
        <w:tc>
          <w:tcPr>
            <w:tcW w:w="0" w:type="auto"/>
          </w:tcPr>
          <w:p w14:paraId="6436D5F5" w14:textId="65417B83" w:rsidR="00560836" w:rsidRPr="00B91BAA" w:rsidRDefault="00560836" w:rsidP="00560836">
            <w:pPr>
              <w:pStyle w:val="H2Bullet0"/>
              <w:numPr>
                <w:ilvl w:val="0"/>
                <w:numId w:val="0"/>
              </w:numPr>
              <w:rPr>
                <w:lang w:val="en-GB"/>
              </w:rPr>
            </w:pPr>
            <w:r w:rsidRPr="005309C8">
              <w:t>Key Activities</w:t>
            </w:r>
          </w:p>
        </w:tc>
        <w:tc>
          <w:tcPr>
            <w:tcW w:w="0" w:type="auto"/>
          </w:tcPr>
          <w:p w14:paraId="26BB0AA5" w14:textId="66058863" w:rsidR="00560836" w:rsidRPr="00B91BAA" w:rsidRDefault="00560836" w:rsidP="00560836">
            <w:pPr>
              <w:pStyle w:val="H2Bullet0"/>
              <w:numPr>
                <w:ilvl w:val="0"/>
                <w:numId w:val="0"/>
              </w:numPr>
              <w:rPr>
                <w:lang w:val="en-GB"/>
              </w:rPr>
            </w:pPr>
            <w:r w:rsidRPr="005309C8">
              <w:t>Conduct training sessions for dashboard users and relevant stakeholders. Review and validate technical documentation and user manuals prepared for the system. Provide operational guidance for ongoing data reporting, validation, and dashboard management. Support transition of system operation to CDMU following deployment.</w:t>
            </w:r>
          </w:p>
        </w:tc>
      </w:tr>
      <w:tr w:rsidR="00560836" w14:paraId="6F381F2E" w14:textId="77777777" w:rsidTr="00CB4435">
        <w:tc>
          <w:tcPr>
            <w:tcW w:w="0" w:type="auto"/>
          </w:tcPr>
          <w:p w14:paraId="005BD148" w14:textId="3D8B8B1B" w:rsidR="00560836" w:rsidRPr="00B91BAA" w:rsidRDefault="00560836" w:rsidP="00560836">
            <w:pPr>
              <w:pStyle w:val="H2Bullet0"/>
              <w:numPr>
                <w:ilvl w:val="0"/>
                <w:numId w:val="0"/>
              </w:numPr>
              <w:rPr>
                <w:lang w:val="en-GB"/>
              </w:rPr>
            </w:pPr>
            <w:r w:rsidRPr="005309C8">
              <w:t>Outputs</w:t>
            </w:r>
          </w:p>
        </w:tc>
        <w:tc>
          <w:tcPr>
            <w:tcW w:w="0" w:type="auto"/>
          </w:tcPr>
          <w:p w14:paraId="5D7867EF" w14:textId="7C8AA799" w:rsidR="00560836" w:rsidRPr="00B91BAA" w:rsidRDefault="00560836" w:rsidP="00560836">
            <w:pPr>
              <w:pStyle w:val="H2Bullet0"/>
              <w:numPr>
                <w:ilvl w:val="0"/>
                <w:numId w:val="0"/>
              </w:numPr>
              <w:rPr>
                <w:lang w:val="en-GB"/>
              </w:rPr>
            </w:pPr>
            <w:r w:rsidRPr="005309C8">
              <w:t>Training and Documentation Package, Final Report and Presentation, and Post-Implementation Support.</w:t>
            </w:r>
          </w:p>
        </w:tc>
      </w:tr>
      <w:tr w:rsidR="00560836" w14:paraId="7DFE8C8C" w14:textId="77777777" w:rsidTr="00CB4435">
        <w:tc>
          <w:tcPr>
            <w:tcW w:w="0" w:type="auto"/>
          </w:tcPr>
          <w:p w14:paraId="57110A64" w14:textId="0B156E34" w:rsidR="00560836" w:rsidRPr="007F5320" w:rsidRDefault="00560836" w:rsidP="00560836">
            <w:pPr>
              <w:pStyle w:val="H2Bullet0"/>
              <w:numPr>
                <w:ilvl w:val="0"/>
                <w:numId w:val="0"/>
              </w:numPr>
              <w:rPr>
                <w:lang w:val="en-GB"/>
              </w:rPr>
            </w:pPr>
            <w:r w:rsidRPr="005309C8">
              <w:t>Institutional Interface</w:t>
            </w:r>
          </w:p>
        </w:tc>
        <w:tc>
          <w:tcPr>
            <w:tcW w:w="0" w:type="auto"/>
          </w:tcPr>
          <w:p w14:paraId="43C880B6" w14:textId="127860C6" w:rsidR="00560836" w:rsidRPr="00336097" w:rsidRDefault="00560836" w:rsidP="00560836">
            <w:pPr>
              <w:pStyle w:val="H2Bullet0"/>
              <w:numPr>
                <w:ilvl w:val="0"/>
                <w:numId w:val="0"/>
              </w:numPr>
              <w:rPr>
                <w:lang w:val="en-GB"/>
              </w:rPr>
            </w:pPr>
            <w:r w:rsidRPr="005309C8">
              <w:t>CDMU, Federal Ministry of Power, Federal Ministry of Finance, GEAPP, and relevant stakeholders.</w:t>
            </w:r>
          </w:p>
        </w:tc>
      </w:tr>
    </w:tbl>
    <w:p w14:paraId="59A0B844" w14:textId="77777777" w:rsidR="00E02F1D" w:rsidRDefault="00E02F1D" w:rsidP="00B21569">
      <w:pPr>
        <w:pStyle w:val="H2Text"/>
      </w:pPr>
    </w:p>
    <w:p w14:paraId="34B76B9E" w14:textId="46427966" w:rsidR="000871F6" w:rsidRDefault="000871F6" w:rsidP="000871F6">
      <w:pPr>
        <w:pStyle w:val="Heading1"/>
      </w:pPr>
      <w:bookmarkStart w:id="34" w:name="_Toc227601153"/>
      <w:r>
        <w:lastRenderedPageBreak/>
        <w:t>Preliminary Baseline Assessment</w:t>
      </w:r>
      <w:bookmarkEnd w:id="34"/>
    </w:p>
    <w:p w14:paraId="245B907D" w14:textId="485F5CCB" w:rsidR="000871F6" w:rsidRDefault="00FA1899" w:rsidP="000871F6">
      <w:pPr>
        <w:pStyle w:val="H1Text"/>
      </w:pPr>
      <w:r w:rsidRPr="00FA1899">
        <w:t>Baseline figures presented below are drawn from the most recent publicly available and verifiable sources, including the Nigeria National Energy Compact (2025), NERC Quarterly Reports (Q3 2025), SDG7 Tracking, and related official publications. As data availability varies by dataset, baseline reference years span 2022 to 2025 depending on the most recent validated source.</w:t>
      </w:r>
    </w:p>
    <w:p w14:paraId="0B2C5FD8" w14:textId="28BE29A7" w:rsidR="000871F6" w:rsidRDefault="000871F6" w:rsidP="000871F6">
      <w:pPr>
        <w:pStyle w:val="Heading2"/>
      </w:pPr>
      <w:bookmarkStart w:id="35" w:name="_Toc227601154"/>
      <w:r w:rsidRPr="000871F6">
        <w:t>Pillar 1: Rehabilitation and Expansion of Energy Infrastructure</w:t>
      </w:r>
      <w:bookmarkEnd w:id="35"/>
    </w:p>
    <w:p w14:paraId="7F6CCFCF" w14:textId="7FF80286" w:rsidR="00FA1899" w:rsidRDefault="00FA1899" w:rsidP="00FA1899">
      <w:pPr>
        <w:pStyle w:val="H2Text"/>
      </w:pPr>
      <w:r>
        <w:t>As of 2025/Q3, the average available generation capacity of grid-connected power plants stood at 5,430.34 MW</w:t>
      </w:r>
      <w:bookmarkStart w:id="36" w:name="_Ref222664402"/>
      <w:r>
        <w:rPr>
          <w:rStyle w:val="FootnoteReference"/>
        </w:rPr>
        <w:footnoteReference w:id="3"/>
      </w:r>
      <w:bookmarkEnd w:id="36"/>
      <w:r>
        <w:t>. Total electricity generated during the quarter was 9,227.56 GWh</w:t>
      </w:r>
      <w:r w:rsidR="00BA13F6">
        <w:fldChar w:fldCharType="begin"/>
      </w:r>
      <w:r w:rsidR="00BA13F6">
        <w:instrText xml:space="preserve"> NOTEREF _Ref222664402 \f \h </w:instrText>
      </w:r>
      <w:r w:rsidR="00BA13F6">
        <w:fldChar w:fldCharType="separate"/>
      </w:r>
      <w:r w:rsidR="00BA13F6" w:rsidRPr="00BA13F6">
        <w:rPr>
          <w:rStyle w:val="FootnoteReference"/>
        </w:rPr>
        <w:t>3</w:t>
      </w:r>
      <w:r w:rsidR="00BA13F6">
        <w:fldChar w:fldCharType="end"/>
      </w:r>
      <w:r>
        <w:t>.</w:t>
      </w:r>
    </w:p>
    <w:p w14:paraId="525C38B8" w14:textId="2A6F9240" w:rsidR="00FA1899" w:rsidRDefault="00FA1899" w:rsidP="00FA1899">
      <w:pPr>
        <w:pStyle w:val="H2Text"/>
      </w:pPr>
      <w:r>
        <w:t>Hydropower contributed 32.43 percent of total generation in Q3 2025 (2,992.76 GWh out of 9,227.57 GWh)</w:t>
      </w:r>
      <w:r w:rsidR="001E3D78">
        <w:rPr>
          <w:rStyle w:val="FootnoteReference"/>
        </w:rPr>
        <w:fldChar w:fldCharType="begin"/>
      </w:r>
      <w:r w:rsidR="001E3D78">
        <w:instrText xml:space="preserve"> NOTEREF _Ref222664402 \f \h </w:instrText>
      </w:r>
      <w:r w:rsidR="001E3D78">
        <w:rPr>
          <w:rStyle w:val="FootnoteReference"/>
        </w:rPr>
      </w:r>
      <w:r w:rsidR="001E3D78">
        <w:rPr>
          <w:rStyle w:val="FootnoteReference"/>
        </w:rPr>
        <w:fldChar w:fldCharType="separate"/>
      </w:r>
      <w:r w:rsidR="001E3D78" w:rsidRPr="001E3D78">
        <w:rPr>
          <w:rStyle w:val="FootnoteReference"/>
        </w:rPr>
        <w:t>3</w:t>
      </w:r>
      <w:r w:rsidR="001E3D78">
        <w:rPr>
          <w:rStyle w:val="FootnoteReference"/>
        </w:rPr>
        <w:fldChar w:fldCharType="end"/>
      </w:r>
      <w:r>
        <w:t>, reflecting seasonal improvements in hydro availability during the rainy season.</w:t>
      </w:r>
    </w:p>
    <w:p w14:paraId="02CEC608" w14:textId="5F248C4C" w:rsidR="00FA1899" w:rsidRDefault="00FA1899" w:rsidP="00FA1899">
      <w:pPr>
        <w:pStyle w:val="H2Text"/>
      </w:pPr>
      <w:r>
        <w:t>Sector performance remains constrained by Aggregate Technical, Commercial and Collection (ATC&amp;C) losses. The weighted average ATC&amp;C loss recorded across all DisCos in 2025/Q3 was 33.27 percent, comprising 17.31 percent technical and commercial losses and 19.30 percent collection losses</w:t>
      </w:r>
      <w:r w:rsidR="007D6AF1">
        <w:fldChar w:fldCharType="begin"/>
      </w:r>
      <w:r w:rsidR="007D6AF1">
        <w:instrText xml:space="preserve"> NOTEREF _Ref222664402 \f \h </w:instrText>
      </w:r>
      <w:r w:rsidR="007D6AF1">
        <w:fldChar w:fldCharType="separate"/>
      </w:r>
      <w:r w:rsidR="007D6AF1" w:rsidRPr="007D6AF1">
        <w:rPr>
          <w:rStyle w:val="FootnoteReference"/>
        </w:rPr>
        <w:t>3</w:t>
      </w:r>
      <w:r w:rsidR="007D6AF1">
        <w:fldChar w:fldCharType="end"/>
      </w:r>
      <w:r>
        <w:t>.</w:t>
      </w:r>
    </w:p>
    <w:p w14:paraId="48504290" w14:textId="130118EB" w:rsidR="00FA1899" w:rsidRPr="00FA1899" w:rsidRDefault="00FA1899" w:rsidP="00FA1899">
      <w:pPr>
        <w:pStyle w:val="H2Text"/>
      </w:pPr>
      <w:r>
        <w:t>These figures highlight that while available capacity exceeds 5.4 GW, operational and commercial inefficiencies continue to limit effective energy delivery and financial sustainability</w:t>
      </w:r>
      <w:r w:rsidR="00AA2383">
        <w:t>.</w:t>
      </w:r>
    </w:p>
    <w:p w14:paraId="6E7A9302" w14:textId="5FFEC319" w:rsidR="00EA7D12" w:rsidRDefault="00EA7D12" w:rsidP="00EA7D12">
      <w:pPr>
        <w:pStyle w:val="Heading2"/>
      </w:pPr>
      <w:bookmarkStart w:id="37" w:name="_Toc227601155"/>
      <w:r w:rsidRPr="00EA7D12">
        <w:t>Pillar 2: Ensuring Last Mile Access</w:t>
      </w:r>
      <w:bookmarkEnd w:id="37"/>
    </w:p>
    <w:p w14:paraId="01D00266" w14:textId="59C67E11" w:rsidR="00AA2383" w:rsidRDefault="00AA2383" w:rsidP="00AA2383">
      <w:pPr>
        <w:pStyle w:val="H2Text"/>
      </w:pPr>
      <w:r>
        <w:t>National electricity access was previously reported at 61 percent (2022), leaving over 86 million people without access to electricity</w:t>
      </w:r>
      <w:r w:rsidR="008E480C">
        <w:fldChar w:fldCharType="begin"/>
      </w:r>
      <w:r w:rsidR="008E480C">
        <w:instrText xml:space="preserve"> NOTEREF _Ref222663515 \f \h </w:instrText>
      </w:r>
      <w:r w:rsidR="008E480C">
        <w:fldChar w:fldCharType="separate"/>
      </w:r>
      <w:r w:rsidR="008E480C" w:rsidRPr="008E480C">
        <w:rPr>
          <w:rStyle w:val="FootnoteReference"/>
        </w:rPr>
        <w:t>2</w:t>
      </w:r>
      <w:r w:rsidR="008E480C">
        <w:fldChar w:fldCharType="end"/>
      </w:r>
      <w:r>
        <w:t>.</w:t>
      </w:r>
    </w:p>
    <w:p w14:paraId="14F88E2F" w14:textId="77C766A8" w:rsidR="00AA2383" w:rsidRDefault="00AA2383" w:rsidP="008E480C">
      <w:pPr>
        <w:pStyle w:val="H2Text"/>
      </w:pPr>
      <w:r>
        <w:t>Off-grid deployment continues to complement grid expansion, with previously recorded figures of 107,519 household mini-grid connections and 14,326 SME connections (2024)</w:t>
      </w:r>
      <w:r w:rsidR="008E480C">
        <w:fldChar w:fldCharType="begin"/>
      </w:r>
      <w:r w:rsidR="008E480C">
        <w:instrText xml:space="preserve"> NOTEREF _Ref222663515 \f \h </w:instrText>
      </w:r>
      <w:r w:rsidR="008E480C">
        <w:fldChar w:fldCharType="separate"/>
      </w:r>
      <w:r w:rsidR="008E480C" w:rsidRPr="008E480C">
        <w:rPr>
          <w:rStyle w:val="FootnoteReference"/>
        </w:rPr>
        <w:t>2</w:t>
      </w:r>
      <w:r w:rsidR="008E480C">
        <w:fldChar w:fldCharType="end"/>
      </w:r>
      <w:r>
        <w:t>. In addition, approximately 2.93 million standalone solar home systems had been deployed as of 2024</w:t>
      </w:r>
      <w:r>
        <w:rPr>
          <w:rStyle w:val="FootnoteReference"/>
        </w:rPr>
        <w:footnoteReference w:id="4"/>
      </w:r>
      <w:r>
        <w:t>.</w:t>
      </w:r>
    </w:p>
    <w:p w14:paraId="061ADF19" w14:textId="3127D890" w:rsidR="00AA2383" w:rsidRPr="00AA2383" w:rsidRDefault="00AA2383" w:rsidP="00AA2383">
      <w:pPr>
        <w:pStyle w:val="H2Text"/>
      </w:pPr>
      <w:r>
        <w:t>Despite these gains, significant access gaps remain, particularly in underserved and rural communities. The Multi-Tier Framework (MTF) survey currently covers only seven states (North-West zone), indicating that nationally representative service quality data remains incomplete</w:t>
      </w:r>
      <w:r>
        <w:rPr>
          <w:rStyle w:val="FootnoteReference"/>
        </w:rPr>
        <w:footnoteReference w:id="5"/>
      </w:r>
      <w:r>
        <w:t>.</w:t>
      </w:r>
    </w:p>
    <w:p w14:paraId="34635BC7" w14:textId="6A59B330" w:rsidR="00EA7D12" w:rsidRDefault="00EA7D12" w:rsidP="00EA7D12">
      <w:pPr>
        <w:pStyle w:val="Heading2"/>
      </w:pPr>
      <w:bookmarkStart w:id="38" w:name="_Toc227601156"/>
      <w:r>
        <w:lastRenderedPageBreak/>
        <w:t>Pillar 3: Ensuring Financially Viable Utilities</w:t>
      </w:r>
      <w:bookmarkEnd w:id="38"/>
    </w:p>
    <w:p w14:paraId="483FE6D4" w14:textId="09DCA3E9" w:rsidR="00AA2383" w:rsidRPr="00AA2383" w:rsidRDefault="00AA2383" w:rsidP="00AA2383">
      <w:pPr>
        <w:pStyle w:val="H2Text"/>
      </w:pPr>
      <w:r w:rsidRPr="00AA2383">
        <w:t>As of 30 September 2025, there were 12,030,315 active registered electricity customers, of which 6,661,564 were metered, representing a metering rate of 55.37 percent</w:t>
      </w:r>
      <w:r w:rsidR="00B64D1C">
        <w:fldChar w:fldCharType="begin"/>
      </w:r>
      <w:r w:rsidR="00B64D1C">
        <w:instrText xml:space="preserve"> NOTEREF _Ref222664402 \f \h </w:instrText>
      </w:r>
      <w:r w:rsidR="00B64D1C">
        <w:fldChar w:fldCharType="separate"/>
      </w:r>
      <w:r w:rsidR="00B64D1C" w:rsidRPr="00B64D1C">
        <w:rPr>
          <w:rStyle w:val="FootnoteReference"/>
        </w:rPr>
        <w:t>3</w:t>
      </w:r>
      <w:r w:rsidR="00B64D1C">
        <w:fldChar w:fldCharType="end"/>
      </w:r>
      <w:r w:rsidRPr="00AA2383">
        <w:t>.</w:t>
      </w:r>
    </w:p>
    <w:p w14:paraId="568739E4" w14:textId="77777777" w:rsidR="00AA2383" w:rsidRPr="00AA2383" w:rsidRDefault="00AA2383" w:rsidP="00AA2383">
      <w:pPr>
        <w:pStyle w:val="H2Text"/>
      </w:pPr>
      <w:r w:rsidRPr="00AA2383">
        <w:t>This implies approximately 5,368,751 unmetered active customers, indicating a substantial remaining metering gap.</w:t>
      </w:r>
    </w:p>
    <w:p w14:paraId="1CC4C8BB" w14:textId="77777777" w:rsidR="00AA2383" w:rsidRPr="00AA2383" w:rsidRDefault="00AA2383" w:rsidP="00AA2383">
      <w:pPr>
        <w:pStyle w:val="H2Text"/>
      </w:pPr>
      <w:r w:rsidRPr="00AA2383">
        <w:t>Commercial performance indicators show that during 2025/Q3:</w:t>
      </w:r>
    </w:p>
    <w:p w14:paraId="44556CCC" w14:textId="77777777" w:rsidR="00AA2383" w:rsidRPr="00AA2383" w:rsidRDefault="00AA2383" w:rsidP="00AA2383">
      <w:pPr>
        <w:pStyle w:val="H2Bullet0"/>
      </w:pPr>
      <w:r w:rsidRPr="00AA2383">
        <w:t>Total energy billed was ₦706.61 billion</w:t>
      </w:r>
    </w:p>
    <w:p w14:paraId="1C3BB729" w14:textId="77777777" w:rsidR="00AA2383" w:rsidRPr="00AA2383" w:rsidRDefault="00AA2383" w:rsidP="00AA2383">
      <w:pPr>
        <w:pStyle w:val="H2Bullet0"/>
      </w:pPr>
      <w:r w:rsidRPr="00AA2383">
        <w:t>Total revenue collected was ₦570.25 billion</w:t>
      </w:r>
    </w:p>
    <w:p w14:paraId="39EE6CB2" w14:textId="5BE0CB78" w:rsidR="00AA2383" w:rsidRPr="00AA2383" w:rsidRDefault="00AA2383" w:rsidP="00AA2383">
      <w:pPr>
        <w:pStyle w:val="H2Bullet0"/>
      </w:pPr>
      <w:r w:rsidRPr="00AA2383">
        <w:t>Collection efficiency stood at 80.70 percent</w:t>
      </w:r>
      <w:r w:rsidR="00B64D1C">
        <w:fldChar w:fldCharType="begin"/>
      </w:r>
      <w:r w:rsidR="00B64D1C">
        <w:instrText xml:space="preserve"> NOTEREF _Ref222664402 \f \h </w:instrText>
      </w:r>
      <w:r w:rsidR="00B64D1C">
        <w:fldChar w:fldCharType="separate"/>
      </w:r>
      <w:r w:rsidR="00B64D1C" w:rsidRPr="00B64D1C">
        <w:rPr>
          <w:rStyle w:val="FootnoteReference"/>
        </w:rPr>
        <w:t>3</w:t>
      </w:r>
      <w:r w:rsidR="00B64D1C">
        <w:fldChar w:fldCharType="end"/>
      </w:r>
    </w:p>
    <w:p w14:paraId="0ACCC97A" w14:textId="1EC6B9C7" w:rsidR="00AA2383" w:rsidRPr="00AA2383" w:rsidRDefault="00AA2383" w:rsidP="00AA2383">
      <w:pPr>
        <w:pStyle w:val="H2Text"/>
      </w:pPr>
      <w:r w:rsidRPr="00AA2383">
        <w:t>The weighted average ATC&amp;C loss for the quarter was 33.27 percent, an improvement from 37.92 percent recorded in Q2 202</w:t>
      </w:r>
      <w:r w:rsidR="00860C3B">
        <w:t>5</w:t>
      </w:r>
      <w:r w:rsidR="00B93559">
        <w:fldChar w:fldCharType="begin"/>
      </w:r>
      <w:r w:rsidR="00B93559">
        <w:instrText xml:space="preserve"> NOTEREF _Ref222664402 \f \h </w:instrText>
      </w:r>
      <w:r w:rsidR="00B93559">
        <w:fldChar w:fldCharType="separate"/>
      </w:r>
      <w:r w:rsidR="00B93559" w:rsidRPr="00B93559">
        <w:rPr>
          <w:rStyle w:val="FootnoteReference"/>
        </w:rPr>
        <w:t>3</w:t>
      </w:r>
      <w:r w:rsidR="00B93559">
        <w:fldChar w:fldCharType="end"/>
      </w:r>
      <w:r w:rsidRPr="00AA2383">
        <w:t>.</w:t>
      </w:r>
    </w:p>
    <w:p w14:paraId="6D59F481" w14:textId="6914494F" w:rsidR="00AA2383" w:rsidRPr="00AA2383" w:rsidRDefault="00AA2383" w:rsidP="00AA2383">
      <w:pPr>
        <w:pStyle w:val="H2Text"/>
      </w:pPr>
      <w:r w:rsidRPr="00AA2383">
        <w:t>Upstream remittance performance to NBET and the Market Operator stood at 95.21 percent in Q3 2025</w:t>
      </w:r>
      <w:r w:rsidR="00B93559">
        <w:fldChar w:fldCharType="begin"/>
      </w:r>
      <w:r w:rsidR="00B93559">
        <w:instrText xml:space="preserve"> NOTEREF _Ref222664402 \f \h </w:instrText>
      </w:r>
      <w:r w:rsidR="00B93559">
        <w:fldChar w:fldCharType="separate"/>
      </w:r>
      <w:r w:rsidR="00B93559" w:rsidRPr="00B93559">
        <w:rPr>
          <w:rStyle w:val="FootnoteReference"/>
        </w:rPr>
        <w:t>3</w:t>
      </w:r>
      <w:r w:rsidR="00B93559">
        <w:fldChar w:fldCharType="end"/>
      </w:r>
      <w:r w:rsidRPr="00AA2383">
        <w:t>.</w:t>
      </w:r>
    </w:p>
    <w:p w14:paraId="2F05F8FE" w14:textId="581FD814" w:rsidR="00AA2383" w:rsidRPr="00AA2383" w:rsidRDefault="00AA2383" w:rsidP="00AA2383">
      <w:pPr>
        <w:pStyle w:val="H2Text"/>
      </w:pPr>
      <w:r w:rsidRPr="00AA2383">
        <w:t>In addition, the Federal Government assumed approximately ₦458.75 billion (about 59 percent) of generation costs in Q3 2025 through tariff subsidy support</w:t>
      </w:r>
      <w:r w:rsidR="00B93559">
        <w:fldChar w:fldCharType="begin"/>
      </w:r>
      <w:r w:rsidR="00B93559">
        <w:instrText xml:space="preserve"> NOTEREF _Ref222664402 \f \h </w:instrText>
      </w:r>
      <w:r w:rsidR="00B93559">
        <w:fldChar w:fldCharType="separate"/>
      </w:r>
      <w:r w:rsidR="00B93559" w:rsidRPr="00B93559">
        <w:rPr>
          <w:rStyle w:val="FootnoteReference"/>
        </w:rPr>
        <w:t>3</w:t>
      </w:r>
      <w:r w:rsidR="00B93559">
        <w:fldChar w:fldCharType="end"/>
      </w:r>
      <w:r w:rsidRPr="00AA2383">
        <w:t>.</w:t>
      </w:r>
    </w:p>
    <w:p w14:paraId="261926BA" w14:textId="30D95F38" w:rsidR="00AA2383" w:rsidRPr="00860C3B" w:rsidRDefault="00AA2383" w:rsidP="00860C3B">
      <w:pPr>
        <w:pStyle w:val="H2Text"/>
      </w:pPr>
      <w:r w:rsidRPr="00AA2383">
        <w:t>While modest improvements are evident in billing and collection efficiencies, continued subsidy reliance underscores the need for sustained financial and operational reform under the Compact framework.</w:t>
      </w:r>
    </w:p>
    <w:p w14:paraId="46125353" w14:textId="1915D2DE" w:rsidR="00D01B22" w:rsidRDefault="00D01B22" w:rsidP="00D01B22">
      <w:pPr>
        <w:pStyle w:val="Heading2"/>
      </w:pPr>
      <w:bookmarkStart w:id="39" w:name="_Toc227601157"/>
      <w:r>
        <w:t>Pillar 4: Incentivizing Private Sector Participation</w:t>
      </w:r>
      <w:bookmarkEnd w:id="39"/>
    </w:p>
    <w:p w14:paraId="00BCE41B" w14:textId="62A6CA97" w:rsidR="0049008A" w:rsidRDefault="00DB5103" w:rsidP="00DB5103">
      <w:pPr>
        <w:pStyle w:val="H2Text"/>
      </w:pPr>
      <w:r>
        <w:t>T</w:t>
      </w:r>
      <w:r w:rsidR="0049008A">
        <w:t>he Compact establishes a target of mobilizing USD 15.5 billion in private capital for last-mile access by 2030</w:t>
      </w:r>
      <w:r>
        <w:fldChar w:fldCharType="begin"/>
      </w:r>
      <w:r>
        <w:instrText xml:space="preserve"> NOTEREF _Ref222663515 \f \h </w:instrText>
      </w:r>
      <w:r>
        <w:fldChar w:fldCharType="separate"/>
      </w:r>
      <w:r w:rsidRPr="00DB5103">
        <w:rPr>
          <w:rStyle w:val="FootnoteReference"/>
        </w:rPr>
        <w:t>2</w:t>
      </w:r>
      <w:r>
        <w:fldChar w:fldCharType="end"/>
      </w:r>
      <w:r w:rsidR="0049008A">
        <w:t>. The baseline for private capital mobilized under the Compact framework remains recorded as USD 0 (2024), reflecting the starting point for structured tracking under M300.</w:t>
      </w:r>
    </w:p>
    <w:p w14:paraId="132F91EB" w14:textId="35C381C5" w:rsidR="0049008A" w:rsidRDefault="0049008A" w:rsidP="0049008A">
      <w:pPr>
        <w:pStyle w:val="H2Text"/>
      </w:pPr>
      <w:r>
        <w:t>Total investment required to achieve universal electricity access is estimated between USD 32.7–32.8 billion</w:t>
      </w:r>
      <w:r w:rsidR="00DB5103">
        <w:fldChar w:fldCharType="begin"/>
      </w:r>
      <w:r w:rsidR="00DB5103">
        <w:instrText xml:space="preserve"> NOTEREF _Ref222663515 \f \h </w:instrText>
      </w:r>
      <w:r w:rsidR="00DB5103">
        <w:fldChar w:fldCharType="separate"/>
      </w:r>
      <w:r w:rsidR="00DB5103" w:rsidRPr="00DB5103">
        <w:rPr>
          <w:rStyle w:val="FootnoteReference"/>
        </w:rPr>
        <w:t>2</w:t>
      </w:r>
      <w:r w:rsidR="00DB5103">
        <w:fldChar w:fldCharType="end"/>
      </w:r>
      <w:r>
        <w:t>.</w:t>
      </w:r>
    </w:p>
    <w:p w14:paraId="4511A2F3" w14:textId="22FD95FA" w:rsidR="0049008A" w:rsidRPr="0049008A" w:rsidRDefault="0049008A" w:rsidP="0049008A">
      <w:pPr>
        <w:pStyle w:val="H2Text"/>
      </w:pPr>
      <w:r>
        <w:t>Further validation is required to determine whether additional private capital mobilization figures exist outside the formal Compact tracking framework.</w:t>
      </w:r>
    </w:p>
    <w:p w14:paraId="5F8CEA48" w14:textId="11A2E9A7" w:rsidR="007D29EA" w:rsidRDefault="007D29EA" w:rsidP="007D29EA">
      <w:pPr>
        <w:pStyle w:val="Heading2"/>
      </w:pPr>
      <w:bookmarkStart w:id="40" w:name="_Toc227601158"/>
      <w:r>
        <w:t>Pillar 5: Leveraging Regional Integration</w:t>
      </w:r>
      <w:bookmarkEnd w:id="40"/>
    </w:p>
    <w:p w14:paraId="73A76E8F" w14:textId="4A33894F" w:rsidR="0049008A" w:rsidRDefault="0049008A" w:rsidP="0049008A">
      <w:pPr>
        <w:pStyle w:val="H2Text"/>
      </w:pPr>
      <w:r>
        <w:t>While the Compact identifies regional integration as a pillar, formalized baseline indicators directly measuring cross-border electricity trade volumes and interconnection utilization require further validation from system and market operators.</w:t>
      </w:r>
    </w:p>
    <w:p w14:paraId="0D29F9A6" w14:textId="2AD217BB" w:rsidR="0049008A" w:rsidRDefault="0049008A" w:rsidP="0049008A">
      <w:pPr>
        <w:pStyle w:val="H2Text"/>
      </w:pPr>
      <w:r>
        <w:t>However, the Q3 2025 NERC report confirms that three international bilateral customers made cumulative payments of USD 7.125 million against USD 18.69 million invoiced during the quarter (38.09 percent remittance rate)</w:t>
      </w:r>
      <w:r w:rsidR="004A5E0F">
        <w:fldChar w:fldCharType="begin"/>
      </w:r>
      <w:r w:rsidR="004A5E0F">
        <w:instrText xml:space="preserve"> NOTEREF _Ref222664402 \f \h </w:instrText>
      </w:r>
      <w:r w:rsidR="004A5E0F">
        <w:fldChar w:fldCharType="separate"/>
      </w:r>
      <w:r w:rsidR="004A5E0F" w:rsidRPr="004A5E0F">
        <w:rPr>
          <w:rStyle w:val="FootnoteReference"/>
        </w:rPr>
        <w:t>3</w:t>
      </w:r>
      <w:r w:rsidR="004A5E0F">
        <w:fldChar w:fldCharType="end"/>
      </w:r>
      <w:r>
        <w:t>.</w:t>
      </w:r>
    </w:p>
    <w:p w14:paraId="53A673E2" w14:textId="1E5B0C14" w:rsidR="0049008A" w:rsidRPr="0049008A" w:rsidRDefault="0049008A" w:rsidP="0049008A">
      <w:pPr>
        <w:pStyle w:val="H2Text"/>
      </w:pPr>
      <w:r>
        <w:lastRenderedPageBreak/>
        <w:t>This confirms the existence of cross-border commercial transactions but indicates that structured baseline indicators for regional electricity exchange require further stakeholder confirmation.</w:t>
      </w:r>
    </w:p>
    <w:p w14:paraId="576F0E5D" w14:textId="6C7865B4" w:rsidR="00390280" w:rsidRDefault="00390280" w:rsidP="00390280">
      <w:pPr>
        <w:pStyle w:val="Heading2"/>
      </w:pPr>
      <w:bookmarkStart w:id="41" w:name="_Toc227601159"/>
      <w:r>
        <w:t>Clean Cooking Baseline (Cross-Cutting Access Indicator)</w:t>
      </w:r>
      <w:bookmarkEnd w:id="41"/>
    </w:p>
    <w:p w14:paraId="065F47E0" w14:textId="7F3F16D7" w:rsidR="0049008A" w:rsidRDefault="0049008A" w:rsidP="0049008A">
      <w:pPr>
        <w:pStyle w:val="H2Text"/>
      </w:pPr>
      <w:r>
        <w:t>Clean cooking access previously stood at 26 percent (2024), leaving over 160 million people without access to modern cooking solutions</w:t>
      </w:r>
      <w:r w:rsidR="004A5E0F">
        <w:fldChar w:fldCharType="begin"/>
      </w:r>
      <w:r w:rsidR="004A5E0F">
        <w:instrText xml:space="preserve"> NOTEREF _Ref222663515 \f \h </w:instrText>
      </w:r>
      <w:r w:rsidR="004A5E0F">
        <w:fldChar w:fldCharType="separate"/>
      </w:r>
      <w:r w:rsidR="004A5E0F" w:rsidRPr="004A5E0F">
        <w:rPr>
          <w:rStyle w:val="FootnoteReference"/>
        </w:rPr>
        <w:t>2</w:t>
      </w:r>
      <w:r w:rsidR="004A5E0F">
        <w:fldChar w:fldCharType="end"/>
      </w:r>
      <w:r>
        <w:t>. Approximately 7.9 million households (10.5 percent) use LPG as their primary cooking fuel</w:t>
      </w:r>
      <w:r w:rsidR="00971FC7">
        <w:fldChar w:fldCharType="begin"/>
      </w:r>
      <w:r w:rsidR="00971FC7">
        <w:instrText xml:space="preserve"> NOTEREF _Ref222663515 \f \h </w:instrText>
      </w:r>
      <w:r w:rsidR="00971FC7">
        <w:fldChar w:fldCharType="separate"/>
      </w:r>
      <w:r w:rsidR="00971FC7" w:rsidRPr="00971FC7">
        <w:rPr>
          <w:rStyle w:val="FootnoteReference"/>
        </w:rPr>
        <w:t>2</w:t>
      </w:r>
      <w:r w:rsidR="00971FC7">
        <w:fldChar w:fldCharType="end"/>
      </w:r>
      <w:r>
        <w:t>, while electricity-based cooking remains limited at approximately 1 percent of households</w:t>
      </w:r>
      <w:r w:rsidR="00077D4F">
        <w:fldChar w:fldCharType="begin"/>
      </w:r>
      <w:r w:rsidR="00077D4F">
        <w:instrText xml:space="preserve"> NOTEREF _Ref222663515 \f \h </w:instrText>
      </w:r>
      <w:r w:rsidR="00077D4F">
        <w:fldChar w:fldCharType="separate"/>
      </w:r>
      <w:r w:rsidR="00077D4F" w:rsidRPr="00077D4F">
        <w:rPr>
          <w:rStyle w:val="FootnoteReference"/>
        </w:rPr>
        <w:t>2</w:t>
      </w:r>
      <w:r w:rsidR="00077D4F">
        <w:fldChar w:fldCharType="end"/>
      </w:r>
      <w:r>
        <w:t>.</w:t>
      </w:r>
    </w:p>
    <w:p w14:paraId="779FB5E3" w14:textId="10550E35" w:rsidR="008B4458" w:rsidRDefault="0049008A" w:rsidP="0049008A">
      <w:pPr>
        <w:pStyle w:val="H2Text"/>
      </w:pPr>
      <w:r>
        <w:t>Given the scale of the deficit, structured monitoring of clean cooking deployment and household transition metrics will be essential under the Compact framework.</w:t>
      </w:r>
    </w:p>
    <w:p w14:paraId="66737583" w14:textId="77777777" w:rsidR="0049008A" w:rsidRDefault="0049008A" w:rsidP="0049008A">
      <w:pPr>
        <w:pStyle w:val="H2Text"/>
      </w:pPr>
    </w:p>
    <w:p w14:paraId="4694BBB0" w14:textId="77777777" w:rsidR="0049008A" w:rsidRDefault="0049008A" w:rsidP="0049008A">
      <w:pPr>
        <w:pStyle w:val="H2Text"/>
      </w:pPr>
    </w:p>
    <w:p w14:paraId="31EEADB2" w14:textId="77777777" w:rsidR="0049008A" w:rsidRDefault="0049008A" w:rsidP="0049008A">
      <w:pPr>
        <w:pStyle w:val="H2Text"/>
      </w:pPr>
    </w:p>
    <w:p w14:paraId="05E7262A" w14:textId="77777777" w:rsidR="0049008A" w:rsidRDefault="0049008A" w:rsidP="0049008A">
      <w:pPr>
        <w:pStyle w:val="H2Text"/>
      </w:pPr>
    </w:p>
    <w:p w14:paraId="30B973E0" w14:textId="77777777" w:rsidR="00F119DE" w:rsidRDefault="00F119DE" w:rsidP="0049008A">
      <w:pPr>
        <w:pStyle w:val="H2Text"/>
      </w:pPr>
    </w:p>
    <w:p w14:paraId="52D86D62" w14:textId="77777777" w:rsidR="00F119DE" w:rsidRDefault="00F119DE" w:rsidP="0049008A">
      <w:pPr>
        <w:pStyle w:val="H2Text"/>
      </w:pPr>
    </w:p>
    <w:p w14:paraId="228013AE" w14:textId="77777777" w:rsidR="00F119DE" w:rsidRDefault="00F119DE" w:rsidP="0049008A">
      <w:pPr>
        <w:pStyle w:val="H2Text"/>
      </w:pPr>
    </w:p>
    <w:p w14:paraId="319AA100" w14:textId="77777777" w:rsidR="0049008A" w:rsidRDefault="0049008A" w:rsidP="0049008A">
      <w:pPr>
        <w:pStyle w:val="H2Text"/>
      </w:pPr>
    </w:p>
    <w:p w14:paraId="76605B2A" w14:textId="1D4ABD78" w:rsidR="00AD4F5E" w:rsidRDefault="00AD4F5E" w:rsidP="008B4DA1">
      <w:pPr>
        <w:pStyle w:val="Heading1"/>
      </w:pPr>
      <w:bookmarkStart w:id="42" w:name="_Toc227601160"/>
      <w:r>
        <w:lastRenderedPageBreak/>
        <w:t>Monitoring and KPI Framework Structure</w:t>
      </w:r>
      <w:bookmarkEnd w:id="42"/>
    </w:p>
    <w:p w14:paraId="4AEB0BEF" w14:textId="77777777" w:rsidR="00702E90" w:rsidRDefault="00702E90" w:rsidP="00702E90">
      <w:pPr>
        <w:pStyle w:val="H1Text"/>
      </w:pPr>
      <w:r>
        <w:t>The Monitoring and KPI Framework establishes the structured logic through which M300 implementation will be tracked. The framework translates Compact objectives into measurable indicators and defines how these indicators are classified, organized, and reported within the monitoring system.</w:t>
      </w:r>
    </w:p>
    <w:p w14:paraId="3635B760" w14:textId="77777777" w:rsidR="00702E90" w:rsidRDefault="00702E90" w:rsidP="00702E90">
      <w:pPr>
        <w:pStyle w:val="H1Text"/>
      </w:pPr>
    </w:p>
    <w:p w14:paraId="15BD2E13" w14:textId="45C8B8C3" w:rsidR="00702E90" w:rsidRPr="00702E90" w:rsidRDefault="00702E90" w:rsidP="00702E90">
      <w:pPr>
        <w:pStyle w:val="H1Text"/>
      </w:pPr>
      <w:r>
        <w:t>The full KPI Matrix is provided in Annex 1. This section outlines the structural logic underpinning that matrix.</w:t>
      </w:r>
    </w:p>
    <w:p w14:paraId="492A1884" w14:textId="41380BBC" w:rsidR="005C04BA" w:rsidRDefault="005C04BA" w:rsidP="005C04BA">
      <w:pPr>
        <w:pStyle w:val="Heading2"/>
      </w:pPr>
      <w:bookmarkStart w:id="43" w:name="_Toc227601161"/>
      <w:r>
        <w:t xml:space="preserve">Indicator </w:t>
      </w:r>
      <w:r w:rsidR="006046D4">
        <w:t>Classification Structure</w:t>
      </w:r>
      <w:bookmarkEnd w:id="43"/>
    </w:p>
    <w:p w14:paraId="43EB6B61" w14:textId="49694D7D" w:rsidR="00166F13" w:rsidRPr="00166F13" w:rsidRDefault="00166F13" w:rsidP="00166F13">
      <w:pPr>
        <w:pStyle w:val="H2Text"/>
      </w:pPr>
      <w:r w:rsidRPr="00166F13">
        <w:t>The KPI Matrix is organized using a dual classification structure to ensure both analytical clarity and alignment with the M300 policy framework.</w:t>
      </w:r>
    </w:p>
    <w:p w14:paraId="192A5A5E" w14:textId="455B9024" w:rsidR="005B27AD" w:rsidRDefault="006046D4" w:rsidP="005B27AD">
      <w:pPr>
        <w:pStyle w:val="Heading3"/>
      </w:pPr>
      <w:r>
        <w:t>Primary Classification – Thematic Categories</w:t>
      </w:r>
    </w:p>
    <w:p w14:paraId="43094DBF" w14:textId="11671DB8" w:rsidR="00C846F0" w:rsidRPr="00C846F0" w:rsidRDefault="00C846F0" w:rsidP="00C846F0">
      <w:pPr>
        <w:pStyle w:val="H3text"/>
        <w:rPr>
          <w:lang w:val="en-US"/>
        </w:rPr>
      </w:pPr>
      <w:r w:rsidRPr="00C846F0">
        <w:t>Indicators are grouped into operational categories reflecting sector structure and implementation areas. These include:</w:t>
      </w:r>
    </w:p>
    <w:p w14:paraId="49A4FD9F" w14:textId="77777777" w:rsidR="00E66F32" w:rsidRDefault="00E66F32" w:rsidP="00E66F32">
      <w:pPr>
        <w:pStyle w:val="H3bullet"/>
      </w:pPr>
      <w:r w:rsidRPr="00E66F32">
        <w:t>Metering</w:t>
      </w:r>
    </w:p>
    <w:p w14:paraId="12B3763D" w14:textId="77777777" w:rsidR="00E66F32" w:rsidRDefault="00E66F32" w:rsidP="00E66F32">
      <w:pPr>
        <w:pStyle w:val="H3bullet"/>
      </w:pPr>
      <w:r w:rsidRPr="00E66F32">
        <w:t>Grid Electricity Access</w:t>
      </w:r>
    </w:p>
    <w:p w14:paraId="0F5A069D" w14:textId="77777777" w:rsidR="00E66F32" w:rsidRDefault="00E66F32" w:rsidP="00E66F32">
      <w:pPr>
        <w:pStyle w:val="H3bullet"/>
      </w:pPr>
      <w:r w:rsidRPr="00E66F32">
        <w:t>Mini-Grids</w:t>
      </w:r>
    </w:p>
    <w:p w14:paraId="432C724D" w14:textId="77777777" w:rsidR="00E66F32" w:rsidRDefault="00E66F32" w:rsidP="00E66F32">
      <w:pPr>
        <w:pStyle w:val="H3bullet"/>
      </w:pPr>
      <w:r w:rsidRPr="00E66F32">
        <w:t>Standalone Solar (SHS)</w:t>
      </w:r>
    </w:p>
    <w:p w14:paraId="29F034BA" w14:textId="77777777" w:rsidR="00E66F32" w:rsidRDefault="00E66F32" w:rsidP="00E66F32">
      <w:pPr>
        <w:pStyle w:val="H3bullet"/>
      </w:pPr>
      <w:r w:rsidRPr="00E66F32">
        <w:t>Clean Cooking</w:t>
      </w:r>
    </w:p>
    <w:p w14:paraId="0DA1FCE4" w14:textId="77777777" w:rsidR="00E66F32" w:rsidRDefault="00E66F32" w:rsidP="00E66F32">
      <w:pPr>
        <w:pStyle w:val="H3bullet"/>
      </w:pPr>
      <w:r w:rsidRPr="00E66F32">
        <w:t>Utility Performance and Losses</w:t>
      </w:r>
    </w:p>
    <w:p w14:paraId="282675B3" w14:textId="77777777" w:rsidR="00E66F32" w:rsidRDefault="00E66F32" w:rsidP="00E66F32">
      <w:pPr>
        <w:pStyle w:val="H3bullet"/>
      </w:pPr>
      <w:r w:rsidRPr="00E66F32">
        <w:t>Generation and Transmission</w:t>
      </w:r>
    </w:p>
    <w:p w14:paraId="5F58596A" w14:textId="77777777" w:rsidR="00E66F32" w:rsidRDefault="00E66F32" w:rsidP="00E66F32">
      <w:pPr>
        <w:pStyle w:val="H3bullet"/>
      </w:pPr>
      <w:r w:rsidRPr="00E66F32">
        <w:t>Private Investment</w:t>
      </w:r>
    </w:p>
    <w:p w14:paraId="1A0188F1" w14:textId="77777777" w:rsidR="00C36D6F" w:rsidRDefault="00E66F32" w:rsidP="00C36D6F">
      <w:pPr>
        <w:pStyle w:val="H3bullet"/>
      </w:pPr>
      <w:r w:rsidRPr="00E66F32">
        <w:t>Project Pipeline</w:t>
      </w:r>
    </w:p>
    <w:p w14:paraId="1F565586" w14:textId="77777777" w:rsidR="00C36D6F" w:rsidRDefault="00E66F32" w:rsidP="00C36D6F">
      <w:pPr>
        <w:pStyle w:val="H3bullet"/>
      </w:pPr>
      <w:r w:rsidRPr="00C36D6F">
        <w:t>Energy Access Quality (MTF)</w:t>
      </w:r>
    </w:p>
    <w:p w14:paraId="40433504" w14:textId="7EE481D9" w:rsidR="00C36D6F" w:rsidRDefault="00E66F32" w:rsidP="00C36D6F">
      <w:pPr>
        <w:pStyle w:val="H3bullet"/>
      </w:pPr>
      <w:r w:rsidRPr="00C36D6F">
        <w:t>Regional Integration</w:t>
      </w:r>
    </w:p>
    <w:p w14:paraId="6314969C" w14:textId="77777777" w:rsidR="00C36D6F" w:rsidRDefault="00C36D6F" w:rsidP="00C36D6F">
      <w:pPr>
        <w:pStyle w:val="H3bullet"/>
        <w:numPr>
          <w:ilvl w:val="0"/>
          <w:numId w:val="0"/>
        </w:numPr>
        <w:ind w:left="720"/>
      </w:pPr>
    </w:p>
    <w:p w14:paraId="5E202DBD" w14:textId="06E83E69" w:rsidR="0077316C" w:rsidRDefault="0077316C" w:rsidP="0077316C">
      <w:pPr>
        <w:pStyle w:val="Heading3"/>
      </w:pPr>
      <w:r>
        <w:t>Secondary Classification – Compact Pillar Alignment</w:t>
      </w:r>
    </w:p>
    <w:p w14:paraId="50EC481D" w14:textId="3AAD0131" w:rsidR="0077316C" w:rsidRDefault="0077316C" w:rsidP="0077316C">
      <w:pPr>
        <w:pStyle w:val="H3text"/>
      </w:pPr>
      <w:r w:rsidRPr="0077316C">
        <w:t>Each indicator will also be mapped to one of the five pillars of the Nigeria National Energy Compact:</w:t>
      </w:r>
    </w:p>
    <w:p w14:paraId="7735A2DF" w14:textId="134BBB56" w:rsidR="00174B01" w:rsidRPr="00174B01" w:rsidRDefault="00174B01" w:rsidP="00174B01">
      <w:pPr>
        <w:pStyle w:val="H3bullet"/>
      </w:pPr>
      <w:r w:rsidRPr="00174B01">
        <w:t>Pillar 1 – Infrastructure Rehabilitation and Expansion</w:t>
      </w:r>
    </w:p>
    <w:p w14:paraId="6F421873" w14:textId="2706BCC3" w:rsidR="00174B01" w:rsidRPr="00174B01" w:rsidRDefault="00174B01" w:rsidP="00174B01">
      <w:pPr>
        <w:pStyle w:val="H3bullet"/>
      </w:pPr>
      <w:r w:rsidRPr="00174B01">
        <w:t>Pillar 2 – Last Mile Access</w:t>
      </w:r>
    </w:p>
    <w:p w14:paraId="7C7F04B0" w14:textId="0A3FA93A" w:rsidR="00174B01" w:rsidRPr="00174B01" w:rsidRDefault="00174B01" w:rsidP="00174B01">
      <w:pPr>
        <w:pStyle w:val="H3bullet"/>
      </w:pPr>
      <w:r w:rsidRPr="00174B01">
        <w:t>Pillar 3 – Financially Viable Utilities</w:t>
      </w:r>
    </w:p>
    <w:p w14:paraId="530ED23C" w14:textId="11F0AC30" w:rsidR="00174B01" w:rsidRPr="00174B01" w:rsidRDefault="00174B01" w:rsidP="00174B01">
      <w:pPr>
        <w:pStyle w:val="H3bullet"/>
      </w:pPr>
      <w:r w:rsidRPr="00174B01">
        <w:t>Pillar 4 – Private Sector Participation</w:t>
      </w:r>
    </w:p>
    <w:p w14:paraId="1C55CD3D" w14:textId="7AA4278D" w:rsidR="0077316C" w:rsidRDefault="00174B01" w:rsidP="00174B01">
      <w:pPr>
        <w:pStyle w:val="H3bullet"/>
      </w:pPr>
      <w:r w:rsidRPr="00174B01">
        <w:t>Pillar 5 – Regional Integration</w:t>
      </w:r>
    </w:p>
    <w:p w14:paraId="357542DF" w14:textId="77777777" w:rsidR="00625977" w:rsidRDefault="00625977" w:rsidP="00625977">
      <w:pPr>
        <w:pStyle w:val="H3bullet"/>
        <w:numPr>
          <w:ilvl w:val="0"/>
          <w:numId w:val="0"/>
        </w:numPr>
        <w:ind w:left="720"/>
      </w:pPr>
    </w:p>
    <w:p w14:paraId="211B8BAA" w14:textId="08652A26" w:rsidR="00625977" w:rsidRPr="0077316C" w:rsidRDefault="00625977" w:rsidP="00625977">
      <w:pPr>
        <w:pStyle w:val="H3bullet"/>
        <w:numPr>
          <w:ilvl w:val="0"/>
          <w:numId w:val="0"/>
        </w:numPr>
        <w:ind w:left="720"/>
      </w:pPr>
      <w:r w:rsidRPr="00625977">
        <w:rPr>
          <w:lang w:val="en-GB"/>
        </w:rPr>
        <w:t>This tagging enables filtering and aggregation of indicators by Compact pillar while preserving the thematic structure used for dashboard navigation.</w:t>
      </w:r>
    </w:p>
    <w:p w14:paraId="63C5C925" w14:textId="077EF490" w:rsidR="00B854A0" w:rsidRDefault="005B27AD" w:rsidP="00AB6A82">
      <w:pPr>
        <w:pStyle w:val="Heading2"/>
      </w:pPr>
      <w:bookmarkStart w:id="44" w:name="_Toc227601162"/>
      <w:r>
        <w:lastRenderedPageBreak/>
        <w:t>Indicator Typology</w:t>
      </w:r>
      <w:bookmarkEnd w:id="44"/>
    </w:p>
    <w:p w14:paraId="1319FB94" w14:textId="5D5EC53A" w:rsidR="00A02C7F" w:rsidRPr="00A02C7F" w:rsidRDefault="00A02C7F" w:rsidP="00A02C7F">
      <w:pPr>
        <w:pStyle w:val="H2Text"/>
      </w:pPr>
      <w:r w:rsidRPr="00A02C7F">
        <w:t>Indicators will be categorized by analytical function to distinguish between different types of monitoring metrics. Proposed indicator types include:</w:t>
      </w:r>
    </w:p>
    <w:p w14:paraId="5208466A" w14:textId="669E9E19" w:rsidR="00AB6A82" w:rsidRPr="00AB6A82" w:rsidRDefault="00AB6A82" w:rsidP="00AB6A82">
      <w:pPr>
        <w:pStyle w:val="H2Bullet0"/>
      </w:pPr>
      <w:r w:rsidRPr="00AB6A82">
        <w:t>Output</w:t>
      </w:r>
      <w:r w:rsidR="00734E50">
        <w:t xml:space="preserve"> (</w:t>
      </w:r>
      <w:r w:rsidR="00734E50" w:rsidRPr="00734E50">
        <w:t>e.g., number of connections, meters installed</w:t>
      </w:r>
      <w:r w:rsidR="00734E50">
        <w:t>)</w:t>
      </w:r>
    </w:p>
    <w:p w14:paraId="769F6A00" w14:textId="35FC9E0E" w:rsidR="00AB6A82" w:rsidRPr="00AB6A82" w:rsidRDefault="00AB6A82" w:rsidP="00AB6A82">
      <w:pPr>
        <w:pStyle w:val="H2Bullet0"/>
      </w:pPr>
      <w:r w:rsidRPr="00AB6A82">
        <w:t>Outcome</w:t>
      </w:r>
      <w:r w:rsidR="00734E50">
        <w:t xml:space="preserve"> (</w:t>
      </w:r>
      <w:r w:rsidR="00A24AFF" w:rsidRPr="00A24AFF">
        <w:t>e.g., access rates</w:t>
      </w:r>
      <w:r w:rsidR="00734E50">
        <w:t>)</w:t>
      </w:r>
    </w:p>
    <w:p w14:paraId="4728976A" w14:textId="428BE986" w:rsidR="00AB6A82" w:rsidRPr="00AB6A82" w:rsidRDefault="00AB6A82" w:rsidP="00AB6A82">
      <w:pPr>
        <w:pStyle w:val="H2Bullet0"/>
      </w:pPr>
      <w:r w:rsidRPr="00AB6A82">
        <w:t>System Performance</w:t>
      </w:r>
      <w:r w:rsidR="00A24AFF">
        <w:t xml:space="preserve"> </w:t>
      </w:r>
      <w:r w:rsidR="00A24AFF" w:rsidRPr="00A24AFF">
        <w:t>(e.g., ATC&amp;C losses, collection efficiency)</w:t>
      </w:r>
    </w:p>
    <w:p w14:paraId="36BAEF4A" w14:textId="330F0FCC" w:rsidR="00AB6A82" w:rsidRPr="00AB6A82" w:rsidRDefault="00AB6A82" w:rsidP="00AB6A82">
      <w:pPr>
        <w:pStyle w:val="H2Bullet0"/>
      </w:pPr>
      <w:r w:rsidRPr="00AB6A82">
        <w:t>Financial</w:t>
      </w:r>
      <w:r w:rsidR="00A24AFF">
        <w:t xml:space="preserve"> </w:t>
      </w:r>
      <w:r w:rsidR="00A24AFF" w:rsidRPr="00A24AFF">
        <w:t>(e.g., tariff shortfall)</w:t>
      </w:r>
    </w:p>
    <w:p w14:paraId="4DD2D4F2" w14:textId="74F46D9F" w:rsidR="00AB6A82" w:rsidRPr="00AB6A82" w:rsidRDefault="00AB6A82" w:rsidP="00AB6A82">
      <w:pPr>
        <w:pStyle w:val="H2Bullet0"/>
      </w:pPr>
      <w:r w:rsidRPr="00AB6A82">
        <w:t>Investment</w:t>
      </w:r>
      <w:r w:rsidR="00A24AFF">
        <w:t xml:space="preserve"> </w:t>
      </w:r>
      <w:r w:rsidR="00A24AFF" w:rsidRPr="00A24AFF">
        <w:t>(e.g., capital mobilization)</w:t>
      </w:r>
    </w:p>
    <w:p w14:paraId="34C5EA7E" w14:textId="6868A418" w:rsidR="00AB6A82" w:rsidRPr="00AB6A82" w:rsidRDefault="00AB6A82" w:rsidP="00AB6A82">
      <w:pPr>
        <w:pStyle w:val="H2Bullet0"/>
      </w:pPr>
      <w:r w:rsidRPr="00AB6A82">
        <w:t>Capacity</w:t>
      </w:r>
      <w:r w:rsidR="000B2D40">
        <w:t xml:space="preserve"> </w:t>
      </w:r>
      <w:r w:rsidR="000B2D40" w:rsidRPr="000B2D40">
        <w:t>(e.g., installed or available generation capacity)</w:t>
      </w:r>
    </w:p>
    <w:p w14:paraId="4B6F25EB" w14:textId="0E2D5EE5" w:rsidR="00AB6A82" w:rsidRPr="00AB6A82" w:rsidRDefault="00AB6A82" w:rsidP="00AB6A82">
      <w:pPr>
        <w:pStyle w:val="H2Bullet0"/>
      </w:pPr>
      <w:r w:rsidRPr="00AB6A82">
        <w:t>Pipeline</w:t>
      </w:r>
      <w:r w:rsidR="000B2D40">
        <w:t xml:space="preserve"> </w:t>
      </w:r>
      <w:r w:rsidR="000B2D40" w:rsidRPr="000B2D40">
        <w:t>(e.g., projects under development)</w:t>
      </w:r>
    </w:p>
    <w:p w14:paraId="0C55DF92" w14:textId="78BB1BF5" w:rsidR="005B27AD" w:rsidRDefault="00AB6A82" w:rsidP="00AB6A82">
      <w:pPr>
        <w:pStyle w:val="H2Bullet0"/>
      </w:pPr>
      <w:r w:rsidRPr="00AB6A82">
        <w:t>Access Quality</w:t>
      </w:r>
      <w:r w:rsidR="000B2D40">
        <w:t xml:space="preserve"> </w:t>
      </w:r>
      <w:r w:rsidR="000B2D40" w:rsidRPr="000B2D40">
        <w:t>(e.g., service tiers)</w:t>
      </w:r>
    </w:p>
    <w:p w14:paraId="22E5AC9B" w14:textId="101B4E09" w:rsidR="00AB6A82" w:rsidRDefault="00245A7D" w:rsidP="00AB6A82">
      <w:pPr>
        <w:pStyle w:val="H3bullet"/>
        <w:numPr>
          <w:ilvl w:val="0"/>
          <w:numId w:val="0"/>
        </w:numPr>
        <w:ind w:left="720"/>
      </w:pPr>
      <w:r w:rsidRPr="00245A7D">
        <w:rPr>
          <w:lang w:val="en-GB"/>
        </w:rPr>
        <w:t>This classification helps distinguish infrastructure deployment metrics from financial performance indicators and service quality metrics.</w:t>
      </w:r>
    </w:p>
    <w:p w14:paraId="0C96E867" w14:textId="071E8B67" w:rsidR="00AB6A82" w:rsidRDefault="00AB6A82" w:rsidP="00AB6A82">
      <w:pPr>
        <w:pStyle w:val="Heading2"/>
      </w:pPr>
      <w:bookmarkStart w:id="45" w:name="_Toc227601163"/>
      <w:r w:rsidRPr="00AB6A82">
        <w:t>Indicator Definition and Traceability</w:t>
      </w:r>
      <w:bookmarkEnd w:id="45"/>
    </w:p>
    <w:p w14:paraId="0B41D28D" w14:textId="7D80672B" w:rsidR="00AB6A82" w:rsidRDefault="00F370C0" w:rsidP="00AB6A82">
      <w:pPr>
        <w:pStyle w:val="H2Text"/>
      </w:pPr>
      <w:r w:rsidRPr="00F370C0">
        <w:t>Each indicator within the monitoring framework will be defined using a standardized structure including:</w:t>
      </w:r>
    </w:p>
    <w:p w14:paraId="7432FEE6" w14:textId="0FD21F96" w:rsidR="00AB6A82" w:rsidRDefault="00AB6A82" w:rsidP="00AB6A82">
      <w:pPr>
        <w:pStyle w:val="H2Bullet0"/>
      </w:pPr>
      <w:r>
        <w:t>A clear technical definition</w:t>
      </w:r>
    </w:p>
    <w:p w14:paraId="67C76E12" w14:textId="2AC62DA7" w:rsidR="00AB6A82" w:rsidRDefault="00AB6A82" w:rsidP="00AB6A82">
      <w:pPr>
        <w:pStyle w:val="H2Bullet0"/>
      </w:pPr>
      <w:r>
        <w:t>Defined unit of measurement</w:t>
      </w:r>
    </w:p>
    <w:p w14:paraId="0AF256C8" w14:textId="7289C7E2" w:rsidR="00AB6A82" w:rsidRDefault="00AB6A82" w:rsidP="00AB6A82">
      <w:pPr>
        <w:pStyle w:val="H2Bullet0"/>
      </w:pPr>
      <w:r>
        <w:t>Aggregation level</w:t>
      </w:r>
    </w:p>
    <w:p w14:paraId="7AA18EBC" w14:textId="75AC6ACA" w:rsidR="00AB6A82" w:rsidRDefault="00AB6A82" w:rsidP="00AB6A82">
      <w:pPr>
        <w:pStyle w:val="H2Bullet0"/>
      </w:pPr>
      <w:r>
        <w:t>Reporting frequency</w:t>
      </w:r>
    </w:p>
    <w:p w14:paraId="17B2CA02" w14:textId="02CFB702" w:rsidR="00AB6A82" w:rsidRDefault="00AB6A82" w:rsidP="00AB6A82">
      <w:pPr>
        <w:pStyle w:val="H2Bullet0"/>
      </w:pPr>
      <w:r>
        <w:t>Identified data owner</w:t>
      </w:r>
    </w:p>
    <w:p w14:paraId="30893172" w14:textId="6A4F6482" w:rsidR="00AB6A82" w:rsidRDefault="00AB6A82" w:rsidP="00AB6A82">
      <w:pPr>
        <w:pStyle w:val="H2Bullet0"/>
      </w:pPr>
      <w:r>
        <w:t>Source reference</w:t>
      </w:r>
    </w:p>
    <w:p w14:paraId="6FBE295B" w14:textId="1A3AC253" w:rsidR="00AB6A82" w:rsidRDefault="00AB6A82" w:rsidP="00AB6A82">
      <w:pPr>
        <w:pStyle w:val="H2Bullet0"/>
      </w:pPr>
      <w:r>
        <w:t>Validation status</w:t>
      </w:r>
    </w:p>
    <w:p w14:paraId="6BEA7C70" w14:textId="77777777" w:rsidR="00C36660" w:rsidRDefault="00C36660" w:rsidP="00C36660">
      <w:pPr>
        <w:pStyle w:val="H2Bullet0"/>
        <w:numPr>
          <w:ilvl w:val="0"/>
          <w:numId w:val="0"/>
        </w:numPr>
        <w:ind w:left="720"/>
      </w:pPr>
    </w:p>
    <w:p w14:paraId="72ADF762" w14:textId="1F84F44B" w:rsidR="00E450BA" w:rsidRDefault="00E450BA" w:rsidP="00E450BA">
      <w:pPr>
        <w:pStyle w:val="H2Bullet0"/>
        <w:numPr>
          <w:ilvl w:val="0"/>
          <w:numId w:val="0"/>
        </w:numPr>
        <w:ind w:left="720"/>
        <w:rPr>
          <w:lang w:val="en-NG"/>
        </w:rPr>
      </w:pPr>
      <w:r w:rsidRPr="00E450BA">
        <w:rPr>
          <w:lang w:val="en-NG"/>
        </w:rPr>
        <w:t>Where indicators are derived from underlying datasets, calculation logic will be documented to ensure transparency and consistency in reporting.</w:t>
      </w:r>
    </w:p>
    <w:p w14:paraId="7389944F" w14:textId="77777777" w:rsidR="00E450BA" w:rsidRPr="00E450BA" w:rsidRDefault="00E450BA" w:rsidP="00E450BA">
      <w:pPr>
        <w:pStyle w:val="H2Bullet0"/>
        <w:numPr>
          <w:ilvl w:val="0"/>
          <w:numId w:val="0"/>
        </w:numPr>
        <w:ind w:left="720"/>
        <w:rPr>
          <w:lang w:val="en-NG"/>
        </w:rPr>
      </w:pPr>
    </w:p>
    <w:p w14:paraId="16F86137" w14:textId="06D829AA" w:rsidR="00E450BA" w:rsidRPr="00E450BA" w:rsidRDefault="00E450BA" w:rsidP="00E450BA">
      <w:pPr>
        <w:pStyle w:val="H2Bullet0"/>
        <w:numPr>
          <w:ilvl w:val="0"/>
          <w:numId w:val="0"/>
        </w:numPr>
        <w:ind w:left="720"/>
        <w:rPr>
          <w:lang w:val="en-NG"/>
        </w:rPr>
      </w:pPr>
      <w:r w:rsidRPr="00E450BA">
        <w:rPr>
          <w:lang w:val="en-NG"/>
        </w:rPr>
        <w:t xml:space="preserve">This </w:t>
      </w:r>
      <w:r w:rsidR="003F43A0">
        <w:rPr>
          <w:lang w:val="en-NG"/>
        </w:rPr>
        <w:t xml:space="preserve">framework enables </w:t>
      </w:r>
      <w:r w:rsidRPr="00E450BA">
        <w:rPr>
          <w:lang w:val="en-NG"/>
        </w:rPr>
        <w:t>each metric displayed on the dashboard can be traced to a defined data source and calculation methodology.</w:t>
      </w:r>
    </w:p>
    <w:p w14:paraId="218DFEDD" w14:textId="77777777" w:rsidR="00E450BA" w:rsidRDefault="00E450BA" w:rsidP="00C36660">
      <w:pPr>
        <w:pStyle w:val="H2Bullet0"/>
        <w:numPr>
          <w:ilvl w:val="0"/>
          <w:numId w:val="0"/>
        </w:numPr>
        <w:ind w:left="720"/>
      </w:pPr>
    </w:p>
    <w:p w14:paraId="59232E04" w14:textId="77777777" w:rsidR="00C36660" w:rsidRPr="00C36660" w:rsidRDefault="00C36660" w:rsidP="00C36660">
      <w:pPr>
        <w:pStyle w:val="Heading2"/>
      </w:pPr>
      <w:bookmarkStart w:id="46" w:name="_Toc227601164"/>
      <w:r w:rsidRPr="00C36660">
        <w:t>Aggregation Structure</w:t>
      </w:r>
      <w:bookmarkEnd w:id="46"/>
    </w:p>
    <w:p w14:paraId="35A941CB" w14:textId="632CB4CB" w:rsidR="00C36660" w:rsidRDefault="0091502D" w:rsidP="00C36660">
      <w:pPr>
        <w:pStyle w:val="H2Bullet0"/>
        <w:numPr>
          <w:ilvl w:val="0"/>
          <w:numId w:val="0"/>
        </w:numPr>
        <w:ind w:left="720"/>
      </w:pPr>
      <w:r w:rsidRPr="0091502D">
        <w:t>The monitoring framework is designed to support reporting across multiple geographic and institutional levels, subject to data availability.</w:t>
      </w:r>
    </w:p>
    <w:p w14:paraId="0A5B1145" w14:textId="77777777" w:rsidR="00A62A1D" w:rsidRPr="00C36660" w:rsidRDefault="00A62A1D" w:rsidP="00C36660">
      <w:pPr>
        <w:pStyle w:val="H2Bullet0"/>
        <w:numPr>
          <w:ilvl w:val="0"/>
          <w:numId w:val="0"/>
        </w:numPr>
        <w:ind w:left="720"/>
      </w:pPr>
    </w:p>
    <w:p w14:paraId="394DE9A1" w14:textId="77777777" w:rsidR="00C36660" w:rsidRPr="00C36660" w:rsidRDefault="00C36660" w:rsidP="00C36660">
      <w:pPr>
        <w:pStyle w:val="H2Bullet0"/>
      </w:pPr>
      <w:r w:rsidRPr="00C36660">
        <w:t>National</w:t>
      </w:r>
    </w:p>
    <w:p w14:paraId="7D089A01" w14:textId="77777777" w:rsidR="00C36660" w:rsidRPr="00C36660" w:rsidRDefault="00C36660" w:rsidP="00C36660">
      <w:pPr>
        <w:pStyle w:val="H2Bullet0"/>
      </w:pPr>
      <w:r w:rsidRPr="00C36660">
        <w:t>DisCo-level</w:t>
      </w:r>
    </w:p>
    <w:p w14:paraId="4E09145E" w14:textId="77777777" w:rsidR="00C36660" w:rsidRPr="00C36660" w:rsidRDefault="00C36660" w:rsidP="00C36660">
      <w:pPr>
        <w:pStyle w:val="H2Bullet0"/>
      </w:pPr>
      <w:r w:rsidRPr="00C36660">
        <w:t>State-level</w:t>
      </w:r>
    </w:p>
    <w:p w14:paraId="5BE699B7" w14:textId="77777777" w:rsidR="00C36660" w:rsidRPr="00C36660" w:rsidRDefault="00C36660" w:rsidP="00C36660">
      <w:pPr>
        <w:pStyle w:val="H2Bullet0"/>
      </w:pPr>
      <w:r w:rsidRPr="00C36660">
        <w:t>Project-level</w:t>
      </w:r>
    </w:p>
    <w:p w14:paraId="17F21D19" w14:textId="77777777" w:rsidR="00C36660" w:rsidRDefault="00C36660" w:rsidP="00C36660">
      <w:pPr>
        <w:pStyle w:val="H2Bullet0"/>
        <w:numPr>
          <w:ilvl w:val="0"/>
          <w:numId w:val="0"/>
        </w:numPr>
        <w:ind w:left="720"/>
      </w:pPr>
    </w:p>
    <w:p w14:paraId="13666DA5" w14:textId="0294E6A7" w:rsidR="00C36660" w:rsidRDefault="00C36660" w:rsidP="00EC0B54">
      <w:pPr>
        <w:pStyle w:val="H2Bullet0"/>
        <w:numPr>
          <w:ilvl w:val="0"/>
          <w:numId w:val="0"/>
        </w:numPr>
        <w:ind w:left="720"/>
      </w:pPr>
      <w:r w:rsidRPr="00C36660">
        <w:lastRenderedPageBreak/>
        <w:t>This layered aggregation framework enables both high-level Compact oversight and more granular operational diagnostics.</w:t>
      </w:r>
    </w:p>
    <w:p w14:paraId="3AF8224D" w14:textId="77777777" w:rsidR="00C36660" w:rsidRPr="00C36660" w:rsidRDefault="00C36660" w:rsidP="00C36660">
      <w:pPr>
        <w:pStyle w:val="Heading2"/>
      </w:pPr>
      <w:bookmarkStart w:id="47" w:name="_Toc227601165"/>
      <w:r w:rsidRPr="00C36660">
        <w:t>Reporting Cycles</w:t>
      </w:r>
      <w:bookmarkEnd w:id="47"/>
    </w:p>
    <w:p w14:paraId="5C48BF16" w14:textId="46610877" w:rsidR="00C36660" w:rsidRDefault="00A4274B" w:rsidP="00C36660">
      <w:pPr>
        <w:pStyle w:val="H2Bullet0"/>
        <w:numPr>
          <w:ilvl w:val="0"/>
          <w:numId w:val="0"/>
        </w:numPr>
        <w:ind w:left="720"/>
      </w:pPr>
      <w:r w:rsidRPr="00A4274B">
        <w:t>Indicators will be aligned with the reporting cycle of their primary data sources. Depending on the dataset, reporting frequencies may include:</w:t>
      </w:r>
    </w:p>
    <w:p w14:paraId="2E277318" w14:textId="77777777" w:rsidR="00A4274B" w:rsidRPr="00C36660" w:rsidRDefault="00A4274B" w:rsidP="00C36660">
      <w:pPr>
        <w:pStyle w:val="H2Bullet0"/>
        <w:numPr>
          <w:ilvl w:val="0"/>
          <w:numId w:val="0"/>
        </w:numPr>
        <w:ind w:left="720"/>
      </w:pPr>
    </w:p>
    <w:p w14:paraId="6DD78409" w14:textId="77777777" w:rsidR="00C36660" w:rsidRPr="00C36660" w:rsidRDefault="00C36660" w:rsidP="00C36660">
      <w:pPr>
        <w:pStyle w:val="H2Bullet0"/>
      </w:pPr>
      <w:r w:rsidRPr="00C36660">
        <w:t>Monthly</w:t>
      </w:r>
    </w:p>
    <w:p w14:paraId="7FF12D53" w14:textId="77777777" w:rsidR="00C36660" w:rsidRPr="00C36660" w:rsidRDefault="00C36660" w:rsidP="00C36660">
      <w:pPr>
        <w:pStyle w:val="H2Bullet0"/>
      </w:pPr>
      <w:r w:rsidRPr="00C36660">
        <w:t>Quarterly</w:t>
      </w:r>
    </w:p>
    <w:p w14:paraId="6264C442" w14:textId="77777777" w:rsidR="00C36660" w:rsidRPr="00C36660" w:rsidRDefault="00C36660" w:rsidP="00C36660">
      <w:pPr>
        <w:pStyle w:val="H2Bullet0"/>
      </w:pPr>
      <w:r w:rsidRPr="00C36660">
        <w:t>Annual</w:t>
      </w:r>
    </w:p>
    <w:p w14:paraId="4ECA0299" w14:textId="77777777" w:rsidR="00C36660" w:rsidRPr="00C36660" w:rsidRDefault="00C36660" w:rsidP="00C36660">
      <w:pPr>
        <w:pStyle w:val="H2Bullet0"/>
      </w:pPr>
      <w:r w:rsidRPr="00C36660">
        <w:t>Periodic (aligned to survey cycles)</w:t>
      </w:r>
    </w:p>
    <w:p w14:paraId="36D293A1" w14:textId="77777777" w:rsidR="00C36660" w:rsidRPr="00C36660" w:rsidRDefault="00C36660" w:rsidP="00C36660">
      <w:pPr>
        <w:pStyle w:val="H2Bullet0"/>
        <w:numPr>
          <w:ilvl w:val="0"/>
          <w:numId w:val="0"/>
        </w:numPr>
        <w:ind w:left="720"/>
      </w:pPr>
      <w:r w:rsidRPr="00C36660">
        <w:t>The dashboard will clearly display the reporting cycle associated with each metric to maintain temporal transparency.</w:t>
      </w:r>
    </w:p>
    <w:p w14:paraId="3634C119" w14:textId="77777777" w:rsidR="00C36660" w:rsidRPr="00C36660" w:rsidRDefault="00C36660" w:rsidP="00C36660">
      <w:pPr>
        <w:pStyle w:val="H2Bullet0"/>
        <w:numPr>
          <w:ilvl w:val="0"/>
          <w:numId w:val="0"/>
        </w:numPr>
        <w:ind w:left="720"/>
      </w:pPr>
    </w:p>
    <w:p w14:paraId="38EF0B43" w14:textId="587BAB89" w:rsidR="00C36660" w:rsidRDefault="008C4D2D" w:rsidP="003F5690">
      <w:pPr>
        <w:pStyle w:val="Heading2"/>
      </w:pPr>
      <w:bookmarkStart w:id="48" w:name="_Toc227601166"/>
      <w:r>
        <w:t xml:space="preserve">Preliminary </w:t>
      </w:r>
      <w:r w:rsidR="003F5690">
        <w:t>Validation</w:t>
      </w:r>
      <w:r w:rsidR="00344798">
        <w:t xml:space="preserve"> Status and </w:t>
      </w:r>
      <w:r>
        <w:t>Known Data Constraints</w:t>
      </w:r>
      <w:bookmarkEnd w:id="48"/>
    </w:p>
    <w:p w14:paraId="4145B48A" w14:textId="0D9D49DA" w:rsidR="006D2792" w:rsidRDefault="006D2792" w:rsidP="006D2792">
      <w:pPr>
        <w:pStyle w:val="H2Text"/>
      </w:pPr>
      <w:r>
        <w:t>At the inception stage, several indicators have been provisionally identified but require further validation during stakeholder engagement and data confirmation processes.</w:t>
      </w:r>
    </w:p>
    <w:p w14:paraId="69D403AA" w14:textId="2A2BF005" w:rsidR="008E5186" w:rsidRDefault="006D2792" w:rsidP="006D2792">
      <w:pPr>
        <w:pStyle w:val="H2Text"/>
      </w:pPr>
      <w:r>
        <w:t>Key constraints currently identified include:</w:t>
      </w:r>
    </w:p>
    <w:p w14:paraId="0D5EC77F" w14:textId="77777777" w:rsidR="008E5186" w:rsidRPr="00B13A77" w:rsidRDefault="008E5186" w:rsidP="006D2792">
      <w:pPr>
        <w:pStyle w:val="H3bullet"/>
        <w:rPr>
          <w:b/>
          <w:bCs/>
        </w:rPr>
      </w:pPr>
      <w:r w:rsidRPr="00B13A77">
        <w:rPr>
          <w:b/>
          <w:bCs/>
        </w:rPr>
        <w:t>Regional Integration Indicators</w:t>
      </w:r>
    </w:p>
    <w:p w14:paraId="68ED097A" w14:textId="768AD988" w:rsidR="00B13A77" w:rsidRDefault="00B13A77" w:rsidP="00B13A77">
      <w:pPr>
        <w:pStyle w:val="H3bullet"/>
        <w:numPr>
          <w:ilvl w:val="0"/>
          <w:numId w:val="0"/>
        </w:numPr>
        <w:ind w:left="1080"/>
        <w:rPr>
          <w:lang w:val="en-GB"/>
        </w:rPr>
      </w:pPr>
      <w:r w:rsidRPr="00B13A77">
        <w:rPr>
          <w:lang w:val="en-GB"/>
        </w:rPr>
        <w:t>Data on cross-border electricity flows and interconnection utilization requires confirmation through engagement with the Transmission Company of Nigeria and the West African Power Pool.</w:t>
      </w:r>
    </w:p>
    <w:p w14:paraId="27FDDAC7" w14:textId="77777777" w:rsidR="00B13A77" w:rsidRDefault="00B13A77" w:rsidP="00B13A77">
      <w:pPr>
        <w:pStyle w:val="H3bullet"/>
        <w:numPr>
          <w:ilvl w:val="0"/>
          <w:numId w:val="0"/>
        </w:numPr>
        <w:ind w:left="1080"/>
      </w:pPr>
    </w:p>
    <w:p w14:paraId="242F065D" w14:textId="5FE23864" w:rsidR="008E5186" w:rsidRPr="00B13A77" w:rsidRDefault="008E5186" w:rsidP="00B13A77">
      <w:pPr>
        <w:pStyle w:val="H3bullet"/>
        <w:rPr>
          <w:b/>
          <w:bCs/>
        </w:rPr>
      </w:pPr>
      <w:r w:rsidRPr="00B13A77">
        <w:rPr>
          <w:b/>
          <w:bCs/>
        </w:rPr>
        <w:t>Private Capital Mobilization</w:t>
      </w:r>
    </w:p>
    <w:p w14:paraId="2F0B9E31" w14:textId="0882483C" w:rsidR="008E5186" w:rsidRDefault="008E5186" w:rsidP="00B13A77">
      <w:pPr>
        <w:pStyle w:val="H3text"/>
        <w:ind w:left="1080"/>
      </w:pPr>
      <w:r w:rsidRPr="008E5186">
        <w:t>Certain investment indicators require further clarification to distinguish between Compact-tracked capital and broader sector investment flows.</w:t>
      </w:r>
    </w:p>
    <w:p w14:paraId="524DDA76" w14:textId="77777777" w:rsidR="00554DD2" w:rsidRDefault="00554DD2" w:rsidP="00B13A77">
      <w:pPr>
        <w:pStyle w:val="H3text"/>
        <w:ind w:left="1080"/>
      </w:pPr>
    </w:p>
    <w:p w14:paraId="1F4E2B5E" w14:textId="77777777" w:rsidR="008E5186" w:rsidRPr="00554DD2" w:rsidRDefault="008E5186" w:rsidP="00554DD2">
      <w:pPr>
        <w:pStyle w:val="H3bullet"/>
        <w:rPr>
          <w:b/>
          <w:bCs/>
        </w:rPr>
      </w:pPr>
      <w:r w:rsidRPr="00554DD2">
        <w:rPr>
          <w:b/>
          <w:bCs/>
        </w:rPr>
        <w:t>Project Pipeline Data</w:t>
      </w:r>
    </w:p>
    <w:p w14:paraId="796BD686" w14:textId="2F3B4383" w:rsidR="00554DD2" w:rsidRDefault="00554DD2" w:rsidP="00554DD2">
      <w:pPr>
        <w:pStyle w:val="H3bullet"/>
        <w:numPr>
          <w:ilvl w:val="0"/>
          <w:numId w:val="0"/>
        </w:numPr>
        <w:ind w:left="1080"/>
        <w:rPr>
          <w:lang w:val="en-GB"/>
        </w:rPr>
      </w:pPr>
      <w:r w:rsidRPr="00554DD2">
        <w:rPr>
          <w:lang w:val="en-GB"/>
        </w:rPr>
        <w:t>Compilation of a comprehensive project register requires coordination with multiple implementing agencies and development partners</w:t>
      </w:r>
    </w:p>
    <w:p w14:paraId="3A761496" w14:textId="77777777" w:rsidR="00A11137" w:rsidRDefault="00A11137" w:rsidP="00554DD2">
      <w:pPr>
        <w:pStyle w:val="H3bullet"/>
        <w:numPr>
          <w:ilvl w:val="0"/>
          <w:numId w:val="0"/>
        </w:numPr>
        <w:ind w:left="1080"/>
        <w:rPr>
          <w:lang w:val="en-GB"/>
        </w:rPr>
      </w:pPr>
    </w:p>
    <w:p w14:paraId="330F1B81" w14:textId="1EE04F23" w:rsidR="00A11137" w:rsidRPr="0063422F" w:rsidRDefault="00A11137" w:rsidP="00A11137">
      <w:pPr>
        <w:pStyle w:val="H3bullet"/>
        <w:rPr>
          <w:b/>
          <w:bCs/>
          <w:lang w:val="en-GB"/>
        </w:rPr>
      </w:pPr>
      <w:r w:rsidRPr="0063422F">
        <w:rPr>
          <w:b/>
          <w:bCs/>
          <w:lang w:val="en-GB"/>
        </w:rPr>
        <w:t>Energy Access Quality Data</w:t>
      </w:r>
    </w:p>
    <w:p w14:paraId="3AFE3876" w14:textId="77777777" w:rsidR="0063422F" w:rsidRDefault="0063422F" w:rsidP="0063422F">
      <w:pPr>
        <w:pStyle w:val="H3bullet"/>
        <w:numPr>
          <w:ilvl w:val="0"/>
          <w:numId w:val="0"/>
        </w:numPr>
        <w:ind w:left="1080"/>
      </w:pPr>
      <w:r>
        <w:t>National coverage of Multi-Tier Framework service quality data remains incomplete.</w:t>
      </w:r>
    </w:p>
    <w:p w14:paraId="0FE5EB48" w14:textId="18C0E52E" w:rsidR="00E53BA3" w:rsidRDefault="0063422F" w:rsidP="009411DC">
      <w:pPr>
        <w:pStyle w:val="H3bullet"/>
        <w:numPr>
          <w:ilvl w:val="0"/>
          <w:numId w:val="0"/>
        </w:numPr>
        <w:ind w:left="1080"/>
      </w:pPr>
      <w:r>
        <w:t>These issues will be addressed during the data sourcing and stakeholder engagement stages of implementation.</w:t>
      </w:r>
    </w:p>
    <w:p w14:paraId="32E5CC83" w14:textId="5E7F39EA" w:rsidR="00C7583B" w:rsidRPr="007033EF" w:rsidRDefault="00C7583B" w:rsidP="009411DC">
      <w:pPr>
        <w:pStyle w:val="H2Bullet0"/>
        <w:rPr>
          <w:b/>
          <w:bCs/>
          <w:lang w:val="en-US"/>
        </w:rPr>
      </w:pPr>
      <w:r w:rsidRPr="007033EF">
        <w:rPr>
          <w:b/>
          <w:bCs/>
          <w:lang w:val="en-US"/>
        </w:rPr>
        <w:t>Data G</w:t>
      </w:r>
      <w:r w:rsidR="007033EF" w:rsidRPr="007033EF">
        <w:rPr>
          <w:b/>
          <w:bCs/>
          <w:lang w:val="en-US"/>
        </w:rPr>
        <w:t>overnance Framework</w:t>
      </w:r>
    </w:p>
    <w:p w14:paraId="7A61DCE0" w14:textId="077BC94A" w:rsidR="009411DC" w:rsidRDefault="009411DC" w:rsidP="00C7583B">
      <w:pPr>
        <w:pStyle w:val="H2Bullet0"/>
        <w:numPr>
          <w:ilvl w:val="0"/>
          <w:numId w:val="0"/>
        </w:numPr>
        <w:ind w:left="1134"/>
        <w:rPr>
          <w:lang w:val="en-US"/>
        </w:rPr>
      </w:pPr>
      <w:r w:rsidRPr="008E5186">
        <w:rPr>
          <w:lang w:val="en-US"/>
        </w:rPr>
        <w:t>While indicators and data owners are defined, the formalized data submission and validation workflow will be developed in the subsequent Data Architecture and Governance section of this report.</w:t>
      </w:r>
      <w:r>
        <w:rPr>
          <w:lang w:val="en-US"/>
        </w:rPr>
        <w:t xml:space="preserve"> </w:t>
      </w:r>
    </w:p>
    <w:p w14:paraId="3E697B80" w14:textId="06D2FD11" w:rsidR="00F3459F" w:rsidRDefault="00F3459F" w:rsidP="00F3459F">
      <w:pPr>
        <w:pStyle w:val="Heading1"/>
      </w:pPr>
      <w:bookmarkStart w:id="49" w:name="_Toc227601167"/>
      <w:r w:rsidRPr="00F3459F">
        <w:lastRenderedPageBreak/>
        <w:t xml:space="preserve">Data Architecture and Validation </w:t>
      </w:r>
      <w:r w:rsidR="001710F3">
        <w:t>Framework</w:t>
      </w:r>
      <w:bookmarkEnd w:id="49"/>
    </w:p>
    <w:p w14:paraId="3E7DB23A" w14:textId="1CA5BF22" w:rsidR="00F3459F" w:rsidRDefault="00574B5A" w:rsidP="00F3459F">
      <w:pPr>
        <w:pStyle w:val="H1Text"/>
      </w:pPr>
      <w:r w:rsidRPr="00574B5A">
        <w:t>This section outlines the proposed data architecture through which datasets supporting the Mission 300 Monitoring Dashboard will be sourced, structured, validated, and integrated into the reporting environment. The objective is to ensure that all indicators presented within the dashboard are traceable to verified datasets and are updated in accordance with defined reporting cycles.</w:t>
      </w:r>
    </w:p>
    <w:p w14:paraId="6CDB87DA" w14:textId="77777777" w:rsidR="00574B5A" w:rsidRDefault="00574B5A" w:rsidP="00F3459F">
      <w:pPr>
        <w:pStyle w:val="H1Text"/>
      </w:pPr>
    </w:p>
    <w:p w14:paraId="772B3548" w14:textId="79489ED8" w:rsidR="00F3459F" w:rsidRDefault="00574B5A" w:rsidP="00574B5A">
      <w:pPr>
        <w:pStyle w:val="H1Text"/>
      </w:pPr>
      <w:r w:rsidRPr="00574B5A">
        <w:t>Detailed mapping of datasets, data custodians, and submission pathways will be documented in the Data Source and Collection Strategy Report. This section provides the structural logic that will guide the design of that framework.</w:t>
      </w:r>
    </w:p>
    <w:p w14:paraId="77E66B2F" w14:textId="07467EF7" w:rsidR="00F3459F" w:rsidRDefault="00F3459F" w:rsidP="00F3459F">
      <w:pPr>
        <w:pStyle w:val="Heading2"/>
      </w:pPr>
      <w:bookmarkStart w:id="50" w:name="_Toc227601168"/>
      <w:r w:rsidRPr="00F3459F">
        <w:t>Data Source Architecture</w:t>
      </w:r>
      <w:bookmarkEnd w:id="50"/>
    </w:p>
    <w:p w14:paraId="24F04303" w14:textId="735E6C8D" w:rsidR="00074FA6" w:rsidRDefault="00074FA6" w:rsidP="00074FA6">
      <w:pPr>
        <w:pStyle w:val="H2Text"/>
      </w:pPr>
      <w:r>
        <w:t>The monitoring system will rely on multiple categories of sector data sources, corresponding to institutions responsible for producing operational, regulatory, and project-level information relevant to Mission 300 implementation.</w:t>
      </w:r>
    </w:p>
    <w:p w14:paraId="2BE5CCCA" w14:textId="30479C70" w:rsidR="00074FA6" w:rsidRDefault="00074FA6" w:rsidP="00074FA6">
      <w:pPr>
        <w:pStyle w:val="H2Text"/>
      </w:pPr>
      <w:r>
        <w:t>At inception stage, three primary source categories have been identified:</w:t>
      </w:r>
    </w:p>
    <w:p w14:paraId="61DE433E" w14:textId="168DE802" w:rsidR="00074FA6" w:rsidRDefault="00074FA6" w:rsidP="00074FA6">
      <w:pPr>
        <w:pStyle w:val="Heading3"/>
      </w:pPr>
      <w:r>
        <w:t>Publicly Published Sector Reports</w:t>
      </w:r>
    </w:p>
    <w:p w14:paraId="7F5CA3B8" w14:textId="77777777" w:rsidR="00531BE3" w:rsidRPr="00531BE3" w:rsidRDefault="00531BE3" w:rsidP="00531BE3">
      <w:pPr>
        <w:pStyle w:val="H3text"/>
        <w:rPr>
          <w:lang w:val="en-US"/>
        </w:rPr>
      </w:pPr>
      <w:r w:rsidRPr="00531BE3">
        <w:rPr>
          <w:lang w:val="en-US"/>
        </w:rPr>
        <w:t>This category includes regulatory publications, national policy documents, international tracking datasets, and development partner reporting platforms.</w:t>
      </w:r>
    </w:p>
    <w:p w14:paraId="2001C6C0" w14:textId="77777777" w:rsidR="00531BE3" w:rsidRPr="00531BE3" w:rsidRDefault="00531BE3" w:rsidP="00531BE3">
      <w:pPr>
        <w:pStyle w:val="H3text"/>
        <w:rPr>
          <w:lang w:val="en-US"/>
        </w:rPr>
      </w:pPr>
    </w:p>
    <w:p w14:paraId="1731FE0D" w14:textId="7F3285CB" w:rsidR="002C15F3" w:rsidRPr="002C15F3" w:rsidRDefault="00531BE3" w:rsidP="00531BE3">
      <w:pPr>
        <w:pStyle w:val="H3text"/>
        <w:rPr>
          <w:lang w:val="en-US"/>
        </w:rPr>
      </w:pPr>
      <w:r w:rsidRPr="00531BE3">
        <w:rPr>
          <w:lang w:val="en-US"/>
        </w:rPr>
        <w:t>These sources provide foundational data for key indicators related to electricity access, utility performance, generation, and financial metrics. They are expected to form the initial basis for population of the monitoring system.</w:t>
      </w:r>
    </w:p>
    <w:p w14:paraId="188668C2" w14:textId="0C8DE208" w:rsidR="00930AB7" w:rsidRDefault="00930AB7" w:rsidP="00930AB7">
      <w:pPr>
        <w:pStyle w:val="Heading3"/>
      </w:pPr>
      <w:r>
        <w:t>Institutional Data Custodians</w:t>
      </w:r>
    </w:p>
    <w:p w14:paraId="63D0055B" w14:textId="638C4B2B" w:rsidR="00E114B6" w:rsidRPr="00E114B6" w:rsidRDefault="00E114B6" w:rsidP="00963920">
      <w:pPr>
        <w:pStyle w:val="H3text"/>
        <w:rPr>
          <w:lang w:val="en-US"/>
        </w:rPr>
      </w:pPr>
      <w:r w:rsidRPr="00E114B6">
        <w:rPr>
          <w:lang w:val="en-US"/>
        </w:rPr>
        <w:t>Certain indicators require engagement with institutions responsible for operational datasets that may not be publicly disaggregated.</w:t>
      </w:r>
    </w:p>
    <w:p w14:paraId="0115FDAF" w14:textId="34E16F69" w:rsidR="00E114B6" w:rsidRPr="00E114B6" w:rsidRDefault="00E114B6" w:rsidP="00963920">
      <w:pPr>
        <w:pStyle w:val="H3text"/>
        <w:rPr>
          <w:lang w:val="en-US"/>
        </w:rPr>
      </w:pPr>
      <w:r w:rsidRPr="00E114B6">
        <w:rPr>
          <w:lang w:val="en-US"/>
        </w:rPr>
        <w:t>Key institutional data custodians include transmission operators, electrification agencies, relevant government ministries, distribution companies, and development partners.</w:t>
      </w:r>
    </w:p>
    <w:p w14:paraId="119550F0" w14:textId="78CBDBAB" w:rsidR="00531BE3" w:rsidRPr="00531BE3" w:rsidRDefault="00E114B6" w:rsidP="00E114B6">
      <w:pPr>
        <w:pStyle w:val="H3text"/>
        <w:rPr>
          <w:lang w:val="en-US"/>
        </w:rPr>
      </w:pPr>
      <w:r w:rsidRPr="00E114B6">
        <w:rPr>
          <w:lang w:val="en-US"/>
        </w:rPr>
        <w:t>Data access pathways, reporting responsibilities, and submission mechanisms for these datasets will be defined during stakeholder engagement and formalized in the Data Source and Collection Strategy Report.</w:t>
      </w:r>
    </w:p>
    <w:p w14:paraId="4D3884C0" w14:textId="357A2D50" w:rsidR="00377048" w:rsidRDefault="00377048" w:rsidP="00377048">
      <w:pPr>
        <w:pStyle w:val="Heading3"/>
      </w:pPr>
      <w:r>
        <w:t>Derived Indicators</w:t>
      </w:r>
    </w:p>
    <w:p w14:paraId="25E681DB" w14:textId="77777777" w:rsidR="000A09B0" w:rsidRPr="000A09B0" w:rsidRDefault="000A09B0" w:rsidP="000A09B0">
      <w:pPr>
        <w:pStyle w:val="H3text"/>
        <w:rPr>
          <w:lang w:val="en-US"/>
        </w:rPr>
      </w:pPr>
      <w:r w:rsidRPr="000A09B0">
        <w:rPr>
          <w:lang w:val="en-US"/>
        </w:rPr>
        <w:t>Some KPIs are calculated from primary datasets rather than directly reported. These include indicators such as metering gap, tariff shortfall, renewable share in the generation mix, and population without access metrics.</w:t>
      </w:r>
    </w:p>
    <w:p w14:paraId="17107841" w14:textId="77777777" w:rsidR="000A09B0" w:rsidRPr="000A09B0" w:rsidRDefault="000A09B0" w:rsidP="000A09B0">
      <w:pPr>
        <w:pStyle w:val="H3text"/>
        <w:rPr>
          <w:lang w:val="en-US"/>
        </w:rPr>
      </w:pPr>
    </w:p>
    <w:p w14:paraId="1E27FFEC" w14:textId="6DE20E98" w:rsidR="000A09B0" w:rsidRPr="000A09B0" w:rsidRDefault="000A09B0" w:rsidP="000A09B0">
      <w:pPr>
        <w:pStyle w:val="H3text"/>
        <w:rPr>
          <w:lang w:val="en-US"/>
        </w:rPr>
      </w:pPr>
      <w:r w:rsidRPr="000A09B0">
        <w:rPr>
          <w:lang w:val="en-US"/>
        </w:rPr>
        <w:t>The calculation logic for such indicators will be defined within the KPI Matrix and further formalized during implementation to ensure consistency and transparency.</w:t>
      </w:r>
    </w:p>
    <w:p w14:paraId="33988820" w14:textId="388F9C8D" w:rsidR="00B04743" w:rsidRDefault="000C65C5" w:rsidP="000C65C5">
      <w:pPr>
        <w:pStyle w:val="Heading2"/>
      </w:pPr>
      <w:bookmarkStart w:id="51" w:name="_Toc227601169"/>
      <w:r w:rsidRPr="000C65C5">
        <w:lastRenderedPageBreak/>
        <w:t xml:space="preserve">Data </w:t>
      </w:r>
      <w:r w:rsidR="00377048">
        <w:t>Flow Structure</w:t>
      </w:r>
      <w:bookmarkEnd w:id="51"/>
    </w:p>
    <w:p w14:paraId="16CBA448" w14:textId="72CE6E68" w:rsidR="00E708EC" w:rsidRDefault="00E708EC" w:rsidP="00E708EC">
      <w:pPr>
        <w:pStyle w:val="H2Text"/>
      </w:pPr>
      <w:r>
        <w:t>The monitoring system will follow a structured data flow to ensure consistency between source datasets and dashboard outputs. This will include processes for data acquisition, standardization, validation, and integration.</w:t>
      </w:r>
    </w:p>
    <w:p w14:paraId="7D97358B" w14:textId="1D6A2989" w:rsidR="00E708EC" w:rsidRPr="00E708EC" w:rsidRDefault="00E708EC" w:rsidP="00E708EC">
      <w:pPr>
        <w:pStyle w:val="H2Text"/>
      </w:pPr>
      <w:r>
        <w:t>The detailed data flow architecture, including ingestion pathways and system integration logic, will be defined in the Data Source and Collection Strategy Report.</w:t>
      </w:r>
    </w:p>
    <w:p w14:paraId="5038876F" w14:textId="6515346A" w:rsidR="000C65C5" w:rsidRDefault="000C65C5" w:rsidP="000C65C5">
      <w:pPr>
        <w:pStyle w:val="Heading2"/>
      </w:pPr>
      <w:bookmarkStart w:id="52" w:name="_Toc227601170"/>
      <w:r w:rsidRPr="000C65C5">
        <w:t xml:space="preserve">Data Validation </w:t>
      </w:r>
      <w:r w:rsidR="00D52D32">
        <w:t>Principles</w:t>
      </w:r>
      <w:bookmarkEnd w:id="52"/>
    </w:p>
    <w:p w14:paraId="5078B345" w14:textId="5EC8EACF" w:rsidR="00B20908" w:rsidRDefault="00000000" w:rsidP="00C16833">
      <w:pPr>
        <w:pStyle w:val="H2Text"/>
      </w:pPr>
      <w:r>
        <w:t>To ensure reliability of reported indicators, the monitoring system will apply validation principles including source verification, consistency checks, and alignment with official reporting cycles.</w:t>
      </w:r>
    </w:p>
    <w:p w14:paraId="39ECEB99" w14:textId="41824CD0" w:rsidR="00C16833" w:rsidRPr="00C16833" w:rsidRDefault="00000000" w:rsidP="00C16833">
      <w:pPr>
        <w:pStyle w:val="H2Text"/>
      </w:pPr>
      <w:r>
        <w:t>Detailed validation rules, exception handling procedures, and approval workflows will be established as part of the Data Source and Collection Strategy Report.</w:t>
      </w:r>
    </w:p>
    <w:p w14:paraId="341DC0A4" w14:textId="57BB5C3E" w:rsidR="00733953" w:rsidRDefault="00D224ED" w:rsidP="00733953">
      <w:pPr>
        <w:pStyle w:val="Heading2"/>
      </w:pPr>
      <w:bookmarkStart w:id="53" w:name="_Toc227601171"/>
      <w:r>
        <w:t>Reporting Frequency Alignment</w:t>
      </w:r>
      <w:bookmarkEnd w:id="53"/>
    </w:p>
    <w:p w14:paraId="69083123" w14:textId="0405946C" w:rsidR="00CB07C4" w:rsidRDefault="00CB07C4" w:rsidP="00963920">
      <w:pPr>
        <w:pStyle w:val="H2Text"/>
      </w:pPr>
      <w:r>
        <w:t>Indicators will be aligned with the reporting cycles of their underlying data sources. These are expected to include monthly, quarterly, annual, and periodic reporting cycles depending on the nature of the dataset.</w:t>
      </w:r>
    </w:p>
    <w:p w14:paraId="69BDF9BD" w14:textId="7A51E999" w:rsidR="00CB07C4" w:rsidRPr="00CB07C4" w:rsidRDefault="00CB07C4" w:rsidP="00CB07C4">
      <w:pPr>
        <w:pStyle w:val="H2Text"/>
      </w:pPr>
      <w:r>
        <w:t>The monitoring system will clearly reflect the reporting frequency and reference period associated with each indicator to ensure transparency in interpretation and use.</w:t>
      </w:r>
    </w:p>
    <w:p w14:paraId="3BD486B5" w14:textId="7994AF1D" w:rsidR="00D224ED" w:rsidRDefault="00D224ED" w:rsidP="00D224ED">
      <w:pPr>
        <w:pStyle w:val="Heading2"/>
      </w:pPr>
      <w:bookmarkStart w:id="54" w:name="_Toc227601172"/>
      <w:r>
        <w:t>Data Governance Considerations</w:t>
      </w:r>
      <w:bookmarkEnd w:id="54"/>
    </w:p>
    <w:p w14:paraId="4B773C4A" w14:textId="468ECF5A" w:rsidR="00210530" w:rsidRDefault="00210530" w:rsidP="00963920">
      <w:pPr>
        <w:pStyle w:val="H2Text"/>
      </w:pPr>
      <w:r>
        <w:t>At inception stage, formalized data submission arrangements are not yet established. The monitoring architecture therefore assumes an initial reliance on publicly available datasets alongside structured engagement with institutional data custodians.</w:t>
      </w:r>
    </w:p>
    <w:p w14:paraId="4ED58AA6" w14:textId="3850BA1A" w:rsidR="00D224ED" w:rsidRPr="00D224ED" w:rsidRDefault="00210530" w:rsidP="00210530">
      <w:pPr>
        <w:pStyle w:val="H2Text"/>
      </w:pPr>
      <w:r>
        <w:t>A comprehensive data governance framework, including roles, responsibilities, submission protocols, and approval processes, will be developed and documented in the Data Source and Collection Strategy Report.</w:t>
      </w:r>
    </w:p>
    <w:p w14:paraId="569F3974" w14:textId="02F09CC8" w:rsidR="00733953" w:rsidRDefault="003B4BA3" w:rsidP="00733953">
      <w:pPr>
        <w:pStyle w:val="Heading2"/>
      </w:pPr>
      <w:bookmarkStart w:id="55" w:name="_Toc227601173"/>
      <w:r>
        <w:t>Identified Data Constraints</w:t>
      </w:r>
      <w:bookmarkEnd w:id="55"/>
    </w:p>
    <w:p w14:paraId="211470DD" w14:textId="4F84E784" w:rsidR="00363743" w:rsidRDefault="00363743" w:rsidP="005F59BB">
      <w:pPr>
        <w:pStyle w:val="H2Text"/>
      </w:pPr>
      <w:r>
        <w:t>Preliminary review indicates the following constraints:</w:t>
      </w:r>
    </w:p>
    <w:p w14:paraId="283A9C10" w14:textId="77777777" w:rsidR="00363743" w:rsidRDefault="00363743" w:rsidP="005F59BB">
      <w:pPr>
        <w:pStyle w:val="H1Bullet"/>
      </w:pPr>
      <w:r>
        <w:t>Limited availability of validated regional integration data</w:t>
      </w:r>
    </w:p>
    <w:p w14:paraId="6B81DA1E" w14:textId="77777777" w:rsidR="00363743" w:rsidRDefault="00363743" w:rsidP="005F59BB">
      <w:pPr>
        <w:pStyle w:val="H1Bullet"/>
      </w:pPr>
      <w:r>
        <w:t>Gaps in nationally representative energy access quality data</w:t>
      </w:r>
    </w:p>
    <w:p w14:paraId="6F999599" w14:textId="77777777" w:rsidR="00363743" w:rsidRDefault="00363743" w:rsidP="005F59BB">
      <w:pPr>
        <w:pStyle w:val="H1Bullet"/>
      </w:pPr>
      <w:r>
        <w:t>Incomplete visibility on project-level implementation data</w:t>
      </w:r>
    </w:p>
    <w:p w14:paraId="7AB4FE7C" w14:textId="2CBD1C98" w:rsidR="00363743" w:rsidRDefault="00363743" w:rsidP="005F59BB">
      <w:pPr>
        <w:pStyle w:val="H1Bullet"/>
      </w:pPr>
      <w:r>
        <w:t>Variability in access to disaggregated financial and utility performance data</w:t>
      </w:r>
    </w:p>
    <w:p w14:paraId="162BEBD5" w14:textId="36F596A6" w:rsidR="00DF6287" w:rsidRPr="00733953" w:rsidRDefault="00363743" w:rsidP="00594F11">
      <w:pPr>
        <w:pStyle w:val="H2Text"/>
      </w:pPr>
      <w:r>
        <w:t>These constraints will be addressed through stakeholder engagement and data validation processes during implementation.</w:t>
      </w:r>
    </w:p>
    <w:bookmarkEnd w:id="0"/>
    <w:p w14:paraId="3C640483" w14:textId="77777777" w:rsidR="00DF6287" w:rsidRDefault="00DF6287" w:rsidP="00436631">
      <w:pPr>
        <w:pStyle w:val="H2Bullet0"/>
        <w:numPr>
          <w:ilvl w:val="0"/>
          <w:numId w:val="0"/>
        </w:numPr>
      </w:pPr>
    </w:p>
    <w:sectPr w:rsidR="00DF6287" w:rsidSect="00D97857">
      <w:pgSz w:w="11906" w:h="16838"/>
      <w:pgMar w:top="1985"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920E7" w14:textId="77777777" w:rsidR="00AD0580" w:rsidRDefault="00AD0580" w:rsidP="005E5987">
      <w:pPr>
        <w:spacing w:after="0" w:line="240" w:lineRule="auto"/>
      </w:pPr>
      <w:r>
        <w:separator/>
      </w:r>
    </w:p>
  </w:endnote>
  <w:endnote w:type="continuationSeparator" w:id="0">
    <w:p w14:paraId="1C12FDCD" w14:textId="77777777" w:rsidR="00AD0580" w:rsidRDefault="00AD0580" w:rsidP="005E59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Segoe UI" w:hAnsi="Segoe UI" w:cs="Segoe UI"/>
        <w:sz w:val="18"/>
        <w:szCs w:val="18"/>
      </w:rPr>
      <w:id w:val="-459031280"/>
      <w:docPartObj>
        <w:docPartGallery w:val="Page Numbers (Bottom of Page)"/>
        <w:docPartUnique/>
      </w:docPartObj>
    </w:sdtPr>
    <w:sdtEndPr>
      <w:rPr>
        <w:spacing w:val="60"/>
        <w:sz w:val="20"/>
        <w:szCs w:val="22"/>
      </w:rPr>
    </w:sdtEndPr>
    <w:sdtContent>
      <w:p w14:paraId="278951F6" w14:textId="22362C10" w:rsidR="00205E63" w:rsidRPr="003510D5" w:rsidRDefault="00A91792" w:rsidP="003510D5">
        <w:pPr>
          <w:pStyle w:val="Footer"/>
          <w:pBdr>
            <w:top w:val="single" w:sz="4" w:space="1" w:color="auto"/>
          </w:pBdr>
          <w:rPr>
            <w:rFonts w:ascii="Segoe UI" w:hAnsi="Segoe UI" w:cs="Segoe UI"/>
            <w:sz w:val="20"/>
          </w:rPr>
        </w:pPr>
        <w:r w:rsidRPr="00A91792">
          <w:rPr>
            <w:rFonts w:ascii="Segoe UI" w:hAnsi="Segoe UI" w:cs="Segoe UI"/>
            <w:sz w:val="18"/>
            <w:szCs w:val="18"/>
          </w:rPr>
          <w:t>Inception Report for the Design and Implementation of the M300 Implementation Monitoring Dashboard for Nigeria</w:t>
        </w:r>
        <w:r w:rsidR="00205E63">
          <w:rPr>
            <w:rFonts w:ascii="Segoe UI" w:hAnsi="Segoe UI" w:cs="Segoe UI"/>
            <w:sz w:val="18"/>
            <w:szCs w:val="18"/>
          </w:rPr>
          <w:tab/>
        </w:r>
      </w:p>
    </w:sdtContent>
  </w:sdt>
  <w:p w14:paraId="5A1A009D" w14:textId="77777777" w:rsidR="00205E63" w:rsidRDefault="00205E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heme="minorHAnsi"/>
        <w:sz w:val="18"/>
        <w:szCs w:val="18"/>
      </w:rPr>
      <w:id w:val="-1659376934"/>
      <w:docPartObj>
        <w:docPartGallery w:val="Page Numbers (Bottom of Page)"/>
        <w:docPartUnique/>
      </w:docPartObj>
    </w:sdtPr>
    <w:sdtEndPr>
      <w:rPr>
        <w:spacing w:val="60"/>
        <w:sz w:val="20"/>
        <w:szCs w:val="22"/>
      </w:rPr>
    </w:sdtEndPr>
    <w:sdtContent>
      <w:p w14:paraId="05781254" w14:textId="2C8BA71A" w:rsidR="00205E63" w:rsidRPr="00B854A0" w:rsidRDefault="00A91792" w:rsidP="003510D5">
        <w:pPr>
          <w:pStyle w:val="Footer"/>
          <w:pBdr>
            <w:top w:val="single" w:sz="4" w:space="1" w:color="auto"/>
          </w:pBdr>
          <w:rPr>
            <w:rFonts w:cstheme="minorHAnsi"/>
            <w:sz w:val="20"/>
          </w:rPr>
        </w:pPr>
        <w:r w:rsidRPr="00A91792">
          <w:rPr>
            <w:rFonts w:cstheme="minorHAnsi"/>
            <w:sz w:val="18"/>
            <w:szCs w:val="18"/>
          </w:rPr>
          <w:t>Inception Report for the Design and Implementation of the M300 Implementation Monitoring Dashboard for Nigeria</w:t>
        </w:r>
        <w:r w:rsidR="00B71819" w:rsidRPr="00B854A0">
          <w:rPr>
            <w:rFonts w:cstheme="minorHAnsi"/>
            <w:sz w:val="18"/>
            <w:szCs w:val="18"/>
          </w:rPr>
          <w:tab/>
        </w:r>
        <w:r w:rsidR="00205E63" w:rsidRPr="00B854A0">
          <w:rPr>
            <w:rFonts w:cstheme="minorHAnsi"/>
            <w:sz w:val="18"/>
            <w:szCs w:val="18"/>
          </w:rPr>
          <w:tab/>
        </w:r>
        <w:r w:rsidR="00205E63" w:rsidRPr="00B854A0">
          <w:rPr>
            <w:rFonts w:cstheme="minorHAnsi"/>
            <w:sz w:val="18"/>
            <w:szCs w:val="18"/>
          </w:rPr>
          <w:fldChar w:fldCharType="begin"/>
        </w:r>
        <w:r w:rsidR="00205E63" w:rsidRPr="00B854A0">
          <w:rPr>
            <w:rFonts w:cstheme="minorHAnsi"/>
            <w:sz w:val="18"/>
            <w:szCs w:val="18"/>
          </w:rPr>
          <w:instrText xml:space="preserve"> PAGE   \* MERGEFORMAT </w:instrText>
        </w:r>
        <w:r w:rsidR="00205E63" w:rsidRPr="00B854A0">
          <w:rPr>
            <w:rFonts w:cstheme="minorHAnsi"/>
            <w:sz w:val="18"/>
            <w:szCs w:val="18"/>
          </w:rPr>
          <w:fldChar w:fldCharType="separate"/>
        </w:r>
        <w:r w:rsidR="00205E63" w:rsidRPr="00B854A0">
          <w:rPr>
            <w:rFonts w:cstheme="minorHAnsi"/>
            <w:noProof/>
            <w:sz w:val="18"/>
            <w:szCs w:val="18"/>
          </w:rPr>
          <w:t>2</w:t>
        </w:r>
        <w:r w:rsidR="00205E63" w:rsidRPr="00B854A0">
          <w:rPr>
            <w:rFonts w:cstheme="minorHAnsi"/>
            <w:noProof/>
            <w:sz w:val="18"/>
            <w:szCs w:val="18"/>
          </w:rPr>
          <w:fldChar w:fldCharType="end"/>
        </w:r>
        <w:r w:rsidR="00205E63" w:rsidRPr="00B854A0">
          <w:rPr>
            <w:rFonts w:cstheme="minorHAnsi"/>
            <w:sz w:val="18"/>
            <w:szCs w:val="18"/>
          </w:rPr>
          <w:t xml:space="preserve"> | </w:t>
        </w:r>
        <w:r w:rsidR="00205E63" w:rsidRPr="00B854A0">
          <w:rPr>
            <w:rFonts w:cstheme="minorHAnsi"/>
            <w:spacing w:val="60"/>
            <w:sz w:val="18"/>
            <w:szCs w:val="18"/>
          </w:rPr>
          <w:t>Page</w:t>
        </w:r>
      </w:p>
    </w:sdtContent>
  </w:sdt>
  <w:p w14:paraId="6A63CA19" w14:textId="77777777" w:rsidR="00205E63" w:rsidRDefault="00205E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238D3" w14:textId="77777777" w:rsidR="00AD0580" w:rsidRDefault="00AD0580" w:rsidP="005E5987">
      <w:pPr>
        <w:spacing w:after="0" w:line="240" w:lineRule="auto"/>
      </w:pPr>
      <w:r>
        <w:separator/>
      </w:r>
    </w:p>
  </w:footnote>
  <w:footnote w:type="continuationSeparator" w:id="0">
    <w:p w14:paraId="7FD92A80" w14:textId="77777777" w:rsidR="00AD0580" w:rsidRDefault="00AD0580" w:rsidP="005E5987">
      <w:pPr>
        <w:spacing w:after="0" w:line="240" w:lineRule="auto"/>
      </w:pPr>
      <w:r>
        <w:continuationSeparator/>
      </w:r>
    </w:p>
  </w:footnote>
  <w:footnote w:id="1">
    <w:p w14:paraId="31D6945E" w14:textId="2EEE30DC" w:rsidR="00807159" w:rsidRPr="00807159" w:rsidRDefault="00807159">
      <w:pPr>
        <w:pStyle w:val="FootnoteText"/>
        <w:rPr>
          <w:lang w:val="en-US"/>
        </w:rPr>
      </w:pPr>
      <w:r>
        <w:rPr>
          <w:rStyle w:val="FootnoteReference"/>
        </w:rPr>
        <w:footnoteRef/>
      </w:r>
      <w:r>
        <w:t xml:space="preserve"> </w:t>
      </w:r>
      <w:r w:rsidR="00534C33" w:rsidRPr="00534C33">
        <w:t>2022. SDG7 Tracking Report. World Bank / IEA / ESMAP</w:t>
      </w:r>
    </w:p>
  </w:footnote>
  <w:footnote w:id="2">
    <w:p w14:paraId="451C60FF" w14:textId="3D177A99" w:rsidR="00706E81" w:rsidRPr="00706E81" w:rsidRDefault="00706E81">
      <w:pPr>
        <w:pStyle w:val="FootnoteText"/>
        <w:rPr>
          <w:lang w:val="en-US"/>
        </w:rPr>
      </w:pPr>
      <w:r>
        <w:rPr>
          <w:rStyle w:val="FootnoteReference"/>
        </w:rPr>
        <w:footnoteRef/>
      </w:r>
      <w:r>
        <w:t xml:space="preserve"> </w:t>
      </w:r>
      <w:r w:rsidR="00534C33" w:rsidRPr="00534C33">
        <w:t>2025. Nigeria National Energy Compact. Federal Government of Nigeria.</w:t>
      </w:r>
    </w:p>
  </w:footnote>
  <w:footnote w:id="3">
    <w:p w14:paraId="17FD5DE8" w14:textId="311BD7C0" w:rsidR="00FA1899" w:rsidRPr="00FA1899" w:rsidRDefault="00FA1899">
      <w:pPr>
        <w:pStyle w:val="FootnoteText"/>
        <w:rPr>
          <w:lang w:val="en-US"/>
        </w:rPr>
      </w:pPr>
      <w:r>
        <w:rPr>
          <w:rStyle w:val="FootnoteReference"/>
        </w:rPr>
        <w:footnoteRef/>
      </w:r>
      <w:r>
        <w:t xml:space="preserve"> </w:t>
      </w:r>
      <w:r>
        <w:rPr>
          <w:lang w:val="en-US"/>
        </w:rPr>
        <w:t xml:space="preserve">2025. </w:t>
      </w:r>
      <w:r w:rsidRPr="00FA1899">
        <w:rPr>
          <w:i/>
          <w:iCs/>
        </w:rPr>
        <w:t>Third Quarter 2025 NERC Quarterly Report</w:t>
      </w:r>
      <w:r w:rsidRPr="00FA1899">
        <w:t>. Nigerian Electricity Regulatory Commission. Section 2.1.1 Available Generation Capacity.</w:t>
      </w:r>
    </w:p>
  </w:footnote>
  <w:footnote w:id="4">
    <w:p w14:paraId="27832B47" w14:textId="19ACD1CF" w:rsidR="00AA2383" w:rsidRPr="00AA2383" w:rsidRDefault="00AA2383">
      <w:pPr>
        <w:pStyle w:val="FootnoteText"/>
        <w:rPr>
          <w:lang w:val="en-US"/>
        </w:rPr>
      </w:pPr>
      <w:r>
        <w:rPr>
          <w:rStyle w:val="FootnoteReference"/>
        </w:rPr>
        <w:footnoteRef/>
      </w:r>
      <w:r>
        <w:t xml:space="preserve"> 2024. </w:t>
      </w:r>
      <w:r w:rsidRPr="00AA2383">
        <w:rPr>
          <w:i/>
          <w:iCs/>
        </w:rPr>
        <w:t>NDC Stocktake Report</w:t>
      </w:r>
      <w:r w:rsidRPr="00AA2383">
        <w:t>. Federal Government of Nigeria.</w:t>
      </w:r>
    </w:p>
  </w:footnote>
  <w:footnote w:id="5">
    <w:p w14:paraId="60ABD418" w14:textId="4204E121" w:rsidR="00AA2383" w:rsidRPr="00AA2383" w:rsidRDefault="00AA2383">
      <w:pPr>
        <w:pStyle w:val="FootnoteText"/>
        <w:rPr>
          <w:lang w:val="en-US"/>
        </w:rPr>
      </w:pPr>
      <w:r>
        <w:rPr>
          <w:rStyle w:val="FootnoteReference"/>
        </w:rPr>
        <w:footnoteRef/>
      </w:r>
      <w:r>
        <w:t xml:space="preserve"> </w:t>
      </w:r>
      <w:r>
        <w:rPr>
          <w:lang w:val="en-US"/>
        </w:rPr>
        <w:t xml:space="preserve">2020. </w:t>
      </w:r>
      <w:r w:rsidRPr="00AA2383">
        <w:rPr>
          <w:i/>
          <w:iCs/>
        </w:rPr>
        <w:t>MTF Nigeria Energy Access Diagnostic Report</w:t>
      </w:r>
      <w:r w:rsidRPr="00AA2383">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308C2" w14:textId="0EC4F572" w:rsidR="00205E63" w:rsidRDefault="00416956">
    <w:pPr>
      <w:pStyle w:val="Header"/>
    </w:pPr>
    <w:r>
      <w:rPr>
        <w:noProof/>
        <w:color w:val="000000"/>
        <w:sz w:val="20"/>
        <w:szCs w:val="20"/>
      </w:rPr>
      <w:drawing>
        <wp:anchor distT="0" distB="0" distL="114300" distR="114300" simplePos="0" relativeHeight="251658244" behindDoc="0" locked="0" layoutInCell="1" allowOverlap="1" wp14:anchorId="3508D9C7" wp14:editId="2AAC2635">
          <wp:simplePos x="0" y="0"/>
          <wp:positionH relativeFrom="margin">
            <wp:align>center</wp:align>
          </wp:positionH>
          <wp:positionV relativeFrom="paragraph">
            <wp:posOffset>29845</wp:posOffset>
          </wp:positionV>
          <wp:extent cx="2065020" cy="388620"/>
          <wp:effectExtent l="0" t="0" r="0" b="0"/>
          <wp:wrapSquare wrapText="bothSides"/>
          <wp:docPr id="3465692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3377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2065020" cy="388620"/>
                  </a:xfrm>
                  <a:prstGeom prst="rect">
                    <a:avLst/>
                  </a:prstGeom>
                </pic:spPr>
              </pic:pic>
            </a:graphicData>
          </a:graphic>
          <wp14:sizeRelH relativeFrom="margin">
            <wp14:pctWidth>0</wp14:pctWidth>
          </wp14:sizeRelH>
          <wp14:sizeRelV relativeFrom="margin">
            <wp14:pctHeight>0</wp14:pctHeight>
          </wp14:sizeRelV>
        </wp:anchor>
      </w:drawing>
    </w:r>
    <w:r w:rsidR="00205E63" w:rsidRPr="005E5987">
      <w:rPr>
        <w:rFonts w:ascii="Calibri" w:eastAsia="Calibri" w:hAnsi="Calibri" w:cs="Times New Roman"/>
        <w:noProof/>
        <w:color w:val="1C1C1C"/>
      </w:rPr>
      <w:drawing>
        <wp:anchor distT="0" distB="0" distL="114300" distR="114300" simplePos="0" relativeHeight="251658240" behindDoc="0" locked="0" layoutInCell="1" allowOverlap="1" wp14:anchorId="3A0F8852" wp14:editId="2052C643">
          <wp:simplePos x="0" y="0"/>
          <wp:positionH relativeFrom="margin">
            <wp:align>right</wp:align>
          </wp:positionH>
          <wp:positionV relativeFrom="paragraph">
            <wp:posOffset>15875</wp:posOffset>
          </wp:positionV>
          <wp:extent cx="1129665" cy="455930"/>
          <wp:effectExtent l="0" t="0" r="0" b="127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29665" cy="455930"/>
                  </a:xfrm>
                  <a:prstGeom prst="rect">
                    <a:avLst/>
                  </a:prstGeom>
                  <a:noFill/>
                  <a:ln>
                    <a:noFill/>
                  </a:ln>
                </pic:spPr>
              </pic:pic>
            </a:graphicData>
          </a:graphic>
          <wp14:sizeRelH relativeFrom="page">
            <wp14:pctWidth>0</wp14:pctWidth>
          </wp14:sizeRelH>
          <wp14:sizeRelV relativeFrom="page">
            <wp14:pctHeight>0</wp14:pctHeight>
          </wp14:sizeRelV>
        </wp:anchor>
      </w:drawing>
    </w:r>
    <w:r w:rsidR="00205E63">
      <w:rPr>
        <w:noProof/>
      </w:rPr>
      <w:drawing>
        <wp:anchor distT="0" distB="0" distL="114300" distR="114300" simplePos="0" relativeHeight="251658243" behindDoc="0" locked="0" layoutInCell="1" allowOverlap="1" wp14:anchorId="4932E26B" wp14:editId="408BBA52">
          <wp:simplePos x="0" y="0"/>
          <wp:positionH relativeFrom="margin">
            <wp:align>left</wp:align>
          </wp:positionH>
          <wp:positionV relativeFrom="paragraph">
            <wp:posOffset>26670</wp:posOffset>
          </wp:positionV>
          <wp:extent cx="1024255" cy="419100"/>
          <wp:effectExtent l="0" t="0" r="4445"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55274" cy="432219"/>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C9B9A" w14:textId="77777777" w:rsidR="00205E63" w:rsidRDefault="00205E63">
    <w:pPr>
      <w:pStyle w:val="Header"/>
    </w:pPr>
    <w:r w:rsidRPr="005E5987">
      <w:rPr>
        <w:rFonts w:ascii="Calibri" w:eastAsia="Calibri" w:hAnsi="Calibri" w:cs="Times New Roman"/>
        <w:noProof/>
        <w:color w:val="1C1C1C"/>
      </w:rPr>
      <w:drawing>
        <wp:anchor distT="0" distB="0" distL="114300" distR="114300" simplePos="0" relativeHeight="251658242" behindDoc="0" locked="0" layoutInCell="1" allowOverlap="1" wp14:anchorId="40F89772" wp14:editId="7AF7AF9F">
          <wp:simplePos x="0" y="0"/>
          <wp:positionH relativeFrom="column">
            <wp:posOffset>-278130</wp:posOffset>
          </wp:positionH>
          <wp:positionV relativeFrom="paragraph">
            <wp:posOffset>37465</wp:posOffset>
          </wp:positionV>
          <wp:extent cx="1059815" cy="428625"/>
          <wp:effectExtent l="0" t="0" r="6985" b="9525"/>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9815" cy="428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E5987">
      <w:rPr>
        <w:rFonts w:ascii="Calibri" w:eastAsia="Calibri" w:hAnsi="Calibri" w:cs="Times New Roman"/>
        <w:noProof/>
        <w:color w:val="1C1C1C"/>
      </w:rPr>
      <w:drawing>
        <wp:anchor distT="0" distB="0" distL="114300" distR="114300" simplePos="0" relativeHeight="251658241" behindDoc="0" locked="0" layoutInCell="1" allowOverlap="1" wp14:anchorId="1AA3EB15" wp14:editId="1D7E31AA">
          <wp:simplePos x="0" y="0"/>
          <wp:positionH relativeFrom="column">
            <wp:posOffset>7174865</wp:posOffset>
          </wp:positionH>
          <wp:positionV relativeFrom="paragraph">
            <wp:posOffset>-40005</wp:posOffset>
          </wp:positionV>
          <wp:extent cx="1059815" cy="428625"/>
          <wp:effectExtent l="0" t="0" r="6985" b="9525"/>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9815" cy="4286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23235"/>
    <w:multiLevelType w:val="multilevel"/>
    <w:tmpl w:val="BBA4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41D01"/>
    <w:multiLevelType w:val="multilevel"/>
    <w:tmpl w:val="A9A2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F3DDF"/>
    <w:multiLevelType w:val="multilevel"/>
    <w:tmpl w:val="CCB4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85A2F"/>
    <w:multiLevelType w:val="multilevel"/>
    <w:tmpl w:val="10BC8028"/>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FF01472"/>
    <w:multiLevelType w:val="multilevel"/>
    <w:tmpl w:val="F95E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23CD8"/>
    <w:multiLevelType w:val="multilevel"/>
    <w:tmpl w:val="D492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82F84"/>
    <w:multiLevelType w:val="hybridMultilevel"/>
    <w:tmpl w:val="39AC0A48"/>
    <w:lvl w:ilvl="0" w:tplc="FFFFFFFF">
      <w:start w:val="1"/>
      <w:numFmt w:val="decimal"/>
      <w:lvlText w:val="%1."/>
      <w:lvlJc w:val="left"/>
      <w:pPr>
        <w:ind w:left="1778" w:hanging="360"/>
      </w:pPr>
      <w:rPr>
        <w:rFonts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7" w15:restartNumberingAfterBreak="0">
    <w:nsid w:val="17FB2B58"/>
    <w:multiLevelType w:val="hybridMultilevel"/>
    <w:tmpl w:val="C5865E4A"/>
    <w:lvl w:ilvl="0" w:tplc="BCA2122A">
      <w:start w:val="1"/>
      <w:numFmt w:val="bullet"/>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8" w15:restartNumberingAfterBreak="0">
    <w:nsid w:val="19226284"/>
    <w:multiLevelType w:val="hybridMultilevel"/>
    <w:tmpl w:val="62B8CC56"/>
    <w:lvl w:ilvl="0" w:tplc="8012C8EA">
      <w:start w:val="1"/>
      <w:numFmt w:val="bullet"/>
      <w:pStyle w:val="H3bullet"/>
      <w:lvlText w:val=""/>
      <w:lvlJc w:val="left"/>
      <w:pPr>
        <w:ind w:left="1080" w:hanging="360"/>
      </w:pPr>
      <w:rPr>
        <w:rFonts w:ascii="Wingdings" w:hAnsi="Wingdings" w:hint="default"/>
        <w:color w:val="004B78"/>
        <w:sz w:val="16"/>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2B407BAC"/>
    <w:multiLevelType w:val="hybridMultilevel"/>
    <w:tmpl w:val="581EF9C6"/>
    <w:lvl w:ilvl="0" w:tplc="BDCE3FF6">
      <w:start w:val="1"/>
      <w:numFmt w:val="bullet"/>
      <w:pStyle w:val="ListBullet"/>
      <w:lvlText w:val=""/>
      <w:lvlJc w:val="left"/>
      <w:pPr>
        <w:ind w:left="785" w:hanging="360"/>
      </w:pPr>
      <w:rPr>
        <w:rFonts w:ascii="Wingdings" w:hAnsi="Wingdings" w:hint="default"/>
        <w:color w:val="004B78"/>
        <w:sz w:val="16"/>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EA245FB"/>
    <w:multiLevelType w:val="multilevel"/>
    <w:tmpl w:val="F9D4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D2657E"/>
    <w:multiLevelType w:val="multilevel"/>
    <w:tmpl w:val="AD3C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8E6E3C"/>
    <w:multiLevelType w:val="multilevel"/>
    <w:tmpl w:val="04126478"/>
    <w:lvl w:ilvl="0">
      <w:start w:val="1"/>
      <w:numFmt w:val="bullet"/>
      <w:lvlText w:val=""/>
      <w:lvlJc w:val="left"/>
      <w:pPr>
        <w:ind w:left="720" w:hanging="360"/>
      </w:pPr>
      <w:rPr>
        <w:rFonts w:ascii="Symbol" w:hAnsi="Symbol" w:hint="default"/>
        <w:color w:val="698973"/>
      </w:rPr>
    </w:lvl>
    <w:lvl w:ilvl="1">
      <w:start w:val="1"/>
      <w:numFmt w:val="bullet"/>
      <w:lvlText w:val="-"/>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EAB6212"/>
    <w:multiLevelType w:val="multilevel"/>
    <w:tmpl w:val="3BE0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836657"/>
    <w:multiLevelType w:val="multilevel"/>
    <w:tmpl w:val="C7BA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5E069F"/>
    <w:multiLevelType w:val="multilevel"/>
    <w:tmpl w:val="4962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D37622"/>
    <w:multiLevelType w:val="hybridMultilevel"/>
    <w:tmpl w:val="2196E3FA"/>
    <w:lvl w:ilvl="0" w:tplc="150E3226">
      <w:start w:val="1"/>
      <w:numFmt w:val="bullet"/>
      <w:pStyle w:val="H1SubBulletH4Bullet"/>
      <w:lvlText w:val=""/>
      <w:lvlJc w:val="left"/>
      <w:pPr>
        <w:ind w:left="1069" w:hanging="360"/>
      </w:pPr>
      <w:rPr>
        <w:rFonts w:ascii="Wingdings" w:hAnsi="Wingdings" w:hint="default"/>
        <w:color w:val="004B78"/>
      </w:rPr>
    </w:lvl>
    <w:lvl w:ilvl="1" w:tplc="08090003">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7" w15:restartNumberingAfterBreak="0">
    <w:nsid w:val="4C7620E9"/>
    <w:multiLevelType w:val="multilevel"/>
    <w:tmpl w:val="6D2A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147424"/>
    <w:multiLevelType w:val="multilevel"/>
    <w:tmpl w:val="2814F36A"/>
    <w:lvl w:ilvl="0">
      <w:start w:val="1"/>
      <w:numFmt w:val="upperLetter"/>
      <w:pStyle w:val="AnnexHeading1"/>
      <w:lvlText w:val="%1"/>
      <w:lvlJc w:val="left"/>
      <w:pPr>
        <w:ind w:left="360" w:hanging="360"/>
      </w:pPr>
      <w:rPr>
        <w:rFonts w:hint="default"/>
      </w:rPr>
    </w:lvl>
    <w:lvl w:ilvl="1">
      <w:start w:val="1"/>
      <w:numFmt w:val="decimal"/>
      <w:pStyle w:val="AnnexHeading2"/>
      <w:lvlText w:val="%1.%2"/>
      <w:lvlJc w:val="left"/>
      <w:pPr>
        <w:ind w:left="720" w:hanging="360"/>
      </w:pPr>
      <w:rPr>
        <w:rFonts w:hint="default"/>
      </w:rPr>
    </w:lvl>
    <w:lvl w:ilvl="2">
      <w:start w:val="1"/>
      <w:numFmt w:val="decimal"/>
      <w:pStyle w:val="AnnexHeading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F565C61"/>
    <w:multiLevelType w:val="multilevel"/>
    <w:tmpl w:val="6E0C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C04414"/>
    <w:multiLevelType w:val="multilevel"/>
    <w:tmpl w:val="8034DAB2"/>
    <w:lvl w:ilvl="0">
      <w:start w:val="1"/>
      <w:numFmt w:val="bullet"/>
      <w:lvlText w:val=""/>
      <w:lvlJc w:val="left"/>
      <w:pPr>
        <w:ind w:left="720" w:hanging="360"/>
      </w:pPr>
      <w:rPr>
        <w:rFonts w:ascii="Symbol" w:hAnsi="Symbol" w:hint="default"/>
        <w:color w:val="698973"/>
      </w:rPr>
    </w:lvl>
    <w:lvl w:ilvl="1">
      <w:start w:val="1"/>
      <w:numFmt w:val="bullet"/>
      <w:pStyle w:val="Subbullet"/>
      <w:lvlText w:val=""/>
      <w:lvlJc w:val="left"/>
      <w:pPr>
        <w:ind w:left="1440" w:hanging="360"/>
      </w:pPr>
      <w:rPr>
        <w:rFonts w:ascii="Symbol" w:hAnsi="Symbol" w:hint="default"/>
        <w:color w:val="00395B" w:themeColor="accent1" w:themeShade="80"/>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918264C"/>
    <w:multiLevelType w:val="hybridMultilevel"/>
    <w:tmpl w:val="9F7851A8"/>
    <w:lvl w:ilvl="0" w:tplc="12B865DE">
      <w:start w:val="1"/>
      <w:numFmt w:val="bullet"/>
      <w:pStyle w:val="H2bullet"/>
      <w:lvlText w:val=""/>
      <w:lvlJc w:val="left"/>
      <w:pPr>
        <w:ind w:left="1494" w:hanging="360"/>
      </w:pPr>
      <w:rPr>
        <w:rFonts w:ascii="Symbol" w:hAnsi="Symbol" w:hint="default"/>
      </w:rPr>
    </w:lvl>
    <w:lvl w:ilvl="1" w:tplc="391681CC">
      <w:start w:val="1"/>
      <w:numFmt w:val="bullet"/>
      <w:lvlText w:val="o"/>
      <w:lvlJc w:val="left"/>
      <w:pPr>
        <w:ind w:left="2214" w:hanging="360"/>
      </w:pPr>
      <w:rPr>
        <w:rFonts w:ascii="Courier New" w:hAnsi="Courier New" w:cs="Courier New" w:hint="default"/>
      </w:rPr>
    </w:lvl>
    <w:lvl w:ilvl="2" w:tplc="08090005">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22" w15:restartNumberingAfterBreak="0">
    <w:nsid w:val="5D0F57EF"/>
    <w:multiLevelType w:val="multilevel"/>
    <w:tmpl w:val="5E52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4A6F0B"/>
    <w:multiLevelType w:val="multilevel"/>
    <w:tmpl w:val="736E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73047F"/>
    <w:multiLevelType w:val="multilevel"/>
    <w:tmpl w:val="58C4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E101FF"/>
    <w:multiLevelType w:val="multilevel"/>
    <w:tmpl w:val="6DA4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403240"/>
    <w:multiLevelType w:val="hybridMultilevel"/>
    <w:tmpl w:val="DE420612"/>
    <w:lvl w:ilvl="0" w:tplc="3A925826">
      <w:start w:val="1"/>
      <w:numFmt w:val="bullet"/>
      <w:pStyle w:val="H2Bullet0"/>
      <w:lvlText w:val=""/>
      <w:lvlJc w:val="left"/>
      <w:pPr>
        <w:ind w:left="1429" w:hanging="360"/>
      </w:pPr>
      <w:rPr>
        <w:rFonts w:ascii="Wingdings" w:hAnsi="Wingdings" w:hint="default"/>
        <w:color w:val="004B78"/>
        <w:sz w:val="16"/>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7" w15:restartNumberingAfterBreak="0">
    <w:nsid w:val="66BF7306"/>
    <w:multiLevelType w:val="multilevel"/>
    <w:tmpl w:val="E88A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8D47A8"/>
    <w:multiLevelType w:val="hybridMultilevel"/>
    <w:tmpl w:val="89E23236"/>
    <w:lvl w:ilvl="0" w:tplc="BA282E7A">
      <w:start w:val="1"/>
      <w:numFmt w:val="bullet"/>
      <w:pStyle w:val="CVbullet-projectexperience"/>
      <w:lvlText w:val=""/>
      <w:lvlJc w:val="left"/>
      <w:pPr>
        <w:ind w:left="720" w:hanging="360"/>
      </w:pPr>
      <w:rPr>
        <w:rFonts w:ascii="Wingdings" w:hAnsi="Wingdings" w:hint="default"/>
        <w:color w:val="004B78"/>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AFD3698"/>
    <w:multiLevelType w:val="multilevel"/>
    <w:tmpl w:val="6D0C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003F28"/>
    <w:multiLevelType w:val="multilevel"/>
    <w:tmpl w:val="6664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C053AE"/>
    <w:multiLevelType w:val="multilevel"/>
    <w:tmpl w:val="ED7C577E"/>
    <w:lvl w:ilvl="0">
      <w:start w:val="1"/>
      <w:numFmt w:val="lowerLetter"/>
      <w:pStyle w:val="Heading4"/>
      <w:lvlText w:val="%1)"/>
      <w:lvlJc w:val="left"/>
      <w:pPr>
        <w:ind w:left="720" w:hanging="360"/>
      </w:pPr>
      <w:rPr>
        <w:rFonts w:hint="default"/>
        <w:i w:val="0"/>
        <w:iCs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79BA1C0A"/>
    <w:multiLevelType w:val="multilevel"/>
    <w:tmpl w:val="DCB4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104175">
    <w:abstractNumId w:val="3"/>
  </w:num>
  <w:num w:numId="2" w16cid:durableId="2096240354">
    <w:abstractNumId w:val="9"/>
  </w:num>
  <w:num w:numId="3" w16cid:durableId="676617221">
    <w:abstractNumId w:val="26"/>
  </w:num>
  <w:num w:numId="4" w16cid:durableId="1622959885">
    <w:abstractNumId w:val="8"/>
  </w:num>
  <w:num w:numId="5" w16cid:durableId="1741831401">
    <w:abstractNumId w:val="28"/>
  </w:num>
  <w:num w:numId="6" w16cid:durableId="588461950">
    <w:abstractNumId w:val="18"/>
  </w:num>
  <w:num w:numId="7" w16cid:durableId="412822798">
    <w:abstractNumId w:val="31"/>
  </w:num>
  <w:num w:numId="8" w16cid:durableId="976491850">
    <w:abstractNumId w:val="12"/>
  </w:num>
  <w:num w:numId="9" w16cid:durableId="293677867">
    <w:abstractNumId w:val="21"/>
  </w:num>
  <w:num w:numId="10" w16cid:durableId="2088920342">
    <w:abstractNumId w:val="16"/>
  </w:num>
  <w:num w:numId="11" w16cid:durableId="2118942700">
    <w:abstractNumId w:val="6"/>
  </w:num>
  <w:num w:numId="12" w16cid:durableId="2123760591">
    <w:abstractNumId w:val="7"/>
  </w:num>
  <w:num w:numId="13" w16cid:durableId="2046055209">
    <w:abstractNumId w:val="20"/>
  </w:num>
  <w:num w:numId="14" w16cid:durableId="1467776595">
    <w:abstractNumId w:val="11"/>
  </w:num>
  <w:num w:numId="15" w16cid:durableId="1759907587">
    <w:abstractNumId w:val="23"/>
  </w:num>
  <w:num w:numId="16" w16cid:durableId="1732776093">
    <w:abstractNumId w:val="13"/>
  </w:num>
  <w:num w:numId="17" w16cid:durableId="190073172">
    <w:abstractNumId w:val="29"/>
  </w:num>
  <w:num w:numId="18" w16cid:durableId="764571687">
    <w:abstractNumId w:val="5"/>
  </w:num>
  <w:num w:numId="19" w16cid:durableId="25064073">
    <w:abstractNumId w:val="30"/>
  </w:num>
  <w:num w:numId="20" w16cid:durableId="1173185814">
    <w:abstractNumId w:val="4"/>
  </w:num>
  <w:num w:numId="21" w16cid:durableId="231163908">
    <w:abstractNumId w:val="19"/>
  </w:num>
  <w:num w:numId="22" w16cid:durableId="585265064">
    <w:abstractNumId w:val="1"/>
  </w:num>
  <w:num w:numId="23" w16cid:durableId="1551114853">
    <w:abstractNumId w:val="27"/>
  </w:num>
  <w:num w:numId="24" w16cid:durableId="1822693991">
    <w:abstractNumId w:val="0"/>
  </w:num>
  <w:num w:numId="25" w16cid:durableId="140271209">
    <w:abstractNumId w:val="22"/>
  </w:num>
  <w:num w:numId="26" w16cid:durableId="1997416217">
    <w:abstractNumId w:val="24"/>
  </w:num>
  <w:num w:numId="27" w16cid:durableId="480927193">
    <w:abstractNumId w:val="10"/>
  </w:num>
  <w:num w:numId="28" w16cid:durableId="782070275">
    <w:abstractNumId w:val="17"/>
  </w:num>
  <w:num w:numId="29" w16cid:durableId="819342472">
    <w:abstractNumId w:val="15"/>
  </w:num>
  <w:num w:numId="30" w16cid:durableId="2059889947">
    <w:abstractNumId w:val="14"/>
  </w:num>
  <w:num w:numId="31" w16cid:durableId="769860855">
    <w:abstractNumId w:val="25"/>
  </w:num>
  <w:num w:numId="32" w16cid:durableId="762385048">
    <w:abstractNumId w:val="32"/>
  </w:num>
  <w:num w:numId="33" w16cid:durableId="656609621">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QzMzUyNzc0M7K0NLNQ0lEKTi0uzszPAykwrAUApMM+tCwAAAA="/>
  </w:docVars>
  <w:rsids>
    <w:rsidRoot w:val="007B51CA"/>
    <w:rsid w:val="00001AF9"/>
    <w:rsid w:val="00003019"/>
    <w:rsid w:val="0000375D"/>
    <w:rsid w:val="0000397B"/>
    <w:rsid w:val="00003DE2"/>
    <w:rsid w:val="000064DB"/>
    <w:rsid w:val="00007E5D"/>
    <w:rsid w:val="00012CA9"/>
    <w:rsid w:val="000148AF"/>
    <w:rsid w:val="0001653C"/>
    <w:rsid w:val="000171D4"/>
    <w:rsid w:val="00020DC5"/>
    <w:rsid w:val="00021EAE"/>
    <w:rsid w:val="00037B04"/>
    <w:rsid w:val="0004161E"/>
    <w:rsid w:val="00042773"/>
    <w:rsid w:val="00050B0A"/>
    <w:rsid w:val="00055B79"/>
    <w:rsid w:val="0005658C"/>
    <w:rsid w:val="00061DE8"/>
    <w:rsid w:val="00070CE7"/>
    <w:rsid w:val="00071641"/>
    <w:rsid w:val="00071AE8"/>
    <w:rsid w:val="00072D60"/>
    <w:rsid w:val="000734E3"/>
    <w:rsid w:val="00074FA6"/>
    <w:rsid w:val="00077D4F"/>
    <w:rsid w:val="00080197"/>
    <w:rsid w:val="000871F6"/>
    <w:rsid w:val="0009061E"/>
    <w:rsid w:val="00091C82"/>
    <w:rsid w:val="0009516E"/>
    <w:rsid w:val="00097AD1"/>
    <w:rsid w:val="000A0445"/>
    <w:rsid w:val="000A09B0"/>
    <w:rsid w:val="000A7B4A"/>
    <w:rsid w:val="000B2D40"/>
    <w:rsid w:val="000B4C50"/>
    <w:rsid w:val="000C12A9"/>
    <w:rsid w:val="000C15AD"/>
    <w:rsid w:val="000C5174"/>
    <w:rsid w:val="000C6131"/>
    <w:rsid w:val="000C65C5"/>
    <w:rsid w:val="000C7F4D"/>
    <w:rsid w:val="000D045A"/>
    <w:rsid w:val="000D096F"/>
    <w:rsid w:val="000D4EC5"/>
    <w:rsid w:val="000D5EEE"/>
    <w:rsid w:val="000D7E15"/>
    <w:rsid w:val="000E114E"/>
    <w:rsid w:val="000E16FB"/>
    <w:rsid w:val="000F32FF"/>
    <w:rsid w:val="000F388A"/>
    <w:rsid w:val="000F477E"/>
    <w:rsid w:val="000F52BD"/>
    <w:rsid w:val="000F54FC"/>
    <w:rsid w:val="000F5F6D"/>
    <w:rsid w:val="001022A8"/>
    <w:rsid w:val="00103D82"/>
    <w:rsid w:val="00116766"/>
    <w:rsid w:val="00116F3C"/>
    <w:rsid w:val="001176EC"/>
    <w:rsid w:val="00121978"/>
    <w:rsid w:val="00122F91"/>
    <w:rsid w:val="00127566"/>
    <w:rsid w:val="00127862"/>
    <w:rsid w:val="00134EC5"/>
    <w:rsid w:val="00136446"/>
    <w:rsid w:val="0015186B"/>
    <w:rsid w:val="001542AD"/>
    <w:rsid w:val="00160C7F"/>
    <w:rsid w:val="0016445D"/>
    <w:rsid w:val="00166F13"/>
    <w:rsid w:val="001710F3"/>
    <w:rsid w:val="00174B01"/>
    <w:rsid w:val="00175166"/>
    <w:rsid w:val="00175666"/>
    <w:rsid w:val="00177341"/>
    <w:rsid w:val="00180B78"/>
    <w:rsid w:val="00183425"/>
    <w:rsid w:val="00186AB4"/>
    <w:rsid w:val="001933FA"/>
    <w:rsid w:val="0019748F"/>
    <w:rsid w:val="001B1BD8"/>
    <w:rsid w:val="001B45AC"/>
    <w:rsid w:val="001B5491"/>
    <w:rsid w:val="001E0BDF"/>
    <w:rsid w:val="001E277B"/>
    <w:rsid w:val="001E3D78"/>
    <w:rsid w:val="001E48E8"/>
    <w:rsid w:val="001F2C94"/>
    <w:rsid w:val="001F41A5"/>
    <w:rsid w:val="001F472F"/>
    <w:rsid w:val="001F7C7C"/>
    <w:rsid w:val="00204A69"/>
    <w:rsid w:val="00204C76"/>
    <w:rsid w:val="00204E8C"/>
    <w:rsid w:val="00205E63"/>
    <w:rsid w:val="00206D50"/>
    <w:rsid w:val="00210530"/>
    <w:rsid w:val="00211B4A"/>
    <w:rsid w:val="002130F5"/>
    <w:rsid w:val="00215C2F"/>
    <w:rsid w:val="0022109A"/>
    <w:rsid w:val="00221EA4"/>
    <w:rsid w:val="00231B34"/>
    <w:rsid w:val="00234BAF"/>
    <w:rsid w:val="002368BB"/>
    <w:rsid w:val="00241F3D"/>
    <w:rsid w:val="00242D1E"/>
    <w:rsid w:val="002439D3"/>
    <w:rsid w:val="002453D8"/>
    <w:rsid w:val="00245A7D"/>
    <w:rsid w:val="00246682"/>
    <w:rsid w:val="00251F7A"/>
    <w:rsid w:val="00262E5D"/>
    <w:rsid w:val="00263971"/>
    <w:rsid w:val="002747EA"/>
    <w:rsid w:val="00277DF7"/>
    <w:rsid w:val="00277EFE"/>
    <w:rsid w:val="002850CD"/>
    <w:rsid w:val="00295663"/>
    <w:rsid w:val="002A0BEB"/>
    <w:rsid w:val="002B3E70"/>
    <w:rsid w:val="002C0F57"/>
    <w:rsid w:val="002C15F3"/>
    <w:rsid w:val="002C2846"/>
    <w:rsid w:val="002C2D51"/>
    <w:rsid w:val="002C5C74"/>
    <w:rsid w:val="002D25F1"/>
    <w:rsid w:val="002D3039"/>
    <w:rsid w:val="002D6630"/>
    <w:rsid w:val="002E430A"/>
    <w:rsid w:val="002F36C3"/>
    <w:rsid w:val="002F5C1E"/>
    <w:rsid w:val="002F7BC8"/>
    <w:rsid w:val="00303E84"/>
    <w:rsid w:val="003061D7"/>
    <w:rsid w:val="00311BB8"/>
    <w:rsid w:val="0031364F"/>
    <w:rsid w:val="00321900"/>
    <w:rsid w:val="00321D51"/>
    <w:rsid w:val="00324945"/>
    <w:rsid w:val="00327AA0"/>
    <w:rsid w:val="003300E3"/>
    <w:rsid w:val="0033079E"/>
    <w:rsid w:val="00333C28"/>
    <w:rsid w:val="00334A5C"/>
    <w:rsid w:val="00335089"/>
    <w:rsid w:val="00337AAE"/>
    <w:rsid w:val="0034105A"/>
    <w:rsid w:val="00344798"/>
    <w:rsid w:val="003447A8"/>
    <w:rsid w:val="00347893"/>
    <w:rsid w:val="00350BD2"/>
    <w:rsid w:val="003510D5"/>
    <w:rsid w:val="003518B4"/>
    <w:rsid w:val="0035366E"/>
    <w:rsid w:val="00353EA2"/>
    <w:rsid w:val="0035678A"/>
    <w:rsid w:val="00356F4C"/>
    <w:rsid w:val="00360AE5"/>
    <w:rsid w:val="00363743"/>
    <w:rsid w:val="00363C27"/>
    <w:rsid w:val="00363E72"/>
    <w:rsid w:val="0036500D"/>
    <w:rsid w:val="00367D1D"/>
    <w:rsid w:val="0037092A"/>
    <w:rsid w:val="00370B54"/>
    <w:rsid w:val="0037276F"/>
    <w:rsid w:val="00372B29"/>
    <w:rsid w:val="00377048"/>
    <w:rsid w:val="00390280"/>
    <w:rsid w:val="003936CA"/>
    <w:rsid w:val="00393C3F"/>
    <w:rsid w:val="00394BA1"/>
    <w:rsid w:val="0039573C"/>
    <w:rsid w:val="003A166B"/>
    <w:rsid w:val="003B0AC2"/>
    <w:rsid w:val="003B14E5"/>
    <w:rsid w:val="003B4558"/>
    <w:rsid w:val="003B4BA3"/>
    <w:rsid w:val="003B5A1A"/>
    <w:rsid w:val="003C0E26"/>
    <w:rsid w:val="003C13DF"/>
    <w:rsid w:val="003C3382"/>
    <w:rsid w:val="003C37FF"/>
    <w:rsid w:val="003C685D"/>
    <w:rsid w:val="003C6CA5"/>
    <w:rsid w:val="003D1DC0"/>
    <w:rsid w:val="003D68B9"/>
    <w:rsid w:val="003E0589"/>
    <w:rsid w:val="003E467A"/>
    <w:rsid w:val="003E6392"/>
    <w:rsid w:val="003F43A0"/>
    <w:rsid w:val="003F5690"/>
    <w:rsid w:val="0040090C"/>
    <w:rsid w:val="004026FD"/>
    <w:rsid w:val="00410B1F"/>
    <w:rsid w:val="00416956"/>
    <w:rsid w:val="00431E04"/>
    <w:rsid w:val="00436631"/>
    <w:rsid w:val="004379C1"/>
    <w:rsid w:val="004542B6"/>
    <w:rsid w:val="00454DB2"/>
    <w:rsid w:val="00456949"/>
    <w:rsid w:val="00460A39"/>
    <w:rsid w:val="00465BF3"/>
    <w:rsid w:val="00466243"/>
    <w:rsid w:val="00483331"/>
    <w:rsid w:val="00484B3E"/>
    <w:rsid w:val="0049008A"/>
    <w:rsid w:val="00493AD0"/>
    <w:rsid w:val="00495B09"/>
    <w:rsid w:val="0049677F"/>
    <w:rsid w:val="004A5E0F"/>
    <w:rsid w:val="004B431A"/>
    <w:rsid w:val="004B449B"/>
    <w:rsid w:val="004B66E9"/>
    <w:rsid w:val="004C2A24"/>
    <w:rsid w:val="004C454B"/>
    <w:rsid w:val="004C62B7"/>
    <w:rsid w:val="004D546D"/>
    <w:rsid w:val="004D7CD3"/>
    <w:rsid w:val="004E0A54"/>
    <w:rsid w:val="004E1D8E"/>
    <w:rsid w:val="004E2FF1"/>
    <w:rsid w:val="004E3D69"/>
    <w:rsid w:val="004E5721"/>
    <w:rsid w:val="004F50C5"/>
    <w:rsid w:val="004F5F65"/>
    <w:rsid w:val="004F62A8"/>
    <w:rsid w:val="005032A7"/>
    <w:rsid w:val="00506D4C"/>
    <w:rsid w:val="005073D8"/>
    <w:rsid w:val="005076D3"/>
    <w:rsid w:val="005116B3"/>
    <w:rsid w:val="00513835"/>
    <w:rsid w:val="00513B01"/>
    <w:rsid w:val="00516448"/>
    <w:rsid w:val="0051792E"/>
    <w:rsid w:val="00523D38"/>
    <w:rsid w:val="0052776A"/>
    <w:rsid w:val="00530155"/>
    <w:rsid w:val="00530248"/>
    <w:rsid w:val="00531BE3"/>
    <w:rsid w:val="00533F2C"/>
    <w:rsid w:val="00534C33"/>
    <w:rsid w:val="00536ACE"/>
    <w:rsid w:val="00540F27"/>
    <w:rsid w:val="00542A9B"/>
    <w:rsid w:val="00550356"/>
    <w:rsid w:val="00552725"/>
    <w:rsid w:val="005547B3"/>
    <w:rsid w:val="00554DD2"/>
    <w:rsid w:val="00555743"/>
    <w:rsid w:val="00557362"/>
    <w:rsid w:val="00560836"/>
    <w:rsid w:val="005663DC"/>
    <w:rsid w:val="00571D00"/>
    <w:rsid w:val="005722AD"/>
    <w:rsid w:val="00574B5A"/>
    <w:rsid w:val="00574F93"/>
    <w:rsid w:val="005762DA"/>
    <w:rsid w:val="00576C80"/>
    <w:rsid w:val="00583AB2"/>
    <w:rsid w:val="00594657"/>
    <w:rsid w:val="00594F11"/>
    <w:rsid w:val="00597EB5"/>
    <w:rsid w:val="005A337B"/>
    <w:rsid w:val="005A695E"/>
    <w:rsid w:val="005A7983"/>
    <w:rsid w:val="005A7E8F"/>
    <w:rsid w:val="005B27AD"/>
    <w:rsid w:val="005B3EE4"/>
    <w:rsid w:val="005B508A"/>
    <w:rsid w:val="005B50D3"/>
    <w:rsid w:val="005B7293"/>
    <w:rsid w:val="005C04BA"/>
    <w:rsid w:val="005C2B61"/>
    <w:rsid w:val="005C5F9B"/>
    <w:rsid w:val="005C71BF"/>
    <w:rsid w:val="005D088C"/>
    <w:rsid w:val="005D08B9"/>
    <w:rsid w:val="005D14B9"/>
    <w:rsid w:val="005D5147"/>
    <w:rsid w:val="005E1977"/>
    <w:rsid w:val="005E46F3"/>
    <w:rsid w:val="005E5987"/>
    <w:rsid w:val="005E6A73"/>
    <w:rsid w:val="005F58B1"/>
    <w:rsid w:val="005F59BB"/>
    <w:rsid w:val="005F5BC7"/>
    <w:rsid w:val="005F746E"/>
    <w:rsid w:val="005F7F75"/>
    <w:rsid w:val="00600604"/>
    <w:rsid w:val="00602FDE"/>
    <w:rsid w:val="006046D4"/>
    <w:rsid w:val="006067F0"/>
    <w:rsid w:val="00611292"/>
    <w:rsid w:val="00611DF3"/>
    <w:rsid w:val="00616216"/>
    <w:rsid w:val="00622580"/>
    <w:rsid w:val="0062320C"/>
    <w:rsid w:val="00625977"/>
    <w:rsid w:val="006340E3"/>
    <w:rsid w:val="0063422F"/>
    <w:rsid w:val="00641223"/>
    <w:rsid w:val="00641EF6"/>
    <w:rsid w:val="006433FA"/>
    <w:rsid w:val="006440DE"/>
    <w:rsid w:val="00645FC4"/>
    <w:rsid w:val="006461C5"/>
    <w:rsid w:val="006619A8"/>
    <w:rsid w:val="00661E19"/>
    <w:rsid w:val="00664CBD"/>
    <w:rsid w:val="0067351A"/>
    <w:rsid w:val="006772AF"/>
    <w:rsid w:val="00680E9D"/>
    <w:rsid w:val="00682B2B"/>
    <w:rsid w:val="00682FD1"/>
    <w:rsid w:val="0068308A"/>
    <w:rsid w:val="00690D40"/>
    <w:rsid w:val="00692D7D"/>
    <w:rsid w:val="006A48B3"/>
    <w:rsid w:val="006A64F1"/>
    <w:rsid w:val="006B1D72"/>
    <w:rsid w:val="006B25F5"/>
    <w:rsid w:val="006B28A5"/>
    <w:rsid w:val="006B361A"/>
    <w:rsid w:val="006B71FF"/>
    <w:rsid w:val="006C04BF"/>
    <w:rsid w:val="006C17D7"/>
    <w:rsid w:val="006D2792"/>
    <w:rsid w:val="006D3FDB"/>
    <w:rsid w:val="006D47B1"/>
    <w:rsid w:val="006D7F9A"/>
    <w:rsid w:val="006E08DA"/>
    <w:rsid w:val="006F1923"/>
    <w:rsid w:val="006F1A5D"/>
    <w:rsid w:val="0070076F"/>
    <w:rsid w:val="00702E90"/>
    <w:rsid w:val="007033EF"/>
    <w:rsid w:val="00704D17"/>
    <w:rsid w:val="00706E81"/>
    <w:rsid w:val="0071333B"/>
    <w:rsid w:val="00714B61"/>
    <w:rsid w:val="007229EF"/>
    <w:rsid w:val="00726FB5"/>
    <w:rsid w:val="00733953"/>
    <w:rsid w:val="00734E50"/>
    <w:rsid w:val="00736F36"/>
    <w:rsid w:val="00737D8E"/>
    <w:rsid w:val="00737FBE"/>
    <w:rsid w:val="00741219"/>
    <w:rsid w:val="00741671"/>
    <w:rsid w:val="007511EE"/>
    <w:rsid w:val="007538D5"/>
    <w:rsid w:val="00755370"/>
    <w:rsid w:val="00755914"/>
    <w:rsid w:val="007574C5"/>
    <w:rsid w:val="00761DA4"/>
    <w:rsid w:val="0076365E"/>
    <w:rsid w:val="00765AA7"/>
    <w:rsid w:val="00767EC2"/>
    <w:rsid w:val="0077316C"/>
    <w:rsid w:val="00775D44"/>
    <w:rsid w:val="00782982"/>
    <w:rsid w:val="00785679"/>
    <w:rsid w:val="007869DF"/>
    <w:rsid w:val="00786E39"/>
    <w:rsid w:val="007917C4"/>
    <w:rsid w:val="00791D31"/>
    <w:rsid w:val="00795FF1"/>
    <w:rsid w:val="007960F7"/>
    <w:rsid w:val="007A1886"/>
    <w:rsid w:val="007A6C08"/>
    <w:rsid w:val="007A7401"/>
    <w:rsid w:val="007B06FA"/>
    <w:rsid w:val="007B15CE"/>
    <w:rsid w:val="007B3347"/>
    <w:rsid w:val="007B51CA"/>
    <w:rsid w:val="007B5D90"/>
    <w:rsid w:val="007C0051"/>
    <w:rsid w:val="007C2E49"/>
    <w:rsid w:val="007C55AC"/>
    <w:rsid w:val="007D0ED3"/>
    <w:rsid w:val="007D17D5"/>
    <w:rsid w:val="007D29EA"/>
    <w:rsid w:val="007D43FC"/>
    <w:rsid w:val="007D6AF1"/>
    <w:rsid w:val="007E43FB"/>
    <w:rsid w:val="007E6844"/>
    <w:rsid w:val="007F11A3"/>
    <w:rsid w:val="007F1353"/>
    <w:rsid w:val="007F3E74"/>
    <w:rsid w:val="007F4C96"/>
    <w:rsid w:val="007F4D43"/>
    <w:rsid w:val="007F6673"/>
    <w:rsid w:val="008005C0"/>
    <w:rsid w:val="00802594"/>
    <w:rsid w:val="00805E4D"/>
    <w:rsid w:val="00805F0D"/>
    <w:rsid w:val="00806365"/>
    <w:rsid w:val="00807159"/>
    <w:rsid w:val="0080786C"/>
    <w:rsid w:val="00817755"/>
    <w:rsid w:val="0082150E"/>
    <w:rsid w:val="008219F5"/>
    <w:rsid w:val="00827DDC"/>
    <w:rsid w:val="00830948"/>
    <w:rsid w:val="008357DB"/>
    <w:rsid w:val="00840873"/>
    <w:rsid w:val="008426A3"/>
    <w:rsid w:val="00843C63"/>
    <w:rsid w:val="00845F62"/>
    <w:rsid w:val="008552D3"/>
    <w:rsid w:val="00860C3B"/>
    <w:rsid w:val="00863DCB"/>
    <w:rsid w:val="008641E7"/>
    <w:rsid w:val="008672A4"/>
    <w:rsid w:val="00880D0E"/>
    <w:rsid w:val="008871D1"/>
    <w:rsid w:val="0089079F"/>
    <w:rsid w:val="00890E0B"/>
    <w:rsid w:val="0089144D"/>
    <w:rsid w:val="008A0B33"/>
    <w:rsid w:val="008A0EDB"/>
    <w:rsid w:val="008A1AD4"/>
    <w:rsid w:val="008A4141"/>
    <w:rsid w:val="008A66A2"/>
    <w:rsid w:val="008B0753"/>
    <w:rsid w:val="008B3920"/>
    <w:rsid w:val="008B4458"/>
    <w:rsid w:val="008B4DA1"/>
    <w:rsid w:val="008B72D3"/>
    <w:rsid w:val="008C3B0D"/>
    <w:rsid w:val="008C4D2D"/>
    <w:rsid w:val="008C7120"/>
    <w:rsid w:val="008D2748"/>
    <w:rsid w:val="008D6C57"/>
    <w:rsid w:val="008D7B0A"/>
    <w:rsid w:val="008E2E00"/>
    <w:rsid w:val="008E480C"/>
    <w:rsid w:val="008E5186"/>
    <w:rsid w:val="008E698C"/>
    <w:rsid w:val="008F0FF0"/>
    <w:rsid w:val="008F42A5"/>
    <w:rsid w:val="008F46AF"/>
    <w:rsid w:val="0090056F"/>
    <w:rsid w:val="0090324D"/>
    <w:rsid w:val="00910ED3"/>
    <w:rsid w:val="009143DE"/>
    <w:rsid w:val="0091469B"/>
    <w:rsid w:val="00914A33"/>
    <w:rsid w:val="0091502D"/>
    <w:rsid w:val="00917ED8"/>
    <w:rsid w:val="00927C3A"/>
    <w:rsid w:val="0093070D"/>
    <w:rsid w:val="00930AB7"/>
    <w:rsid w:val="009350C5"/>
    <w:rsid w:val="00935DDD"/>
    <w:rsid w:val="00935E12"/>
    <w:rsid w:val="00937AB3"/>
    <w:rsid w:val="009411DC"/>
    <w:rsid w:val="00941C7E"/>
    <w:rsid w:val="00942F27"/>
    <w:rsid w:val="00943587"/>
    <w:rsid w:val="009465B6"/>
    <w:rsid w:val="00946A14"/>
    <w:rsid w:val="00947916"/>
    <w:rsid w:val="009511E9"/>
    <w:rsid w:val="00952063"/>
    <w:rsid w:val="00954C87"/>
    <w:rsid w:val="00963920"/>
    <w:rsid w:val="009655E7"/>
    <w:rsid w:val="00965FBC"/>
    <w:rsid w:val="00966EFF"/>
    <w:rsid w:val="00971FC7"/>
    <w:rsid w:val="00973915"/>
    <w:rsid w:val="0097746C"/>
    <w:rsid w:val="00980124"/>
    <w:rsid w:val="00984F90"/>
    <w:rsid w:val="00985139"/>
    <w:rsid w:val="00987804"/>
    <w:rsid w:val="00990C5D"/>
    <w:rsid w:val="0099200E"/>
    <w:rsid w:val="009931C3"/>
    <w:rsid w:val="009A7396"/>
    <w:rsid w:val="009B05C7"/>
    <w:rsid w:val="009B0B6B"/>
    <w:rsid w:val="009B0F5D"/>
    <w:rsid w:val="009B3F78"/>
    <w:rsid w:val="009B5AE4"/>
    <w:rsid w:val="009C116A"/>
    <w:rsid w:val="009D61E7"/>
    <w:rsid w:val="009E312E"/>
    <w:rsid w:val="009E53EE"/>
    <w:rsid w:val="009E7267"/>
    <w:rsid w:val="009E7F48"/>
    <w:rsid w:val="009F2A0C"/>
    <w:rsid w:val="00A02BFD"/>
    <w:rsid w:val="00A02C7F"/>
    <w:rsid w:val="00A05B15"/>
    <w:rsid w:val="00A11137"/>
    <w:rsid w:val="00A11896"/>
    <w:rsid w:val="00A12B88"/>
    <w:rsid w:val="00A1614D"/>
    <w:rsid w:val="00A16F85"/>
    <w:rsid w:val="00A23628"/>
    <w:rsid w:val="00A24AFF"/>
    <w:rsid w:val="00A306BC"/>
    <w:rsid w:val="00A3537B"/>
    <w:rsid w:val="00A3618D"/>
    <w:rsid w:val="00A41B09"/>
    <w:rsid w:val="00A426B2"/>
    <w:rsid w:val="00A4274B"/>
    <w:rsid w:val="00A51608"/>
    <w:rsid w:val="00A519FD"/>
    <w:rsid w:val="00A52745"/>
    <w:rsid w:val="00A620B3"/>
    <w:rsid w:val="00A62A1D"/>
    <w:rsid w:val="00A67E1E"/>
    <w:rsid w:val="00A71AEE"/>
    <w:rsid w:val="00A72B61"/>
    <w:rsid w:val="00A732EC"/>
    <w:rsid w:val="00A769E9"/>
    <w:rsid w:val="00A80984"/>
    <w:rsid w:val="00A80FFE"/>
    <w:rsid w:val="00A81D0B"/>
    <w:rsid w:val="00A86103"/>
    <w:rsid w:val="00A86AE6"/>
    <w:rsid w:val="00A87E5B"/>
    <w:rsid w:val="00A90A58"/>
    <w:rsid w:val="00A91792"/>
    <w:rsid w:val="00AA0401"/>
    <w:rsid w:val="00AA2383"/>
    <w:rsid w:val="00AA41F8"/>
    <w:rsid w:val="00AA6462"/>
    <w:rsid w:val="00AB0A6D"/>
    <w:rsid w:val="00AB20AB"/>
    <w:rsid w:val="00AB356D"/>
    <w:rsid w:val="00AB4439"/>
    <w:rsid w:val="00AB60F8"/>
    <w:rsid w:val="00AB6A82"/>
    <w:rsid w:val="00AC46DF"/>
    <w:rsid w:val="00AC6890"/>
    <w:rsid w:val="00AD03BC"/>
    <w:rsid w:val="00AD0580"/>
    <w:rsid w:val="00AD07C5"/>
    <w:rsid w:val="00AD3AB1"/>
    <w:rsid w:val="00AD4F5E"/>
    <w:rsid w:val="00AD5A51"/>
    <w:rsid w:val="00AD73DE"/>
    <w:rsid w:val="00AE0EC4"/>
    <w:rsid w:val="00AE2044"/>
    <w:rsid w:val="00AF3694"/>
    <w:rsid w:val="00AF3C0C"/>
    <w:rsid w:val="00AF53F4"/>
    <w:rsid w:val="00AF6229"/>
    <w:rsid w:val="00AF6DB6"/>
    <w:rsid w:val="00B01C01"/>
    <w:rsid w:val="00B04743"/>
    <w:rsid w:val="00B1310F"/>
    <w:rsid w:val="00B138F2"/>
    <w:rsid w:val="00B13A77"/>
    <w:rsid w:val="00B13DB2"/>
    <w:rsid w:val="00B1441A"/>
    <w:rsid w:val="00B16708"/>
    <w:rsid w:val="00B20908"/>
    <w:rsid w:val="00B21569"/>
    <w:rsid w:val="00B22FCF"/>
    <w:rsid w:val="00B278E4"/>
    <w:rsid w:val="00B3559D"/>
    <w:rsid w:val="00B401DE"/>
    <w:rsid w:val="00B46A18"/>
    <w:rsid w:val="00B51991"/>
    <w:rsid w:val="00B51FB8"/>
    <w:rsid w:val="00B540F8"/>
    <w:rsid w:val="00B5455A"/>
    <w:rsid w:val="00B6445A"/>
    <w:rsid w:val="00B64AF2"/>
    <w:rsid w:val="00B64D1C"/>
    <w:rsid w:val="00B71819"/>
    <w:rsid w:val="00B72A40"/>
    <w:rsid w:val="00B77BF7"/>
    <w:rsid w:val="00B8023D"/>
    <w:rsid w:val="00B854A0"/>
    <w:rsid w:val="00B857B9"/>
    <w:rsid w:val="00B901A5"/>
    <w:rsid w:val="00B93559"/>
    <w:rsid w:val="00B93DC6"/>
    <w:rsid w:val="00BA100F"/>
    <w:rsid w:val="00BA13F6"/>
    <w:rsid w:val="00BA27CA"/>
    <w:rsid w:val="00BB2325"/>
    <w:rsid w:val="00BB59BE"/>
    <w:rsid w:val="00BB686B"/>
    <w:rsid w:val="00BB7038"/>
    <w:rsid w:val="00BC2ADF"/>
    <w:rsid w:val="00BC63F8"/>
    <w:rsid w:val="00BD6567"/>
    <w:rsid w:val="00BF2160"/>
    <w:rsid w:val="00BF5435"/>
    <w:rsid w:val="00C00DE6"/>
    <w:rsid w:val="00C0243F"/>
    <w:rsid w:val="00C025AB"/>
    <w:rsid w:val="00C05B1C"/>
    <w:rsid w:val="00C0637D"/>
    <w:rsid w:val="00C10D91"/>
    <w:rsid w:val="00C1248C"/>
    <w:rsid w:val="00C13590"/>
    <w:rsid w:val="00C1381D"/>
    <w:rsid w:val="00C13AE0"/>
    <w:rsid w:val="00C1594B"/>
    <w:rsid w:val="00C159AB"/>
    <w:rsid w:val="00C16833"/>
    <w:rsid w:val="00C17CC6"/>
    <w:rsid w:val="00C21CEF"/>
    <w:rsid w:val="00C22092"/>
    <w:rsid w:val="00C319E4"/>
    <w:rsid w:val="00C31C2F"/>
    <w:rsid w:val="00C36660"/>
    <w:rsid w:val="00C36D6F"/>
    <w:rsid w:val="00C40D01"/>
    <w:rsid w:val="00C508B2"/>
    <w:rsid w:val="00C56A0C"/>
    <w:rsid w:val="00C64ED4"/>
    <w:rsid w:val="00C667FC"/>
    <w:rsid w:val="00C70DEE"/>
    <w:rsid w:val="00C72F0A"/>
    <w:rsid w:val="00C7415D"/>
    <w:rsid w:val="00C7583B"/>
    <w:rsid w:val="00C82FC7"/>
    <w:rsid w:val="00C846F0"/>
    <w:rsid w:val="00C86D6F"/>
    <w:rsid w:val="00C91DD8"/>
    <w:rsid w:val="00C96FF3"/>
    <w:rsid w:val="00C9774E"/>
    <w:rsid w:val="00CA2611"/>
    <w:rsid w:val="00CA477B"/>
    <w:rsid w:val="00CA5ADA"/>
    <w:rsid w:val="00CB07C4"/>
    <w:rsid w:val="00CB3DC4"/>
    <w:rsid w:val="00CB4BD1"/>
    <w:rsid w:val="00CB4DDD"/>
    <w:rsid w:val="00CC34EF"/>
    <w:rsid w:val="00CC5D08"/>
    <w:rsid w:val="00CD18EE"/>
    <w:rsid w:val="00CD33FA"/>
    <w:rsid w:val="00CD7894"/>
    <w:rsid w:val="00CE0B86"/>
    <w:rsid w:val="00CE0FA9"/>
    <w:rsid w:val="00CF002E"/>
    <w:rsid w:val="00CF0FA4"/>
    <w:rsid w:val="00CF1AF0"/>
    <w:rsid w:val="00CF3D08"/>
    <w:rsid w:val="00CF623A"/>
    <w:rsid w:val="00CF7DAE"/>
    <w:rsid w:val="00D01B22"/>
    <w:rsid w:val="00D136E3"/>
    <w:rsid w:val="00D13A1B"/>
    <w:rsid w:val="00D15BD3"/>
    <w:rsid w:val="00D15C03"/>
    <w:rsid w:val="00D2092F"/>
    <w:rsid w:val="00D224ED"/>
    <w:rsid w:val="00D22E91"/>
    <w:rsid w:val="00D252A8"/>
    <w:rsid w:val="00D26D4B"/>
    <w:rsid w:val="00D276D0"/>
    <w:rsid w:val="00D30700"/>
    <w:rsid w:val="00D326C5"/>
    <w:rsid w:val="00D34BCC"/>
    <w:rsid w:val="00D34F28"/>
    <w:rsid w:val="00D35FB1"/>
    <w:rsid w:val="00D36742"/>
    <w:rsid w:val="00D36ABA"/>
    <w:rsid w:val="00D37129"/>
    <w:rsid w:val="00D43124"/>
    <w:rsid w:val="00D47F69"/>
    <w:rsid w:val="00D52582"/>
    <w:rsid w:val="00D52D32"/>
    <w:rsid w:val="00D532BE"/>
    <w:rsid w:val="00D536D9"/>
    <w:rsid w:val="00D5746C"/>
    <w:rsid w:val="00D61656"/>
    <w:rsid w:val="00D621FA"/>
    <w:rsid w:val="00D62727"/>
    <w:rsid w:val="00D62E77"/>
    <w:rsid w:val="00D6499E"/>
    <w:rsid w:val="00D64C6F"/>
    <w:rsid w:val="00D670DB"/>
    <w:rsid w:val="00D70BFD"/>
    <w:rsid w:val="00D70C35"/>
    <w:rsid w:val="00D71516"/>
    <w:rsid w:val="00D74A1B"/>
    <w:rsid w:val="00D806E1"/>
    <w:rsid w:val="00D82634"/>
    <w:rsid w:val="00D859CA"/>
    <w:rsid w:val="00D85C2D"/>
    <w:rsid w:val="00D911C2"/>
    <w:rsid w:val="00D9181E"/>
    <w:rsid w:val="00D93091"/>
    <w:rsid w:val="00D97857"/>
    <w:rsid w:val="00DA399F"/>
    <w:rsid w:val="00DA48A5"/>
    <w:rsid w:val="00DA7BC7"/>
    <w:rsid w:val="00DB11BA"/>
    <w:rsid w:val="00DB2DA1"/>
    <w:rsid w:val="00DB2E13"/>
    <w:rsid w:val="00DB33E7"/>
    <w:rsid w:val="00DB5103"/>
    <w:rsid w:val="00DB6E25"/>
    <w:rsid w:val="00DB7B1B"/>
    <w:rsid w:val="00DC0AE9"/>
    <w:rsid w:val="00DC2159"/>
    <w:rsid w:val="00DC2823"/>
    <w:rsid w:val="00DD0398"/>
    <w:rsid w:val="00DD1F26"/>
    <w:rsid w:val="00DD37BB"/>
    <w:rsid w:val="00DD5DB0"/>
    <w:rsid w:val="00DD69E6"/>
    <w:rsid w:val="00DE099E"/>
    <w:rsid w:val="00DE17F4"/>
    <w:rsid w:val="00DE4952"/>
    <w:rsid w:val="00DF3907"/>
    <w:rsid w:val="00DF3CD8"/>
    <w:rsid w:val="00DF3DEF"/>
    <w:rsid w:val="00DF43B2"/>
    <w:rsid w:val="00DF6287"/>
    <w:rsid w:val="00E02F1D"/>
    <w:rsid w:val="00E114B6"/>
    <w:rsid w:val="00E12C6E"/>
    <w:rsid w:val="00E15F0B"/>
    <w:rsid w:val="00E21C64"/>
    <w:rsid w:val="00E22C8B"/>
    <w:rsid w:val="00E24C83"/>
    <w:rsid w:val="00E311CB"/>
    <w:rsid w:val="00E32C26"/>
    <w:rsid w:val="00E345F6"/>
    <w:rsid w:val="00E36AB9"/>
    <w:rsid w:val="00E40CE5"/>
    <w:rsid w:val="00E41270"/>
    <w:rsid w:val="00E450BA"/>
    <w:rsid w:val="00E47DD6"/>
    <w:rsid w:val="00E50C40"/>
    <w:rsid w:val="00E533F9"/>
    <w:rsid w:val="00E53BA3"/>
    <w:rsid w:val="00E55C69"/>
    <w:rsid w:val="00E57D71"/>
    <w:rsid w:val="00E6150E"/>
    <w:rsid w:val="00E6341F"/>
    <w:rsid w:val="00E66C44"/>
    <w:rsid w:val="00E66F32"/>
    <w:rsid w:val="00E708EC"/>
    <w:rsid w:val="00E71361"/>
    <w:rsid w:val="00E71839"/>
    <w:rsid w:val="00E73093"/>
    <w:rsid w:val="00E750AE"/>
    <w:rsid w:val="00E76212"/>
    <w:rsid w:val="00E80762"/>
    <w:rsid w:val="00E8284E"/>
    <w:rsid w:val="00E93C36"/>
    <w:rsid w:val="00E9525A"/>
    <w:rsid w:val="00EA02B0"/>
    <w:rsid w:val="00EA6257"/>
    <w:rsid w:val="00EA7D12"/>
    <w:rsid w:val="00EB57B4"/>
    <w:rsid w:val="00EC0B54"/>
    <w:rsid w:val="00EC7F71"/>
    <w:rsid w:val="00ED5880"/>
    <w:rsid w:val="00ED7173"/>
    <w:rsid w:val="00EE2DA0"/>
    <w:rsid w:val="00EE3980"/>
    <w:rsid w:val="00EE4B18"/>
    <w:rsid w:val="00EE5A99"/>
    <w:rsid w:val="00EF1CFF"/>
    <w:rsid w:val="00EF25D3"/>
    <w:rsid w:val="00EF2BC5"/>
    <w:rsid w:val="00EF3726"/>
    <w:rsid w:val="00EF62AA"/>
    <w:rsid w:val="00EF6889"/>
    <w:rsid w:val="00F008A4"/>
    <w:rsid w:val="00F04153"/>
    <w:rsid w:val="00F118AF"/>
    <w:rsid w:val="00F119DE"/>
    <w:rsid w:val="00F12605"/>
    <w:rsid w:val="00F211A5"/>
    <w:rsid w:val="00F217E2"/>
    <w:rsid w:val="00F22F3B"/>
    <w:rsid w:val="00F263DD"/>
    <w:rsid w:val="00F3459F"/>
    <w:rsid w:val="00F35BCB"/>
    <w:rsid w:val="00F369F7"/>
    <w:rsid w:val="00F370C0"/>
    <w:rsid w:val="00F374FB"/>
    <w:rsid w:val="00F437CD"/>
    <w:rsid w:val="00F46601"/>
    <w:rsid w:val="00F54BFB"/>
    <w:rsid w:val="00F5613C"/>
    <w:rsid w:val="00F6205F"/>
    <w:rsid w:val="00F62D25"/>
    <w:rsid w:val="00F6579B"/>
    <w:rsid w:val="00F6654E"/>
    <w:rsid w:val="00F67EEA"/>
    <w:rsid w:val="00F76BA6"/>
    <w:rsid w:val="00F76C28"/>
    <w:rsid w:val="00F82AE7"/>
    <w:rsid w:val="00F82D96"/>
    <w:rsid w:val="00F830B7"/>
    <w:rsid w:val="00F916B0"/>
    <w:rsid w:val="00F926AB"/>
    <w:rsid w:val="00F961F8"/>
    <w:rsid w:val="00F96D35"/>
    <w:rsid w:val="00FA1014"/>
    <w:rsid w:val="00FA151B"/>
    <w:rsid w:val="00FA1899"/>
    <w:rsid w:val="00FA4D1A"/>
    <w:rsid w:val="00FA50FB"/>
    <w:rsid w:val="00FB0E90"/>
    <w:rsid w:val="00FB0FAE"/>
    <w:rsid w:val="00FB3767"/>
    <w:rsid w:val="00FB78AB"/>
    <w:rsid w:val="00FC1503"/>
    <w:rsid w:val="00FC171D"/>
    <w:rsid w:val="00FC17AC"/>
    <w:rsid w:val="00FC4C53"/>
    <w:rsid w:val="00FD1D8B"/>
    <w:rsid w:val="00FD7D89"/>
    <w:rsid w:val="00FE240C"/>
    <w:rsid w:val="00FF183B"/>
    <w:rsid w:val="00FF1F26"/>
    <w:rsid w:val="00FF4666"/>
    <w:rsid w:val="00FF59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D7F67B"/>
  <w15:chartTrackingRefBased/>
  <w15:docId w15:val="{029FED4F-F874-44A5-8BB5-781B4F2C9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C26"/>
  </w:style>
  <w:style w:type="paragraph" w:styleId="Heading1">
    <w:name w:val="heading 1"/>
    <w:aliases w:val="H1,1 head,1,FIAS,Headline,ARTICULO 1º,h1,Section Heading,HEADING 1,Section,LetHead1,MisHead1,Normalhead1,l1,Normal Heading 1,Z_hanging_1,SZRptH1,Hewson Heading 1,TITRE,(cntl 1),TITRE 1,big head,PA Chapter,h11,h12,h13,h14,h15,h16,h17,Project 1"/>
    <w:basedOn w:val="Normal"/>
    <w:next w:val="H1Text"/>
    <w:link w:val="Heading1Char"/>
    <w:uiPriority w:val="9"/>
    <w:qFormat/>
    <w:rsid w:val="00A87E5B"/>
    <w:pPr>
      <w:keepNext/>
      <w:keepLines/>
      <w:pageBreakBefore/>
      <w:numPr>
        <w:numId w:val="1"/>
      </w:numPr>
      <w:pBdr>
        <w:bottom w:val="single" w:sz="4" w:space="1" w:color="004B78"/>
      </w:pBdr>
      <w:spacing w:after="240" w:line="264" w:lineRule="auto"/>
      <w:ind w:left="709" w:hanging="709"/>
      <w:outlineLvl w:val="0"/>
    </w:pPr>
    <w:rPr>
      <w:rFonts w:eastAsiaTheme="majorEastAsia" w:cstheme="minorHAnsi"/>
      <w:b/>
      <w:bCs/>
      <w:color w:val="00253C" w:themeColor="accent3" w:themeShade="80"/>
      <w:sz w:val="32"/>
      <w:szCs w:val="32"/>
    </w:rPr>
  </w:style>
  <w:style w:type="paragraph" w:styleId="Heading2">
    <w:name w:val="heading 2"/>
    <w:aliases w:val="H2,2 head,Subchapter 1.1,Chapter Indo,Major,título 2,título 21,título 22,título 23,título 24,título 25,Titulo 2,H2-Heading 2,2,Header 2,l2,Header2,h2,22,heading2,list2,Heading 2 Hidden,heading 21,Heading 2 Hidden1,Titolo2,TITULO,A,A.B.C,h"/>
    <w:basedOn w:val="Normal"/>
    <w:next w:val="H2Text"/>
    <w:link w:val="Heading2Char"/>
    <w:uiPriority w:val="9"/>
    <w:unhideWhenUsed/>
    <w:qFormat/>
    <w:rsid w:val="006B1D72"/>
    <w:pPr>
      <w:keepNext/>
      <w:keepLines/>
      <w:numPr>
        <w:ilvl w:val="1"/>
        <w:numId w:val="1"/>
      </w:numPr>
      <w:spacing w:before="240" w:after="120" w:line="264" w:lineRule="auto"/>
      <w:ind w:hanging="720"/>
      <w:outlineLvl w:val="1"/>
    </w:pPr>
    <w:rPr>
      <w:rFonts w:eastAsiaTheme="majorEastAsia" w:cstheme="minorHAnsi"/>
      <w:b/>
      <w:bCs/>
      <w:color w:val="002E4B" w:themeColor="accent2" w:themeShade="80"/>
      <w:sz w:val="28"/>
      <w:szCs w:val="28"/>
    </w:rPr>
  </w:style>
  <w:style w:type="paragraph" w:styleId="Heading3">
    <w:name w:val="heading 3"/>
    <w:aliases w:val="H3,3 head,3,h3,No Indent,Newshead1,C Heading,Half Space,Minor,Título 3_PDAPM_3,h31,l3,CT,LetHead3,Normal Heading 3,MisHead3,Normalhead3,Z_hanging_3,H31,H32,H33,H34,H35,H36,H37,H38,H311,H321,H331,H341,H351,H361,H371,H39,H312,H322,Bu,heading 3"/>
    <w:basedOn w:val="Normal"/>
    <w:next w:val="H3text"/>
    <w:link w:val="Heading3Char"/>
    <w:uiPriority w:val="9"/>
    <w:unhideWhenUsed/>
    <w:qFormat/>
    <w:rsid w:val="006B1D72"/>
    <w:pPr>
      <w:keepNext/>
      <w:keepLines/>
      <w:numPr>
        <w:ilvl w:val="2"/>
        <w:numId w:val="1"/>
      </w:numPr>
      <w:spacing w:before="120" w:after="120" w:line="264" w:lineRule="auto"/>
      <w:ind w:left="709" w:hanging="709"/>
      <w:outlineLvl w:val="2"/>
    </w:pPr>
    <w:rPr>
      <w:rFonts w:eastAsiaTheme="majorEastAsia" w:cstheme="minorHAnsi"/>
      <w:b/>
      <w:bCs/>
      <w:color w:val="00395B" w:themeColor="accent1" w:themeShade="80"/>
      <w:sz w:val="24"/>
      <w:szCs w:val="24"/>
      <w:lang w:val="en-US"/>
    </w:rPr>
  </w:style>
  <w:style w:type="paragraph" w:styleId="Heading4">
    <w:name w:val="heading 4"/>
    <w:aliases w:val="alphabetical list"/>
    <w:basedOn w:val="Normal"/>
    <w:next w:val="Normal"/>
    <w:link w:val="Heading4Char"/>
    <w:uiPriority w:val="9"/>
    <w:unhideWhenUsed/>
    <w:qFormat/>
    <w:rsid w:val="00C21CEF"/>
    <w:pPr>
      <w:keepNext/>
      <w:keepLines/>
      <w:numPr>
        <w:numId w:val="7"/>
      </w:numPr>
      <w:spacing w:before="120" w:after="120"/>
      <w:ind w:left="1134" w:hanging="425"/>
      <w:jc w:val="both"/>
      <w:outlineLvl w:val="3"/>
    </w:pPr>
    <w:rPr>
      <w:rFonts w:eastAsiaTheme="majorEastAsia" w:cstheme="majorBidi"/>
      <w:b/>
      <w:color w:val="004B78" w:themeColor="accent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V table,EY Table,tabelle2,ED Style 4,Smart Text Table,san defined,GT0,Zchn Zchn Char Zchn Zchn Char Zchn Zchn,Zchn Zchn Char Zchn Zchn Char Char Char Char Zchn Zchn Zchn,Zchn Zchn Char Zchn Zchn Char Zchn Char Zchn Zchn,Table Grid CEPA,CV1"/>
    <w:uiPriority w:val="39"/>
    <w:qFormat/>
    <w:rsid w:val="002C2D51"/>
    <w:pPr>
      <w:spacing w:after="0" w:line="240" w:lineRule="auto"/>
      <w:jc w:val="both"/>
    </w:pPr>
    <w:rPr>
      <w:rFonts w:ascii="Calibri" w:hAnsi="Calibri"/>
      <w:sz w:val="20"/>
      <w:szCs w:val="20"/>
      <w:lang w:val="en-NG" w:eastAsia="en-NG"/>
    </w:rPr>
    <w:tblPr>
      <w:tblBorders>
        <w:top w:val="single" w:sz="2" w:space="0" w:color="00253C" w:themeColor="accent3" w:themeShade="80"/>
        <w:left w:val="single" w:sz="2" w:space="0" w:color="00253C" w:themeColor="accent3" w:themeShade="80"/>
        <w:bottom w:val="single" w:sz="2" w:space="0" w:color="00253C" w:themeColor="accent3" w:themeShade="80"/>
        <w:right w:val="single" w:sz="2" w:space="0" w:color="00253C" w:themeColor="accent3" w:themeShade="80"/>
        <w:insideH w:val="single" w:sz="2" w:space="0" w:color="00253C" w:themeColor="accent3" w:themeShade="80"/>
        <w:insideV w:val="single" w:sz="2" w:space="0" w:color="00253C" w:themeColor="accent3" w:themeShade="80"/>
      </w:tblBorders>
      <w:tblCellMar>
        <w:top w:w="0" w:type="dxa"/>
        <w:left w:w="0" w:type="dxa"/>
        <w:bottom w:w="0" w:type="dxa"/>
        <w:right w:w="0" w:type="dxa"/>
      </w:tblCellMar>
    </w:tblPr>
    <w:tblStylePr w:type="firstRow">
      <w:pPr>
        <w:jc w:val="center"/>
      </w:pPr>
      <w:rPr>
        <w:rFonts w:asciiTheme="minorHAnsi" w:hAnsiTheme="minorHAnsi"/>
        <w:b/>
        <w:sz w:val="20"/>
      </w:rPr>
      <w:tblPr/>
      <w:tcPr>
        <w:shd w:val="clear" w:color="auto" w:fill="00253C" w:themeFill="accent3" w:themeFillShade="80"/>
      </w:tcPr>
    </w:tblStylePr>
    <w:tblStylePr w:type="lastRow">
      <w:tblPr/>
      <w:tcPr>
        <w:tcBorders>
          <w:bottom w:val="single" w:sz="18" w:space="0" w:color="004B78" w:themeColor="accent3"/>
        </w:tcBorders>
      </w:tcPr>
    </w:tblStylePr>
  </w:style>
  <w:style w:type="paragraph" w:styleId="Header">
    <w:name w:val="header"/>
    <w:basedOn w:val="Normal"/>
    <w:link w:val="HeaderChar"/>
    <w:uiPriority w:val="99"/>
    <w:unhideWhenUsed/>
    <w:rsid w:val="005E59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5987"/>
  </w:style>
  <w:style w:type="paragraph" w:styleId="Footer">
    <w:name w:val="footer"/>
    <w:basedOn w:val="Normal"/>
    <w:link w:val="FooterChar"/>
    <w:uiPriority w:val="99"/>
    <w:unhideWhenUsed/>
    <w:rsid w:val="005E59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5987"/>
  </w:style>
  <w:style w:type="paragraph" w:styleId="BalloonText">
    <w:name w:val="Balloon Text"/>
    <w:basedOn w:val="Normal"/>
    <w:link w:val="BalloonTextChar"/>
    <w:uiPriority w:val="99"/>
    <w:semiHidden/>
    <w:unhideWhenUsed/>
    <w:rsid w:val="00CF623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623A"/>
    <w:rPr>
      <w:rFonts w:ascii="Segoe UI" w:hAnsi="Segoe UI" w:cs="Segoe UI"/>
      <w:sz w:val="18"/>
      <w:szCs w:val="18"/>
    </w:rPr>
  </w:style>
  <w:style w:type="character" w:customStyle="1" w:styleId="Heading1Char">
    <w:name w:val="Heading 1 Char"/>
    <w:aliases w:val="H1 Char,1 head Char,1 Char,FIAS Char,Headline Char,ARTICULO 1º Char,h1 Char,Section Heading Char,HEADING 1 Char,Section Char,LetHead1 Char,MisHead1 Char,Normalhead1 Char,l1 Char,Normal Heading 1 Char,Z_hanging_1 Char,SZRptH1 Char,h11 Char"/>
    <w:basedOn w:val="DefaultParagraphFont"/>
    <w:link w:val="Heading1"/>
    <w:uiPriority w:val="9"/>
    <w:rsid w:val="00A87E5B"/>
    <w:rPr>
      <w:rFonts w:eastAsiaTheme="majorEastAsia" w:cstheme="minorHAnsi"/>
      <w:b/>
      <w:bCs/>
      <w:color w:val="00253C" w:themeColor="accent3" w:themeShade="80"/>
      <w:sz w:val="32"/>
      <w:szCs w:val="32"/>
    </w:rPr>
  </w:style>
  <w:style w:type="character" w:customStyle="1" w:styleId="Heading2Char">
    <w:name w:val="Heading 2 Char"/>
    <w:aliases w:val="H2 Char,2 head Char,Subchapter 1.1 Char,Chapter Indo Char,Major Char,título 2 Char,título 21 Char,título 22 Char,título 23 Char,título 24 Char,título 25 Char,Titulo 2 Char,H2-Heading 2 Char,2 Char,Header 2 Char,l2 Char,Header2 Char,A Char"/>
    <w:basedOn w:val="DefaultParagraphFont"/>
    <w:link w:val="Heading2"/>
    <w:uiPriority w:val="9"/>
    <w:rsid w:val="006B1D72"/>
    <w:rPr>
      <w:rFonts w:eastAsiaTheme="majorEastAsia" w:cstheme="minorHAnsi"/>
      <w:b/>
      <w:bCs/>
      <w:color w:val="002E4B" w:themeColor="accent2" w:themeShade="80"/>
      <w:sz w:val="28"/>
      <w:szCs w:val="28"/>
    </w:rPr>
  </w:style>
  <w:style w:type="character" w:customStyle="1" w:styleId="Heading3Char">
    <w:name w:val="Heading 3 Char"/>
    <w:aliases w:val="H3 Char,3 head Char,3 Char,h3 Char,No Indent Char,Newshead1 Char,C Heading Char,Half Space Char,Minor Char,Título 3_PDAPM_3 Char,h31 Char,l3 Char,CT Char,LetHead3 Char,Normal Heading 3 Char,MisHead3 Char,Normalhead3 Char,Z_hanging_3 Char"/>
    <w:basedOn w:val="DefaultParagraphFont"/>
    <w:link w:val="Heading3"/>
    <w:uiPriority w:val="9"/>
    <w:rsid w:val="006B1D72"/>
    <w:rPr>
      <w:rFonts w:eastAsiaTheme="majorEastAsia" w:cstheme="minorHAnsi"/>
      <w:b/>
      <w:bCs/>
      <w:color w:val="00395B" w:themeColor="accent1" w:themeShade="80"/>
      <w:sz w:val="24"/>
      <w:szCs w:val="24"/>
      <w:lang w:val="en-US"/>
    </w:rPr>
  </w:style>
  <w:style w:type="paragraph" w:customStyle="1" w:styleId="Heading1bullet">
    <w:name w:val="Heading 1 bullet"/>
    <w:basedOn w:val="H1Text"/>
    <w:link w:val="Heading1bulletChar"/>
    <w:rsid w:val="00DA48A5"/>
  </w:style>
  <w:style w:type="paragraph" w:styleId="ListBullet">
    <w:name w:val="List Bullet"/>
    <w:basedOn w:val="BodyText"/>
    <w:link w:val="ListBulletChar"/>
    <w:qFormat/>
    <w:rsid w:val="00845F62"/>
    <w:pPr>
      <w:numPr>
        <w:numId w:val="2"/>
      </w:numPr>
      <w:spacing w:line="264" w:lineRule="auto"/>
      <w:jc w:val="both"/>
    </w:pPr>
    <w:rPr>
      <w:rFonts w:ascii="Calibri" w:hAnsi="Calibri"/>
      <w:color w:val="1C1C1C"/>
    </w:rPr>
  </w:style>
  <w:style w:type="character" w:customStyle="1" w:styleId="Heading1bulletChar">
    <w:name w:val="Heading 1 bullet Char"/>
    <w:basedOn w:val="DefaultParagraphFont"/>
    <w:link w:val="Heading1bullet"/>
    <w:rsid w:val="00DA48A5"/>
    <w:rPr>
      <w:rFonts w:cstheme="minorHAnsi"/>
    </w:rPr>
  </w:style>
  <w:style w:type="character" w:customStyle="1" w:styleId="ListBulletChar">
    <w:name w:val="List Bullet Char"/>
    <w:basedOn w:val="DefaultParagraphFont"/>
    <w:link w:val="ListBullet"/>
    <w:rsid w:val="00845F62"/>
    <w:rPr>
      <w:rFonts w:ascii="Calibri" w:hAnsi="Calibri"/>
      <w:color w:val="1C1C1C"/>
    </w:rPr>
  </w:style>
  <w:style w:type="paragraph" w:styleId="BodyText">
    <w:name w:val="Body Text"/>
    <w:basedOn w:val="Normal"/>
    <w:link w:val="BodyTextChar"/>
    <w:uiPriority w:val="99"/>
    <w:semiHidden/>
    <w:unhideWhenUsed/>
    <w:rsid w:val="00845F62"/>
    <w:pPr>
      <w:spacing w:after="120"/>
    </w:pPr>
  </w:style>
  <w:style w:type="character" w:customStyle="1" w:styleId="BodyTextChar">
    <w:name w:val="Body Text Char"/>
    <w:basedOn w:val="DefaultParagraphFont"/>
    <w:link w:val="BodyText"/>
    <w:uiPriority w:val="99"/>
    <w:semiHidden/>
    <w:rsid w:val="00845F62"/>
  </w:style>
  <w:style w:type="paragraph" w:customStyle="1" w:styleId="H1Text">
    <w:name w:val="H1 Text"/>
    <w:basedOn w:val="Normal"/>
    <w:link w:val="H1TextChar"/>
    <w:rsid w:val="00204A69"/>
    <w:pPr>
      <w:spacing w:after="120" w:line="276" w:lineRule="auto"/>
      <w:ind w:left="709"/>
      <w:contextualSpacing/>
      <w:jc w:val="both"/>
    </w:pPr>
    <w:rPr>
      <w:rFonts w:cstheme="minorHAnsi"/>
    </w:rPr>
  </w:style>
  <w:style w:type="paragraph" w:customStyle="1" w:styleId="H1Bullet">
    <w:name w:val="H1 Bullet"/>
    <w:basedOn w:val="ListBullet"/>
    <w:link w:val="H1BulletChar"/>
    <w:qFormat/>
    <w:rsid w:val="00204C76"/>
    <w:pPr>
      <w:spacing w:line="276" w:lineRule="auto"/>
      <w:ind w:left="1134" w:hanging="425"/>
      <w:contextualSpacing/>
    </w:pPr>
    <w:rPr>
      <w:rFonts w:asciiTheme="minorHAnsi" w:hAnsiTheme="minorHAnsi" w:cstheme="minorHAnsi"/>
      <w:color w:val="auto"/>
    </w:rPr>
  </w:style>
  <w:style w:type="character" w:customStyle="1" w:styleId="H1TextChar">
    <w:name w:val="H1 Text Char"/>
    <w:basedOn w:val="DefaultParagraphFont"/>
    <w:link w:val="H1Text"/>
    <w:rsid w:val="00204A69"/>
    <w:rPr>
      <w:rFonts w:cstheme="minorHAnsi"/>
    </w:rPr>
  </w:style>
  <w:style w:type="paragraph" w:styleId="ListParagraph">
    <w:name w:val="List Paragraph"/>
    <w:basedOn w:val="Normal"/>
    <w:link w:val="ListParagraphChar"/>
    <w:uiPriority w:val="34"/>
    <w:rsid w:val="00845F62"/>
    <w:pPr>
      <w:ind w:left="720"/>
      <w:contextualSpacing/>
    </w:pPr>
  </w:style>
  <w:style w:type="character" w:customStyle="1" w:styleId="H1BulletChar">
    <w:name w:val="H1 Bullet Char"/>
    <w:basedOn w:val="ListBulletChar"/>
    <w:link w:val="H1Bullet"/>
    <w:rsid w:val="00204C76"/>
    <w:rPr>
      <w:rFonts w:ascii="Calibri" w:hAnsi="Calibri" w:cstheme="minorHAnsi"/>
      <w:color w:val="1C1C1C"/>
    </w:rPr>
  </w:style>
  <w:style w:type="paragraph" w:customStyle="1" w:styleId="H2Bullet0">
    <w:name w:val="H2 Bullet"/>
    <w:basedOn w:val="ListParagraph"/>
    <w:link w:val="H2BulletChar"/>
    <w:qFormat/>
    <w:rsid w:val="00B3559D"/>
    <w:pPr>
      <w:numPr>
        <w:numId w:val="3"/>
      </w:numPr>
      <w:spacing w:after="120" w:line="276" w:lineRule="auto"/>
      <w:ind w:left="1134" w:hanging="425"/>
      <w:jc w:val="both"/>
    </w:pPr>
    <w:rPr>
      <w:rFonts w:cstheme="minorHAnsi"/>
    </w:rPr>
  </w:style>
  <w:style w:type="paragraph" w:customStyle="1" w:styleId="H3text">
    <w:name w:val="H3 text"/>
    <w:basedOn w:val="Normal"/>
    <w:link w:val="H3textChar"/>
    <w:qFormat/>
    <w:rsid w:val="00B3559D"/>
    <w:pPr>
      <w:spacing w:after="120" w:line="276" w:lineRule="auto"/>
      <w:ind w:left="709"/>
      <w:contextualSpacing/>
      <w:jc w:val="both"/>
    </w:pPr>
    <w:rPr>
      <w:rFonts w:cstheme="minorHAnsi"/>
    </w:rPr>
  </w:style>
  <w:style w:type="character" w:customStyle="1" w:styleId="ListParagraphChar">
    <w:name w:val="List Paragraph Char"/>
    <w:basedOn w:val="DefaultParagraphFont"/>
    <w:link w:val="ListParagraph"/>
    <w:uiPriority w:val="34"/>
    <w:rsid w:val="00A41B09"/>
  </w:style>
  <w:style w:type="character" w:customStyle="1" w:styleId="H2BulletChar">
    <w:name w:val="H2 Bullet Char"/>
    <w:basedOn w:val="ListParagraphChar"/>
    <w:link w:val="H2Bullet0"/>
    <w:rsid w:val="00B3559D"/>
    <w:rPr>
      <w:rFonts w:cstheme="minorHAnsi"/>
    </w:rPr>
  </w:style>
  <w:style w:type="paragraph" w:customStyle="1" w:styleId="H3bullet">
    <w:name w:val="H3 bullet"/>
    <w:basedOn w:val="H3text"/>
    <w:link w:val="H3bulletChar"/>
    <w:qFormat/>
    <w:rsid w:val="005F58B1"/>
    <w:pPr>
      <w:numPr>
        <w:numId w:val="4"/>
      </w:numPr>
    </w:pPr>
    <w:rPr>
      <w:lang w:val="en-US"/>
    </w:rPr>
  </w:style>
  <w:style w:type="character" w:customStyle="1" w:styleId="H3textChar">
    <w:name w:val="H3 text Char"/>
    <w:basedOn w:val="DefaultParagraphFont"/>
    <w:link w:val="H3text"/>
    <w:rsid w:val="00B3559D"/>
    <w:rPr>
      <w:rFonts w:cstheme="minorHAnsi"/>
    </w:rPr>
  </w:style>
  <w:style w:type="table" w:styleId="GridTable5Dark-Accent1">
    <w:name w:val="Grid Table 5 Dark Accent 1"/>
    <w:basedOn w:val="TableNormal"/>
    <w:uiPriority w:val="50"/>
    <w:rsid w:val="00F35BC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DE6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3B7"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3B7"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3B7"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3B7" w:themeFill="accent1"/>
      </w:tcPr>
    </w:tblStylePr>
    <w:tblStylePr w:type="band1Vert">
      <w:tblPr/>
      <w:tcPr>
        <w:shd w:val="clear" w:color="auto" w:fill="7CCEFF" w:themeFill="accent1" w:themeFillTint="66"/>
      </w:tcPr>
    </w:tblStylePr>
    <w:tblStylePr w:type="band1Horz">
      <w:tblPr/>
      <w:tcPr>
        <w:shd w:val="clear" w:color="auto" w:fill="7CCEFF" w:themeFill="accent1" w:themeFillTint="66"/>
      </w:tcPr>
    </w:tblStylePr>
  </w:style>
  <w:style w:type="character" w:customStyle="1" w:styleId="H3bulletChar">
    <w:name w:val="H3 bullet Char"/>
    <w:basedOn w:val="H3textChar"/>
    <w:link w:val="H3bullet"/>
    <w:rsid w:val="005F58B1"/>
    <w:rPr>
      <w:rFonts w:cstheme="minorHAnsi"/>
      <w:lang w:val="en-US"/>
    </w:rPr>
  </w:style>
  <w:style w:type="table" w:styleId="GridTable5Dark-Accent5">
    <w:name w:val="Grid Table 5 Dark Accent 5"/>
    <w:basedOn w:val="TableNormal"/>
    <w:uiPriority w:val="50"/>
    <w:rsid w:val="00BD656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D7C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14900"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14900"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14900"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14900" w:themeFill="accent5"/>
      </w:tcPr>
    </w:tblStylePr>
    <w:tblStylePr w:type="band1Vert">
      <w:tblPr/>
      <w:tcPr>
        <w:shd w:val="clear" w:color="auto" w:fill="FFB086" w:themeFill="accent5" w:themeFillTint="66"/>
      </w:tcPr>
    </w:tblStylePr>
    <w:tblStylePr w:type="band1Horz">
      <w:tblPr/>
      <w:tcPr>
        <w:shd w:val="clear" w:color="auto" w:fill="FFB086" w:themeFill="accent5" w:themeFillTint="66"/>
      </w:tcPr>
    </w:tblStylePr>
  </w:style>
  <w:style w:type="table" w:styleId="GridTable4-Accent1">
    <w:name w:val="Grid Table 4 Accent 1"/>
    <w:basedOn w:val="TableNormal"/>
    <w:uiPriority w:val="49"/>
    <w:rsid w:val="00BD6567"/>
    <w:pPr>
      <w:spacing w:after="0" w:line="240" w:lineRule="auto"/>
    </w:pPr>
    <w:tblPr>
      <w:tblStyleRowBandSize w:val="1"/>
      <w:tblStyleColBandSize w:val="1"/>
      <w:tblBorders>
        <w:top w:val="single" w:sz="4" w:space="0" w:color="3AB5FF" w:themeColor="accent1" w:themeTint="99"/>
        <w:left w:val="single" w:sz="4" w:space="0" w:color="3AB5FF" w:themeColor="accent1" w:themeTint="99"/>
        <w:bottom w:val="single" w:sz="4" w:space="0" w:color="3AB5FF" w:themeColor="accent1" w:themeTint="99"/>
        <w:right w:val="single" w:sz="4" w:space="0" w:color="3AB5FF" w:themeColor="accent1" w:themeTint="99"/>
        <w:insideH w:val="single" w:sz="4" w:space="0" w:color="3AB5FF" w:themeColor="accent1" w:themeTint="99"/>
        <w:insideV w:val="single" w:sz="4" w:space="0" w:color="3AB5FF" w:themeColor="accent1" w:themeTint="99"/>
      </w:tblBorders>
    </w:tblPr>
    <w:tblStylePr w:type="firstRow">
      <w:rPr>
        <w:b/>
        <w:bCs/>
        <w:color w:val="FFFFFF" w:themeColor="background1"/>
      </w:rPr>
      <w:tblPr/>
      <w:tcPr>
        <w:tcBorders>
          <w:top w:val="single" w:sz="4" w:space="0" w:color="0073B7" w:themeColor="accent1"/>
          <w:left w:val="single" w:sz="4" w:space="0" w:color="0073B7" w:themeColor="accent1"/>
          <w:bottom w:val="single" w:sz="4" w:space="0" w:color="0073B7" w:themeColor="accent1"/>
          <w:right w:val="single" w:sz="4" w:space="0" w:color="0073B7" w:themeColor="accent1"/>
          <w:insideH w:val="nil"/>
          <w:insideV w:val="nil"/>
        </w:tcBorders>
        <w:shd w:val="clear" w:color="auto" w:fill="0073B7" w:themeFill="accent1"/>
      </w:tcPr>
    </w:tblStylePr>
    <w:tblStylePr w:type="lastRow">
      <w:rPr>
        <w:b/>
        <w:bCs/>
      </w:rPr>
      <w:tblPr/>
      <w:tcPr>
        <w:tcBorders>
          <w:top w:val="double" w:sz="4" w:space="0" w:color="0073B7" w:themeColor="accent1"/>
        </w:tcBorders>
      </w:tcPr>
    </w:tblStylePr>
    <w:tblStylePr w:type="firstCol">
      <w:rPr>
        <w:b/>
        <w:bCs/>
      </w:rPr>
    </w:tblStylePr>
    <w:tblStylePr w:type="lastCol">
      <w:rPr>
        <w:b/>
        <w:bCs/>
      </w:rPr>
    </w:tblStylePr>
    <w:tblStylePr w:type="band1Vert">
      <w:tblPr/>
      <w:tcPr>
        <w:shd w:val="clear" w:color="auto" w:fill="BDE6FF" w:themeFill="accent1" w:themeFillTint="33"/>
      </w:tcPr>
    </w:tblStylePr>
    <w:tblStylePr w:type="band1Horz">
      <w:tblPr/>
      <w:tcPr>
        <w:shd w:val="clear" w:color="auto" w:fill="BDE6FF" w:themeFill="accent1" w:themeFillTint="33"/>
      </w:tcPr>
    </w:tblStylePr>
  </w:style>
  <w:style w:type="paragraph" w:customStyle="1" w:styleId="H2Text">
    <w:name w:val="H2 Text"/>
    <w:basedOn w:val="Normal"/>
    <w:link w:val="H2TextChar"/>
    <w:qFormat/>
    <w:rsid w:val="00736F36"/>
    <w:pPr>
      <w:spacing w:before="120" w:after="120" w:line="276" w:lineRule="auto"/>
      <w:ind w:left="709"/>
      <w:jc w:val="both"/>
    </w:pPr>
    <w:rPr>
      <w:rFonts w:cstheme="minorHAnsi"/>
    </w:rPr>
  </w:style>
  <w:style w:type="character" w:customStyle="1" w:styleId="H2TextChar">
    <w:name w:val="H2 Text Char"/>
    <w:basedOn w:val="DefaultParagraphFont"/>
    <w:link w:val="H2Text"/>
    <w:rsid w:val="00736F36"/>
    <w:rPr>
      <w:rFonts w:cstheme="minorHAnsi"/>
    </w:rPr>
  </w:style>
  <w:style w:type="paragraph" w:customStyle="1" w:styleId="Subbullet">
    <w:name w:val="Sub bullet"/>
    <w:basedOn w:val="H2Bullet0"/>
    <w:link w:val="SubbulletChar"/>
    <w:qFormat/>
    <w:rsid w:val="005F58B1"/>
    <w:pPr>
      <w:numPr>
        <w:ilvl w:val="1"/>
        <w:numId w:val="13"/>
      </w:numPr>
      <w:spacing w:after="200"/>
      <w:contextualSpacing w:val="0"/>
    </w:pPr>
    <w:rPr>
      <w:lang w:val="en-US"/>
    </w:rPr>
  </w:style>
  <w:style w:type="character" w:customStyle="1" w:styleId="SubbulletChar">
    <w:name w:val="Sub bullet Char"/>
    <w:basedOn w:val="H2BulletChar"/>
    <w:link w:val="Subbullet"/>
    <w:rsid w:val="005F58B1"/>
    <w:rPr>
      <w:rFonts w:cstheme="minorHAnsi"/>
      <w:lang w:val="en-US"/>
    </w:rPr>
  </w:style>
  <w:style w:type="paragraph" w:styleId="Caption">
    <w:name w:val="caption"/>
    <w:aliases w:val="~Caption,Caption Char1,Caption Char Char,Caption Char2 Char Char,Caption Char1 Char Char Char,Caption Char Char Char Char Char,Caption Char2 Char Char Char Char Char,Caption Char1 Char1 Char Char Char Char Char,Caption Char1 Char Char"/>
    <w:basedOn w:val="Normal"/>
    <w:next w:val="Normal"/>
    <w:link w:val="CaptionChar"/>
    <w:uiPriority w:val="35"/>
    <w:unhideWhenUsed/>
    <w:qFormat/>
    <w:rsid w:val="00782982"/>
    <w:pPr>
      <w:spacing w:after="120" w:line="240" w:lineRule="auto"/>
      <w:jc w:val="center"/>
    </w:pPr>
    <w:rPr>
      <w:b/>
      <w:i/>
      <w:iCs/>
      <w:color w:val="004B78" w:themeColor="accent3"/>
      <w:sz w:val="20"/>
      <w:szCs w:val="20"/>
    </w:rPr>
  </w:style>
  <w:style w:type="paragraph" w:customStyle="1" w:styleId="AnnexHeading1">
    <w:name w:val="Annex Heading 1"/>
    <w:next w:val="H1Text"/>
    <w:link w:val="AnnexHeading1Char"/>
    <w:qFormat/>
    <w:rsid w:val="00AB4439"/>
    <w:pPr>
      <w:pageBreakBefore/>
      <w:numPr>
        <w:numId w:val="6"/>
      </w:numPr>
      <w:pBdr>
        <w:bottom w:val="single" w:sz="4" w:space="1" w:color="004B78"/>
      </w:pBdr>
      <w:ind w:left="709" w:hanging="709"/>
      <w:outlineLvl w:val="0"/>
    </w:pPr>
    <w:rPr>
      <w:rFonts w:cstheme="minorHAnsi"/>
      <w:b/>
      <w:bCs/>
      <w:color w:val="00253C" w:themeColor="accent3" w:themeShade="80"/>
      <w:sz w:val="32"/>
      <w:szCs w:val="32"/>
    </w:rPr>
  </w:style>
  <w:style w:type="paragraph" w:customStyle="1" w:styleId="AnnexHeading2">
    <w:name w:val="Annex Heading 2"/>
    <w:basedOn w:val="AnnexHeading1"/>
    <w:next w:val="H2Text"/>
    <w:link w:val="AnnexHeading2Char"/>
    <w:qFormat/>
    <w:rsid w:val="006B1D72"/>
    <w:pPr>
      <w:numPr>
        <w:ilvl w:val="1"/>
      </w:numPr>
      <w:pBdr>
        <w:bottom w:val="none" w:sz="0" w:space="0" w:color="auto"/>
      </w:pBdr>
      <w:ind w:hanging="720"/>
    </w:pPr>
    <w:rPr>
      <w:color w:val="002E4B" w:themeColor="accent2" w:themeShade="80"/>
      <w:sz w:val="28"/>
      <w:szCs w:val="28"/>
    </w:rPr>
  </w:style>
  <w:style w:type="character" w:customStyle="1" w:styleId="AnnexHeading1Char">
    <w:name w:val="Annex Heading 1 Char"/>
    <w:basedOn w:val="SubbulletChar"/>
    <w:link w:val="AnnexHeading1"/>
    <w:rsid w:val="00AB4439"/>
    <w:rPr>
      <w:rFonts w:cstheme="minorHAnsi"/>
      <w:b/>
      <w:bCs/>
      <w:color w:val="00253C" w:themeColor="accent3" w:themeShade="80"/>
      <w:sz w:val="32"/>
      <w:szCs w:val="32"/>
      <w:lang w:val="en-US"/>
    </w:rPr>
  </w:style>
  <w:style w:type="paragraph" w:customStyle="1" w:styleId="AnnexHeading3">
    <w:name w:val="Annex Heading 3"/>
    <w:basedOn w:val="AnnexHeading2"/>
    <w:next w:val="H3text"/>
    <w:link w:val="AnnexHeading3Char"/>
    <w:qFormat/>
    <w:rsid w:val="006B1D72"/>
    <w:pPr>
      <w:numPr>
        <w:ilvl w:val="2"/>
      </w:numPr>
      <w:ind w:left="709" w:hanging="709"/>
    </w:pPr>
    <w:rPr>
      <w:color w:val="00395B" w:themeColor="accent1" w:themeShade="80"/>
      <w:sz w:val="24"/>
      <w:szCs w:val="24"/>
    </w:rPr>
  </w:style>
  <w:style w:type="character" w:customStyle="1" w:styleId="AnnexHeading2Char">
    <w:name w:val="Annex Heading 2 Char"/>
    <w:basedOn w:val="H3bulletChar"/>
    <w:link w:val="AnnexHeading2"/>
    <w:rsid w:val="006B1D72"/>
    <w:rPr>
      <w:rFonts w:cstheme="minorHAnsi"/>
      <w:b/>
      <w:bCs/>
      <w:color w:val="002E4B" w:themeColor="accent2" w:themeShade="80"/>
      <w:sz w:val="28"/>
      <w:szCs w:val="28"/>
      <w:lang w:val="en-US"/>
    </w:rPr>
  </w:style>
  <w:style w:type="character" w:customStyle="1" w:styleId="AnnexHeading3Char">
    <w:name w:val="Annex Heading 3 Char"/>
    <w:basedOn w:val="H3bulletChar"/>
    <w:link w:val="AnnexHeading3"/>
    <w:rsid w:val="006B1D72"/>
    <w:rPr>
      <w:rFonts w:cstheme="minorHAnsi"/>
      <w:b/>
      <w:bCs/>
      <w:color w:val="00395B" w:themeColor="accent1" w:themeShade="80"/>
      <w:sz w:val="24"/>
      <w:szCs w:val="24"/>
      <w:lang w:val="en-US"/>
    </w:rPr>
  </w:style>
  <w:style w:type="character" w:styleId="Hyperlink">
    <w:name w:val="Hyperlink"/>
    <w:basedOn w:val="DefaultParagraphFont"/>
    <w:uiPriority w:val="99"/>
    <w:unhideWhenUsed/>
    <w:rsid w:val="00394BA1"/>
    <w:rPr>
      <w:color w:val="962830" w:themeColor="hyperlink"/>
      <w:u w:val="single"/>
    </w:rPr>
  </w:style>
  <w:style w:type="character" w:styleId="UnresolvedMention">
    <w:name w:val="Unresolved Mention"/>
    <w:basedOn w:val="DefaultParagraphFont"/>
    <w:uiPriority w:val="99"/>
    <w:semiHidden/>
    <w:unhideWhenUsed/>
    <w:rsid w:val="00394BA1"/>
    <w:rPr>
      <w:color w:val="605E5C"/>
      <w:shd w:val="clear" w:color="auto" w:fill="E1DFDD"/>
    </w:rPr>
  </w:style>
  <w:style w:type="paragraph" w:styleId="TOC1">
    <w:name w:val="toc 1"/>
    <w:basedOn w:val="Normal"/>
    <w:next w:val="Normal"/>
    <w:autoRedefine/>
    <w:uiPriority w:val="39"/>
    <w:unhideWhenUsed/>
    <w:rsid w:val="00B64AF2"/>
    <w:pPr>
      <w:tabs>
        <w:tab w:val="left" w:pos="440"/>
        <w:tab w:val="right" w:leader="dot" w:pos="8494"/>
      </w:tabs>
      <w:spacing w:after="120" w:line="276" w:lineRule="auto"/>
      <w:ind w:left="709" w:hanging="709"/>
    </w:pPr>
    <w:rPr>
      <w:b/>
    </w:rPr>
  </w:style>
  <w:style w:type="paragraph" w:styleId="TOC2">
    <w:name w:val="toc 2"/>
    <w:basedOn w:val="Normal"/>
    <w:next w:val="Normal"/>
    <w:autoRedefine/>
    <w:uiPriority w:val="39"/>
    <w:unhideWhenUsed/>
    <w:rsid w:val="00B64AF2"/>
    <w:pPr>
      <w:spacing w:after="120" w:line="276" w:lineRule="auto"/>
    </w:pPr>
  </w:style>
  <w:style w:type="paragraph" w:styleId="Title">
    <w:name w:val="Title"/>
    <w:basedOn w:val="Normal"/>
    <w:next w:val="Normal"/>
    <w:link w:val="TitleChar"/>
    <w:uiPriority w:val="10"/>
    <w:rsid w:val="0099200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00E"/>
    <w:rPr>
      <w:rFonts w:asciiTheme="majorHAnsi" w:eastAsiaTheme="majorEastAsia" w:hAnsiTheme="majorHAnsi" w:cstheme="majorBidi"/>
      <w:spacing w:val="-10"/>
      <w:kern w:val="28"/>
      <w:sz w:val="56"/>
      <w:szCs w:val="56"/>
    </w:rPr>
  </w:style>
  <w:style w:type="paragraph" w:customStyle="1" w:styleId="CVtext">
    <w:name w:val="CV text"/>
    <w:basedOn w:val="Normal"/>
    <w:link w:val="CVtextChar"/>
    <w:rsid w:val="0000397B"/>
    <w:pPr>
      <w:tabs>
        <w:tab w:val="left" w:pos="1380"/>
      </w:tabs>
      <w:jc w:val="both"/>
    </w:pPr>
    <w:rPr>
      <w:rFonts w:cstheme="minorHAnsi"/>
    </w:rPr>
  </w:style>
  <w:style w:type="paragraph" w:customStyle="1" w:styleId="CVbullet-projectexperience">
    <w:name w:val="CV bullet - project experience"/>
    <w:basedOn w:val="ListParagraph"/>
    <w:link w:val="CVbullet-projectexperienceChar"/>
    <w:rsid w:val="0000397B"/>
    <w:pPr>
      <w:numPr>
        <w:numId w:val="5"/>
      </w:numPr>
      <w:tabs>
        <w:tab w:val="left" w:pos="1380"/>
      </w:tabs>
      <w:spacing w:after="120" w:line="276" w:lineRule="auto"/>
      <w:ind w:left="714" w:hanging="357"/>
      <w:jc w:val="both"/>
    </w:pPr>
    <w:rPr>
      <w:rFonts w:cstheme="minorHAnsi"/>
    </w:rPr>
  </w:style>
  <w:style w:type="character" w:customStyle="1" w:styleId="CVtextChar">
    <w:name w:val="CV text Char"/>
    <w:basedOn w:val="DefaultParagraphFont"/>
    <w:link w:val="CVtext"/>
    <w:rsid w:val="0000397B"/>
    <w:rPr>
      <w:rFonts w:cstheme="minorHAnsi"/>
    </w:rPr>
  </w:style>
  <w:style w:type="character" w:customStyle="1" w:styleId="CVbullet-projectexperienceChar">
    <w:name w:val="CV bullet - project experience Char"/>
    <w:basedOn w:val="ListParagraphChar"/>
    <w:link w:val="CVbullet-projectexperience"/>
    <w:rsid w:val="0000397B"/>
    <w:rPr>
      <w:rFonts w:cstheme="minorHAnsi"/>
    </w:rPr>
  </w:style>
  <w:style w:type="character" w:customStyle="1" w:styleId="Heading4Char">
    <w:name w:val="Heading 4 Char"/>
    <w:aliases w:val="alphabetical list Char"/>
    <w:basedOn w:val="DefaultParagraphFont"/>
    <w:link w:val="Heading4"/>
    <w:uiPriority w:val="9"/>
    <w:rsid w:val="00C21CEF"/>
    <w:rPr>
      <w:rFonts w:eastAsiaTheme="majorEastAsia" w:cstheme="majorBidi"/>
      <w:b/>
      <w:color w:val="004B78" w:themeColor="accent3"/>
    </w:rPr>
  </w:style>
  <w:style w:type="paragraph" w:customStyle="1" w:styleId="DateStyle">
    <w:name w:val="Date Style"/>
    <w:basedOn w:val="Normal"/>
    <w:link w:val="DateStyleChar"/>
    <w:rsid w:val="00A1614D"/>
    <w:pPr>
      <w:spacing w:after="200" w:line="276" w:lineRule="auto"/>
    </w:pPr>
    <w:rPr>
      <w:rFonts w:ascii="Segoe UI" w:hAnsi="Segoe UI" w:cs="Segoe UI"/>
    </w:rPr>
  </w:style>
  <w:style w:type="paragraph" w:customStyle="1" w:styleId="Letterheading">
    <w:name w:val="Letter heading"/>
    <w:basedOn w:val="DateStyle"/>
    <w:link w:val="LetterheadingChar"/>
    <w:rsid w:val="00A1614D"/>
    <w:rPr>
      <w:b/>
    </w:rPr>
  </w:style>
  <w:style w:type="character" w:customStyle="1" w:styleId="DateStyleChar">
    <w:name w:val="Date Style Char"/>
    <w:basedOn w:val="DefaultParagraphFont"/>
    <w:link w:val="DateStyle"/>
    <w:rsid w:val="00A1614D"/>
    <w:rPr>
      <w:rFonts w:ascii="Segoe UI" w:hAnsi="Segoe UI" w:cs="Segoe UI"/>
    </w:rPr>
  </w:style>
  <w:style w:type="character" w:customStyle="1" w:styleId="LetterheadingChar">
    <w:name w:val="Letter heading Char"/>
    <w:basedOn w:val="DateStyleChar"/>
    <w:link w:val="Letterheading"/>
    <w:rsid w:val="00A1614D"/>
    <w:rPr>
      <w:rFonts w:ascii="Segoe UI" w:hAnsi="Segoe UI" w:cs="Segoe UI"/>
      <w:b/>
    </w:rPr>
  </w:style>
  <w:style w:type="paragraph" w:customStyle="1" w:styleId="AddressStyle">
    <w:name w:val="Address Style"/>
    <w:basedOn w:val="Normal"/>
    <w:link w:val="AddressStyleChar"/>
    <w:rsid w:val="00C00DE6"/>
    <w:pPr>
      <w:spacing w:after="0" w:line="276" w:lineRule="auto"/>
    </w:pPr>
    <w:rPr>
      <w:rFonts w:cstheme="minorHAnsi"/>
    </w:rPr>
  </w:style>
  <w:style w:type="character" w:customStyle="1" w:styleId="AddressStyleChar">
    <w:name w:val="Address Style Char"/>
    <w:basedOn w:val="DefaultParagraphFont"/>
    <w:link w:val="AddressStyle"/>
    <w:rsid w:val="00C00DE6"/>
    <w:rPr>
      <w:rFonts w:cstheme="minorHAnsi"/>
    </w:rPr>
  </w:style>
  <w:style w:type="paragraph" w:customStyle="1" w:styleId="Letterbodytext">
    <w:name w:val="Letter body text"/>
    <w:basedOn w:val="Normal"/>
    <w:link w:val="LetterbodytextChar"/>
    <w:rsid w:val="00A16F85"/>
    <w:pPr>
      <w:spacing w:after="200" w:line="276" w:lineRule="auto"/>
      <w:jc w:val="both"/>
    </w:pPr>
    <w:rPr>
      <w:rFonts w:ascii="Segoe UI" w:hAnsi="Segoe UI" w:cs="Segoe UI"/>
    </w:rPr>
  </w:style>
  <w:style w:type="character" w:customStyle="1" w:styleId="LetterbodytextChar">
    <w:name w:val="Letter body text Char"/>
    <w:basedOn w:val="DefaultParagraphFont"/>
    <w:link w:val="Letterbodytext"/>
    <w:rsid w:val="00A16F85"/>
    <w:rPr>
      <w:rFonts w:ascii="Segoe UI" w:hAnsi="Segoe UI" w:cs="Segoe UI"/>
    </w:rPr>
  </w:style>
  <w:style w:type="paragraph" w:styleId="FootnoteText">
    <w:name w:val="footnote text"/>
    <w:basedOn w:val="Normal"/>
    <w:link w:val="FootnoteTextChar"/>
    <w:uiPriority w:val="99"/>
    <w:unhideWhenUsed/>
    <w:rsid w:val="00A16F85"/>
    <w:pPr>
      <w:spacing w:after="0" w:line="240" w:lineRule="auto"/>
    </w:pPr>
    <w:rPr>
      <w:sz w:val="20"/>
      <w:szCs w:val="20"/>
    </w:rPr>
  </w:style>
  <w:style w:type="character" w:customStyle="1" w:styleId="FootnoteTextChar">
    <w:name w:val="Footnote Text Char"/>
    <w:basedOn w:val="DefaultParagraphFont"/>
    <w:link w:val="FootnoteText"/>
    <w:uiPriority w:val="99"/>
    <w:rsid w:val="00A16F85"/>
    <w:rPr>
      <w:sz w:val="20"/>
      <w:szCs w:val="20"/>
    </w:rPr>
  </w:style>
  <w:style w:type="character" w:styleId="FootnoteReference">
    <w:name w:val="footnote reference"/>
    <w:basedOn w:val="DefaultParagraphFont"/>
    <w:uiPriority w:val="99"/>
    <w:unhideWhenUsed/>
    <w:rsid w:val="00A16F85"/>
    <w:rPr>
      <w:vertAlign w:val="superscript"/>
    </w:rPr>
  </w:style>
  <w:style w:type="paragraph" w:customStyle="1" w:styleId="Heading1text">
    <w:name w:val="Heading 1 text"/>
    <w:basedOn w:val="Normal"/>
    <w:link w:val="Heading1textChar"/>
    <w:rsid w:val="00A16F85"/>
    <w:pPr>
      <w:spacing w:after="200" w:line="276" w:lineRule="auto"/>
      <w:jc w:val="both"/>
    </w:pPr>
    <w:rPr>
      <w:rFonts w:ascii="Segoe UI" w:hAnsi="Segoe UI"/>
    </w:rPr>
  </w:style>
  <w:style w:type="character" w:customStyle="1" w:styleId="Heading1textChar">
    <w:name w:val="Heading 1 text Char"/>
    <w:basedOn w:val="DefaultParagraphFont"/>
    <w:link w:val="Heading1text"/>
    <w:rsid w:val="00A16F85"/>
    <w:rPr>
      <w:rFonts w:ascii="Segoe UI" w:hAnsi="Segoe UI"/>
    </w:rPr>
  </w:style>
  <w:style w:type="paragraph" w:customStyle="1" w:styleId="H1text0">
    <w:name w:val="H1 text"/>
    <w:basedOn w:val="Normal"/>
    <w:link w:val="H1textChar0"/>
    <w:qFormat/>
    <w:rsid w:val="009B05C7"/>
    <w:pPr>
      <w:spacing w:after="200" w:line="276" w:lineRule="auto"/>
      <w:ind w:left="709"/>
      <w:jc w:val="both"/>
    </w:pPr>
    <w:rPr>
      <w:rFonts w:cstheme="minorHAnsi"/>
    </w:rPr>
  </w:style>
  <w:style w:type="character" w:customStyle="1" w:styleId="H1textChar0">
    <w:name w:val="H1 text Char"/>
    <w:basedOn w:val="DefaultParagraphFont"/>
    <w:link w:val="H1text0"/>
    <w:rsid w:val="009B05C7"/>
    <w:rPr>
      <w:rFonts w:cstheme="minorHAnsi"/>
    </w:rPr>
  </w:style>
  <w:style w:type="paragraph" w:customStyle="1" w:styleId="H2bullet">
    <w:name w:val="H2 bullet"/>
    <w:basedOn w:val="Normal"/>
    <w:link w:val="H2bulletChar0"/>
    <w:qFormat/>
    <w:rsid w:val="009B05C7"/>
    <w:pPr>
      <w:numPr>
        <w:numId w:val="9"/>
      </w:numPr>
      <w:spacing w:after="120" w:line="276" w:lineRule="auto"/>
      <w:jc w:val="both"/>
    </w:pPr>
    <w:rPr>
      <w:rFonts w:cstheme="minorHAnsi"/>
    </w:rPr>
  </w:style>
  <w:style w:type="paragraph" w:customStyle="1" w:styleId="H2text0">
    <w:name w:val="H2 text"/>
    <w:basedOn w:val="Normal"/>
    <w:link w:val="H2textChar0"/>
    <w:rsid w:val="00CF3D08"/>
    <w:pPr>
      <w:spacing w:after="120" w:line="276" w:lineRule="auto"/>
      <w:ind w:left="709"/>
      <w:jc w:val="both"/>
    </w:pPr>
    <w:rPr>
      <w:rFonts w:cstheme="minorHAnsi"/>
    </w:rPr>
  </w:style>
  <w:style w:type="character" w:customStyle="1" w:styleId="H2textChar0">
    <w:name w:val="H2 text Char"/>
    <w:basedOn w:val="DefaultParagraphFont"/>
    <w:link w:val="H2text0"/>
    <w:rsid w:val="00CF3D08"/>
    <w:rPr>
      <w:rFonts w:cstheme="minorHAnsi"/>
    </w:rPr>
  </w:style>
  <w:style w:type="character" w:customStyle="1" w:styleId="H2bulletChar0">
    <w:name w:val="H2 bullet Char"/>
    <w:basedOn w:val="H2textChar0"/>
    <w:link w:val="H2bullet"/>
    <w:rsid w:val="009B05C7"/>
    <w:rPr>
      <w:rFonts w:cstheme="minorHAnsi"/>
    </w:rPr>
  </w:style>
  <w:style w:type="paragraph" w:customStyle="1" w:styleId="H1SubBulletH4Bullet">
    <w:name w:val="H1 Sub Bullet H4 Bullet"/>
    <w:basedOn w:val="Normal"/>
    <w:link w:val="H1SubBulletH4BulletChar"/>
    <w:qFormat/>
    <w:rsid w:val="00C21CEF"/>
    <w:pPr>
      <w:numPr>
        <w:numId w:val="10"/>
      </w:numPr>
      <w:spacing w:after="200" w:line="276" w:lineRule="auto"/>
      <w:ind w:left="1429" w:hanging="357"/>
      <w:jc w:val="both"/>
    </w:pPr>
    <w:rPr>
      <w:rFonts w:eastAsia="Calibri" w:cstheme="minorHAnsi"/>
    </w:rPr>
  </w:style>
  <w:style w:type="character" w:customStyle="1" w:styleId="H1SubBulletH4BulletChar">
    <w:name w:val="H1 Sub Bullet H4 Bullet Char"/>
    <w:link w:val="H1SubBulletH4Bullet"/>
    <w:rsid w:val="00C21CEF"/>
    <w:rPr>
      <w:rFonts w:eastAsia="Calibri" w:cstheme="minorHAnsi"/>
    </w:rPr>
  </w:style>
  <w:style w:type="character" w:styleId="CommentReference">
    <w:name w:val="annotation reference"/>
    <w:basedOn w:val="DefaultParagraphFont"/>
    <w:uiPriority w:val="99"/>
    <w:semiHidden/>
    <w:unhideWhenUsed/>
    <w:rsid w:val="00830948"/>
    <w:rPr>
      <w:sz w:val="16"/>
      <w:szCs w:val="16"/>
    </w:rPr>
  </w:style>
  <w:style w:type="paragraph" w:customStyle="1" w:styleId="Heading2bullet">
    <w:name w:val="Heading 2 bullet"/>
    <w:basedOn w:val="ListParagraph"/>
    <w:link w:val="Heading2bulletChar"/>
    <w:qFormat/>
    <w:rsid w:val="00460A39"/>
    <w:pPr>
      <w:spacing w:after="120" w:line="276" w:lineRule="auto"/>
      <w:ind w:left="3621" w:hanging="360"/>
      <w:jc w:val="both"/>
    </w:pPr>
    <w:rPr>
      <w:rFonts w:cstheme="minorHAnsi"/>
    </w:rPr>
  </w:style>
  <w:style w:type="character" w:customStyle="1" w:styleId="Heading2bulletChar">
    <w:name w:val="Heading 2 bullet Char"/>
    <w:basedOn w:val="DefaultParagraphFont"/>
    <w:link w:val="Heading2bullet"/>
    <w:rsid w:val="00460A39"/>
    <w:rPr>
      <w:rFonts w:cstheme="minorHAnsi"/>
    </w:rPr>
  </w:style>
  <w:style w:type="paragraph" w:customStyle="1" w:styleId="Heading3bullet">
    <w:name w:val="Heading 3 bullet"/>
    <w:basedOn w:val="Normal"/>
    <w:qFormat/>
    <w:rsid w:val="00460A39"/>
    <w:pPr>
      <w:spacing w:after="120" w:line="276" w:lineRule="auto"/>
      <w:ind w:left="1134" w:hanging="425"/>
      <w:contextualSpacing/>
    </w:pPr>
    <w:rPr>
      <w:rFonts w:cstheme="minorHAnsi"/>
    </w:rPr>
  </w:style>
  <w:style w:type="character" w:customStyle="1" w:styleId="CaptionChar">
    <w:name w:val="Caption Char"/>
    <w:aliases w:val="~Caption Char,Caption Char1 Char,Caption Char Char Char,Caption Char2 Char Char Char,Caption Char1 Char Char Char Char,Caption Char Char Char Char Char Char,Caption Char2 Char Char Char Char Char Char,Caption Char1 Char Char Char1"/>
    <w:basedOn w:val="DefaultParagraphFont"/>
    <w:link w:val="Caption"/>
    <w:uiPriority w:val="35"/>
    <w:locked/>
    <w:rsid w:val="00782982"/>
    <w:rPr>
      <w:b/>
      <w:i/>
      <w:iCs/>
      <w:color w:val="004B78" w:themeColor="accent3"/>
      <w:sz w:val="20"/>
      <w:szCs w:val="20"/>
    </w:rPr>
  </w:style>
  <w:style w:type="paragraph" w:customStyle="1" w:styleId="Sub-heading">
    <w:name w:val="Sub-heading"/>
    <w:basedOn w:val="Normal"/>
    <w:link w:val="Sub-headingChar"/>
    <w:rsid w:val="00EF25D3"/>
    <w:pPr>
      <w:keepNext/>
      <w:spacing w:after="120" w:line="276" w:lineRule="auto"/>
      <w:ind w:left="1069" w:hanging="360"/>
      <w:jc w:val="both"/>
    </w:pPr>
    <w:rPr>
      <w:rFonts w:eastAsia="Calibri" w:cs="Times New Roman"/>
      <w:b/>
      <w:color w:val="004B78" w:themeColor="accent3"/>
      <w:szCs w:val="20"/>
    </w:rPr>
  </w:style>
  <w:style w:type="character" w:customStyle="1" w:styleId="Sub-headingChar">
    <w:name w:val="Sub-heading Char"/>
    <w:basedOn w:val="DefaultParagraphFont"/>
    <w:link w:val="Sub-heading"/>
    <w:rsid w:val="00EF25D3"/>
    <w:rPr>
      <w:rFonts w:eastAsia="Calibri" w:cs="Times New Roman"/>
      <w:b/>
      <w:color w:val="004B78" w:themeColor="accent3"/>
      <w:szCs w:val="20"/>
    </w:rPr>
  </w:style>
  <w:style w:type="paragraph" w:styleId="CommentText">
    <w:name w:val="annotation text"/>
    <w:basedOn w:val="Normal"/>
    <w:link w:val="CommentTextChar"/>
    <w:uiPriority w:val="99"/>
    <w:unhideWhenUsed/>
    <w:rsid w:val="003936CA"/>
    <w:pPr>
      <w:spacing w:line="240" w:lineRule="auto"/>
    </w:pPr>
    <w:rPr>
      <w:sz w:val="20"/>
      <w:szCs w:val="20"/>
    </w:rPr>
  </w:style>
  <w:style w:type="character" w:customStyle="1" w:styleId="CommentTextChar">
    <w:name w:val="Comment Text Char"/>
    <w:basedOn w:val="DefaultParagraphFont"/>
    <w:link w:val="CommentText"/>
    <w:uiPriority w:val="99"/>
    <w:rsid w:val="003936CA"/>
    <w:rPr>
      <w:sz w:val="20"/>
      <w:szCs w:val="20"/>
    </w:rPr>
  </w:style>
  <w:style w:type="paragraph" w:styleId="CommentSubject">
    <w:name w:val="annotation subject"/>
    <w:basedOn w:val="CommentText"/>
    <w:next w:val="CommentText"/>
    <w:link w:val="CommentSubjectChar"/>
    <w:uiPriority w:val="99"/>
    <w:semiHidden/>
    <w:unhideWhenUsed/>
    <w:rsid w:val="003936CA"/>
    <w:rPr>
      <w:b/>
      <w:bCs/>
    </w:rPr>
  </w:style>
  <w:style w:type="character" w:customStyle="1" w:styleId="CommentSubjectChar">
    <w:name w:val="Comment Subject Char"/>
    <w:basedOn w:val="CommentTextChar"/>
    <w:link w:val="CommentSubject"/>
    <w:uiPriority w:val="99"/>
    <w:semiHidden/>
    <w:rsid w:val="003936CA"/>
    <w:rPr>
      <w:b/>
      <w:bCs/>
      <w:sz w:val="20"/>
      <w:szCs w:val="20"/>
    </w:rPr>
  </w:style>
  <w:style w:type="paragraph" w:customStyle="1" w:styleId="Heading2Text">
    <w:name w:val="Heading 2 Text"/>
    <w:basedOn w:val="Normal"/>
    <w:link w:val="Heading2TextChar"/>
    <w:qFormat/>
    <w:rsid w:val="00B854A0"/>
    <w:pPr>
      <w:spacing w:after="120" w:line="276" w:lineRule="auto"/>
      <w:ind w:left="709"/>
      <w:contextualSpacing/>
      <w:jc w:val="both"/>
    </w:pPr>
    <w:rPr>
      <w:rFonts w:cstheme="minorHAnsi"/>
    </w:rPr>
  </w:style>
  <w:style w:type="character" w:customStyle="1" w:styleId="Heading2TextChar">
    <w:name w:val="Heading 2 Text Char"/>
    <w:basedOn w:val="DefaultParagraphFont"/>
    <w:link w:val="Heading2Text"/>
    <w:rsid w:val="00B854A0"/>
    <w:rPr>
      <w:rFonts w:cstheme="minorHAnsi"/>
    </w:rPr>
  </w:style>
  <w:style w:type="paragraph" w:customStyle="1" w:styleId="Heading1Text0">
    <w:name w:val="Heading 1 Text"/>
    <w:basedOn w:val="Normal"/>
    <w:link w:val="Heading1TextChar0"/>
    <w:qFormat/>
    <w:rsid w:val="00782982"/>
    <w:pPr>
      <w:spacing w:after="120" w:line="276" w:lineRule="auto"/>
      <w:ind w:left="851" w:hanging="142"/>
      <w:contextualSpacing/>
      <w:jc w:val="both"/>
    </w:pPr>
    <w:rPr>
      <w:rFonts w:cstheme="minorHAnsi"/>
    </w:rPr>
  </w:style>
  <w:style w:type="character" w:customStyle="1" w:styleId="Heading1TextChar0">
    <w:name w:val="Heading 1 Text Char"/>
    <w:basedOn w:val="DefaultParagraphFont"/>
    <w:link w:val="Heading1Text0"/>
    <w:rsid w:val="00782982"/>
    <w:rPr>
      <w:rFonts w:cstheme="minorHAnsi"/>
    </w:rPr>
  </w:style>
  <w:style w:type="table" w:styleId="PlainTable5">
    <w:name w:val="Plain Table 5"/>
    <w:basedOn w:val="TableNormal"/>
    <w:uiPriority w:val="45"/>
    <w:rsid w:val="0078298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A86103"/>
    <w:pPr>
      <w:spacing w:before="100" w:beforeAutospacing="1" w:after="100" w:afterAutospacing="1" w:line="240" w:lineRule="auto"/>
    </w:pPr>
    <w:rPr>
      <w:rFonts w:ascii="Times New Roman" w:eastAsia="Times New Roman" w:hAnsi="Times New Roman" w:cs="Times New Roman"/>
      <w:sz w:val="24"/>
      <w:szCs w:val="24"/>
      <w:lang w:val="en-NG" w:eastAsia="en-NG"/>
    </w:rPr>
  </w:style>
  <w:style w:type="paragraph" w:styleId="EndnoteText">
    <w:name w:val="endnote text"/>
    <w:basedOn w:val="Normal"/>
    <w:link w:val="EndnoteTextChar"/>
    <w:uiPriority w:val="99"/>
    <w:semiHidden/>
    <w:unhideWhenUsed/>
    <w:rsid w:val="0080715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07159"/>
    <w:rPr>
      <w:sz w:val="20"/>
      <w:szCs w:val="20"/>
    </w:rPr>
  </w:style>
  <w:style w:type="character" w:styleId="EndnoteReference">
    <w:name w:val="endnote reference"/>
    <w:basedOn w:val="DefaultParagraphFont"/>
    <w:uiPriority w:val="99"/>
    <w:semiHidden/>
    <w:unhideWhenUsed/>
    <w:rsid w:val="0080715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448421">
      <w:bodyDiv w:val="1"/>
      <w:marLeft w:val="0"/>
      <w:marRight w:val="0"/>
      <w:marTop w:val="0"/>
      <w:marBottom w:val="0"/>
      <w:divBdr>
        <w:top w:val="none" w:sz="0" w:space="0" w:color="auto"/>
        <w:left w:val="none" w:sz="0" w:space="0" w:color="auto"/>
        <w:bottom w:val="none" w:sz="0" w:space="0" w:color="auto"/>
        <w:right w:val="none" w:sz="0" w:space="0" w:color="auto"/>
      </w:divBdr>
    </w:div>
    <w:div w:id="823199395">
      <w:bodyDiv w:val="1"/>
      <w:marLeft w:val="0"/>
      <w:marRight w:val="0"/>
      <w:marTop w:val="0"/>
      <w:marBottom w:val="0"/>
      <w:divBdr>
        <w:top w:val="none" w:sz="0" w:space="0" w:color="auto"/>
        <w:left w:val="none" w:sz="0" w:space="0" w:color="auto"/>
        <w:bottom w:val="none" w:sz="0" w:space="0" w:color="auto"/>
        <w:right w:val="none" w:sz="0" w:space="0" w:color="auto"/>
      </w:divBdr>
    </w:div>
    <w:div w:id="940722849">
      <w:bodyDiv w:val="1"/>
      <w:marLeft w:val="0"/>
      <w:marRight w:val="0"/>
      <w:marTop w:val="0"/>
      <w:marBottom w:val="0"/>
      <w:divBdr>
        <w:top w:val="none" w:sz="0" w:space="0" w:color="auto"/>
        <w:left w:val="none" w:sz="0" w:space="0" w:color="auto"/>
        <w:bottom w:val="none" w:sz="0" w:space="0" w:color="auto"/>
        <w:right w:val="none" w:sz="0" w:space="0" w:color="auto"/>
      </w:divBdr>
    </w:div>
    <w:div w:id="1074401331">
      <w:bodyDiv w:val="1"/>
      <w:marLeft w:val="0"/>
      <w:marRight w:val="0"/>
      <w:marTop w:val="0"/>
      <w:marBottom w:val="0"/>
      <w:divBdr>
        <w:top w:val="none" w:sz="0" w:space="0" w:color="auto"/>
        <w:left w:val="none" w:sz="0" w:space="0" w:color="auto"/>
        <w:bottom w:val="none" w:sz="0" w:space="0" w:color="auto"/>
        <w:right w:val="none" w:sz="0" w:space="0" w:color="auto"/>
      </w:divBdr>
    </w:div>
    <w:div w:id="1147363128">
      <w:bodyDiv w:val="1"/>
      <w:marLeft w:val="0"/>
      <w:marRight w:val="0"/>
      <w:marTop w:val="0"/>
      <w:marBottom w:val="0"/>
      <w:divBdr>
        <w:top w:val="none" w:sz="0" w:space="0" w:color="auto"/>
        <w:left w:val="none" w:sz="0" w:space="0" w:color="auto"/>
        <w:bottom w:val="none" w:sz="0" w:space="0" w:color="auto"/>
        <w:right w:val="none" w:sz="0" w:space="0" w:color="auto"/>
      </w:divBdr>
    </w:div>
    <w:div w:id="1150636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mail@energy-mrc.com"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mail@energy-mrc.com"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Corporate Colours">
      <a:dk1>
        <a:sysClr val="windowText" lastClr="000000"/>
      </a:dk1>
      <a:lt1>
        <a:sysClr val="window" lastClr="FFFFFF"/>
      </a:lt1>
      <a:dk2>
        <a:srgbClr val="698973"/>
      </a:dk2>
      <a:lt2>
        <a:srgbClr val="0084D1"/>
      </a:lt2>
      <a:accent1>
        <a:srgbClr val="0073B7"/>
      </a:accent1>
      <a:accent2>
        <a:srgbClr val="005E96"/>
      </a:accent2>
      <a:accent3>
        <a:srgbClr val="004B78"/>
      </a:accent3>
      <a:accent4>
        <a:srgbClr val="896974"/>
      </a:accent4>
      <a:accent5>
        <a:srgbClr val="D14900"/>
      </a:accent5>
      <a:accent6>
        <a:srgbClr val="B79C00"/>
      </a:accent6>
      <a:hlink>
        <a:srgbClr val="962830"/>
      </a:hlink>
      <a:folHlink>
        <a:srgbClr val="1D65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8577A63678D34E9FB4E0F9BE5B04DC" ma:contentTypeVersion="16" ma:contentTypeDescription="Create a new document." ma:contentTypeScope="" ma:versionID="28c2201b47c9f3a603d0b2f4212b79b5">
  <xsd:schema xmlns:xsd="http://www.w3.org/2001/XMLSchema" xmlns:xs="http://www.w3.org/2001/XMLSchema" xmlns:p="http://schemas.microsoft.com/office/2006/metadata/properties" xmlns:ns2="5da1fa8a-620a-457d-b281-b80a19af0e8b" xmlns:ns3="7fd3f0ee-0d87-4ab7-814a-44a45992ed27" targetNamespace="http://schemas.microsoft.com/office/2006/metadata/properties" ma:root="true" ma:fieldsID="dd76ab50dd3735098f3e0c3da3886206" ns2:_="" ns3:_="">
    <xsd:import namespace="5da1fa8a-620a-457d-b281-b80a19af0e8b"/>
    <xsd:import namespace="7fd3f0ee-0d87-4ab7-814a-44a45992ed27"/>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a1fa8a-620a-457d-b281-b80a19af0e8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201381d-d165-4d5b-a6a5-f53d97a06498"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fd3f0ee-0d87-4ab7-814a-44a45992ed27"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fb7cf73-54f6-45b0-9e5f-68ec2d325d3e}" ma:internalName="TaxCatchAll" ma:showField="CatchAllData" ma:web="7fd3f0ee-0d87-4ab7-814a-44a45992ed27">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da1fa8a-620a-457d-b281-b80a19af0e8b">
      <Terms xmlns="http://schemas.microsoft.com/office/infopath/2007/PartnerControls"/>
    </lcf76f155ced4ddcb4097134ff3c332f>
    <TaxCatchAll xmlns="7fd3f0ee-0d87-4ab7-814a-44a45992ed2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F3CC3A-0DD3-4D5C-898E-B2FBF4EC46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a1fa8a-620a-457d-b281-b80a19af0e8b"/>
    <ds:schemaRef ds:uri="7fd3f0ee-0d87-4ab7-814a-44a45992ed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7294025-0D1C-4BC5-ADF5-B8E04A902BE2}">
  <ds:schemaRefs>
    <ds:schemaRef ds:uri="http://schemas.microsoft.com/office/2006/metadata/properties"/>
    <ds:schemaRef ds:uri="http://schemas.microsoft.com/office/infopath/2007/PartnerControls"/>
    <ds:schemaRef ds:uri="5da1fa8a-620a-457d-b281-b80a19af0e8b"/>
    <ds:schemaRef ds:uri="7fd3f0ee-0d87-4ab7-814a-44a45992ed27"/>
  </ds:schemaRefs>
</ds:datastoreItem>
</file>

<file path=customXml/itemProps3.xml><?xml version="1.0" encoding="utf-8"?>
<ds:datastoreItem xmlns:ds="http://schemas.openxmlformats.org/officeDocument/2006/customXml" ds:itemID="{8F9ACCDF-2A5E-491C-94A3-E0DC799F4387}">
  <ds:schemaRefs>
    <ds:schemaRef ds:uri="http://schemas.microsoft.com/sharepoint/v3/contenttype/forms"/>
  </ds:schemaRefs>
</ds:datastoreItem>
</file>

<file path=customXml/itemProps4.xml><?xml version="1.0" encoding="utf-8"?>
<ds:datastoreItem xmlns:ds="http://schemas.openxmlformats.org/officeDocument/2006/customXml" ds:itemID="{F7C6EDA3-4AFE-4440-9714-064AD500C0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30</Pages>
  <Words>8442</Words>
  <Characters>48121</Characters>
  <Application>Microsoft Office Word</Application>
  <DocSecurity>0</DocSecurity>
  <Lines>401</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56451</CharactersWithSpaces>
  <SharedDoc>false</SharedDoc>
  <HLinks>
    <vt:vector size="324" baseType="variant">
      <vt:variant>
        <vt:i4>1835057</vt:i4>
      </vt:variant>
      <vt:variant>
        <vt:i4>314</vt:i4>
      </vt:variant>
      <vt:variant>
        <vt:i4>0</vt:i4>
      </vt:variant>
      <vt:variant>
        <vt:i4>5</vt:i4>
      </vt:variant>
      <vt:variant>
        <vt:lpwstr/>
      </vt:variant>
      <vt:variant>
        <vt:lpwstr>_Toc222499841</vt:lpwstr>
      </vt:variant>
      <vt:variant>
        <vt:i4>1835057</vt:i4>
      </vt:variant>
      <vt:variant>
        <vt:i4>308</vt:i4>
      </vt:variant>
      <vt:variant>
        <vt:i4>0</vt:i4>
      </vt:variant>
      <vt:variant>
        <vt:i4>5</vt:i4>
      </vt:variant>
      <vt:variant>
        <vt:lpwstr/>
      </vt:variant>
      <vt:variant>
        <vt:lpwstr>_Toc222499840</vt:lpwstr>
      </vt:variant>
      <vt:variant>
        <vt:i4>1769521</vt:i4>
      </vt:variant>
      <vt:variant>
        <vt:i4>302</vt:i4>
      </vt:variant>
      <vt:variant>
        <vt:i4>0</vt:i4>
      </vt:variant>
      <vt:variant>
        <vt:i4>5</vt:i4>
      </vt:variant>
      <vt:variant>
        <vt:lpwstr/>
      </vt:variant>
      <vt:variant>
        <vt:lpwstr>_Toc222499839</vt:lpwstr>
      </vt:variant>
      <vt:variant>
        <vt:i4>1769521</vt:i4>
      </vt:variant>
      <vt:variant>
        <vt:i4>296</vt:i4>
      </vt:variant>
      <vt:variant>
        <vt:i4>0</vt:i4>
      </vt:variant>
      <vt:variant>
        <vt:i4>5</vt:i4>
      </vt:variant>
      <vt:variant>
        <vt:lpwstr/>
      </vt:variant>
      <vt:variant>
        <vt:lpwstr>_Toc222499838</vt:lpwstr>
      </vt:variant>
      <vt:variant>
        <vt:i4>1769521</vt:i4>
      </vt:variant>
      <vt:variant>
        <vt:i4>290</vt:i4>
      </vt:variant>
      <vt:variant>
        <vt:i4>0</vt:i4>
      </vt:variant>
      <vt:variant>
        <vt:i4>5</vt:i4>
      </vt:variant>
      <vt:variant>
        <vt:lpwstr/>
      </vt:variant>
      <vt:variant>
        <vt:lpwstr>_Toc222499837</vt:lpwstr>
      </vt:variant>
      <vt:variant>
        <vt:i4>1769521</vt:i4>
      </vt:variant>
      <vt:variant>
        <vt:i4>284</vt:i4>
      </vt:variant>
      <vt:variant>
        <vt:i4>0</vt:i4>
      </vt:variant>
      <vt:variant>
        <vt:i4>5</vt:i4>
      </vt:variant>
      <vt:variant>
        <vt:lpwstr/>
      </vt:variant>
      <vt:variant>
        <vt:lpwstr>_Toc222499836</vt:lpwstr>
      </vt:variant>
      <vt:variant>
        <vt:i4>1769521</vt:i4>
      </vt:variant>
      <vt:variant>
        <vt:i4>278</vt:i4>
      </vt:variant>
      <vt:variant>
        <vt:i4>0</vt:i4>
      </vt:variant>
      <vt:variant>
        <vt:i4>5</vt:i4>
      </vt:variant>
      <vt:variant>
        <vt:lpwstr/>
      </vt:variant>
      <vt:variant>
        <vt:lpwstr>_Toc222499835</vt:lpwstr>
      </vt:variant>
      <vt:variant>
        <vt:i4>1769521</vt:i4>
      </vt:variant>
      <vt:variant>
        <vt:i4>272</vt:i4>
      </vt:variant>
      <vt:variant>
        <vt:i4>0</vt:i4>
      </vt:variant>
      <vt:variant>
        <vt:i4>5</vt:i4>
      </vt:variant>
      <vt:variant>
        <vt:lpwstr/>
      </vt:variant>
      <vt:variant>
        <vt:lpwstr>_Toc222499834</vt:lpwstr>
      </vt:variant>
      <vt:variant>
        <vt:i4>1769521</vt:i4>
      </vt:variant>
      <vt:variant>
        <vt:i4>266</vt:i4>
      </vt:variant>
      <vt:variant>
        <vt:i4>0</vt:i4>
      </vt:variant>
      <vt:variant>
        <vt:i4>5</vt:i4>
      </vt:variant>
      <vt:variant>
        <vt:lpwstr/>
      </vt:variant>
      <vt:variant>
        <vt:lpwstr>_Toc222499833</vt:lpwstr>
      </vt:variant>
      <vt:variant>
        <vt:i4>1769521</vt:i4>
      </vt:variant>
      <vt:variant>
        <vt:i4>260</vt:i4>
      </vt:variant>
      <vt:variant>
        <vt:i4>0</vt:i4>
      </vt:variant>
      <vt:variant>
        <vt:i4>5</vt:i4>
      </vt:variant>
      <vt:variant>
        <vt:lpwstr/>
      </vt:variant>
      <vt:variant>
        <vt:lpwstr>_Toc222499832</vt:lpwstr>
      </vt:variant>
      <vt:variant>
        <vt:i4>1769521</vt:i4>
      </vt:variant>
      <vt:variant>
        <vt:i4>254</vt:i4>
      </vt:variant>
      <vt:variant>
        <vt:i4>0</vt:i4>
      </vt:variant>
      <vt:variant>
        <vt:i4>5</vt:i4>
      </vt:variant>
      <vt:variant>
        <vt:lpwstr/>
      </vt:variant>
      <vt:variant>
        <vt:lpwstr>_Toc222499831</vt:lpwstr>
      </vt:variant>
      <vt:variant>
        <vt:i4>1769521</vt:i4>
      </vt:variant>
      <vt:variant>
        <vt:i4>248</vt:i4>
      </vt:variant>
      <vt:variant>
        <vt:i4>0</vt:i4>
      </vt:variant>
      <vt:variant>
        <vt:i4>5</vt:i4>
      </vt:variant>
      <vt:variant>
        <vt:lpwstr/>
      </vt:variant>
      <vt:variant>
        <vt:lpwstr>_Toc222499830</vt:lpwstr>
      </vt:variant>
      <vt:variant>
        <vt:i4>1703985</vt:i4>
      </vt:variant>
      <vt:variant>
        <vt:i4>242</vt:i4>
      </vt:variant>
      <vt:variant>
        <vt:i4>0</vt:i4>
      </vt:variant>
      <vt:variant>
        <vt:i4>5</vt:i4>
      </vt:variant>
      <vt:variant>
        <vt:lpwstr/>
      </vt:variant>
      <vt:variant>
        <vt:lpwstr>_Toc222499829</vt:lpwstr>
      </vt:variant>
      <vt:variant>
        <vt:i4>1703985</vt:i4>
      </vt:variant>
      <vt:variant>
        <vt:i4>236</vt:i4>
      </vt:variant>
      <vt:variant>
        <vt:i4>0</vt:i4>
      </vt:variant>
      <vt:variant>
        <vt:i4>5</vt:i4>
      </vt:variant>
      <vt:variant>
        <vt:lpwstr/>
      </vt:variant>
      <vt:variant>
        <vt:lpwstr>_Toc222499828</vt:lpwstr>
      </vt:variant>
      <vt:variant>
        <vt:i4>1703985</vt:i4>
      </vt:variant>
      <vt:variant>
        <vt:i4>230</vt:i4>
      </vt:variant>
      <vt:variant>
        <vt:i4>0</vt:i4>
      </vt:variant>
      <vt:variant>
        <vt:i4>5</vt:i4>
      </vt:variant>
      <vt:variant>
        <vt:lpwstr/>
      </vt:variant>
      <vt:variant>
        <vt:lpwstr>_Toc222499827</vt:lpwstr>
      </vt:variant>
      <vt:variant>
        <vt:i4>1703985</vt:i4>
      </vt:variant>
      <vt:variant>
        <vt:i4>224</vt:i4>
      </vt:variant>
      <vt:variant>
        <vt:i4>0</vt:i4>
      </vt:variant>
      <vt:variant>
        <vt:i4>5</vt:i4>
      </vt:variant>
      <vt:variant>
        <vt:lpwstr/>
      </vt:variant>
      <vt:variant>
        <vt:lpwstr>_Toc222499826</vt:lpwstr>
      </vt:variant>
      <vt:variant>
        <vt:i4>1703985</vt:i4>
      </vt:variant>
      <vt:variant>
        <vt:i4>218</vt:i4>
      </vt:variant>
      <vt:variant>
        <vt:i4>0</vt:i4>
      </vt:variant>
      <vt:variant>
        <vt:i4>5</vt:i4>
      </vt:variant>
      <vt:variant>
        <vt:lpwstr/>
      </vt:variant>
      <vt:variant>
        <vt:lpwstr>_Toc222499825</vt:lpwstr>
      </vt:variant>
      <vt:variant>
        <vt:i4>1703985</vt:i4>
      </vt:variant>
      <vt:variant>
        <vt:i4>212</vt:i4>
      </vt:variant>
      <vt:variant>
        <vt:i4>0</vt:i4>
      </vt:variant>
      <vt:variant>
        <vt:i4>5</vt:i4>
      </vt:variant>
      <vt:variant>
        <vt:lpwstr/>
      </vt:variant>
      <vt:variant>
        <vt:lpwstr>_Toc222499824</vt:lpwstr>
      </vt:variant>
      <vt:variant>
        <vt:i4>1703985</vt:i4>
      </vt:variant>
      <vt:variant>
        <vt:i4>206</vt:i4>
      </vt:variant>
      <vt:variant>
        <vt:i4>0</vt:i4>
      </vt:variant>
      <vt:variant>
        <vt:i4>5</vt:i4>
      </vt:variant>
      <vt:variant>
        <vt:lpwstr/>
      </vt:variant>
      <vt:variant>
        <vt:lpwstr>_Toc222499823</vt:lpwstr>
      </vt:variant>
      <vt:variant>
        <vt:i4>1703985</vt:i4>
      </vt:variant>
      <vt:variant>
        <vt:i4>200</vt:i4>
      </vt:variant>
      <vt:variant>
        <vt:i4>0</vt:i4>
      </vt:variant>
      <vt:variant>
        <vt:i4>5</vt:i4>
      </vt:variant>
      <vt:variant>
        <vt:lpwstr/>
      </vt:variant>
      <vt:variant>
        <vt:lpwstr>_Toc222499822</vt:lpwstr>
      </vt:variant>
      <vt:variant>
        <vt:i4>1703985</vt:i4>
      </vt:variant>
      <vt:variant>
        <vt:i4>194</vt:i4>
      </vt:variant>
      <vt:variant>
        <vt:i4>0</vt:i4>
      </vt:variant>
      <vt:variant>
        <vt:i4>5</vt:i4>
      </vt:variant>
      <vt:variant>
        <vt:lpwstr/>
      </vt:variant>
      <vt:variant>
        <vt:lpwstr>_Toc222499821</vt:lpwstr>
      </vt:variant>
      <vt:variant>
        <vt:i4>1703985</vt:i4>
      </vt:variant>
      <vt:variant>
        <vt:i4>188</vt:i4>
      </vt:variant>
      <vt:variant>
        <vt:i4>0</vt:i4>
      </vt:variant>
      <vt:variant>
        <vt:i4>5</vt:i4>
      </vt:variant>
      <vt:variant>
        <vt:lpwstr/>
      </vt:variant>
      <vt:variant>
        <vt:lpwstr>_Toc222499820</vt:lpwstr>
      </vt:variant>
      <vt:variant>
        <vt:i4>1638449</vt:i4>
      </vt:variant>
      <vt:variant>
        <vt:i4>182</vt:i4>
      </vt:variant>
      <vt:variant>
        <vt:i4>0</vt:i4>
      </vt:variant>
      <vt:variant>
        <vt:i4>5</vt:i4>
      </vt:variant>
      <vt:variant>
        <vt:lpwstr/>
      </vt:variant>
      <vt:variant>
        <vt:lpwstr>_Toc222499819</vt:lpwstr>
      </vt:variant>
      <vt:variant>
        <vt:i4>1638449</vt:i4>
      </vt:variant>
      <vt:variant>
        <vt:i4>176</vt:i4>
      </vt:variant>
      <vt:variant>
        <vt:i4>0</vt:i4>
      </vt:variant>
      <vt:variant>
        <vt:i4>5</vt:i4>
      </vt:variant>
      <vt:variant>
        <vt:lpwstr/>
      </vt:variant>
      <vt:variant>
        <vt:lpwstr>_Toc222499818</vt:lpwstr>
      </vt:variant>
      <vt:variant>
        <vt:i4>1638449</vt:i4>
      </vt:variant>
      <vt:variant>
        <vt:i4>170</vt:i4>
      </vt:variant>
      <vt:variant>
        <vt:i4>0</vt:i4>
      </vt:variant>
      <vt:variant>
        <vt:i4>5</vt:i4>
      </vt:variant>
      <vt:variant>
        <vt:lpwstr/>
      </vt:variant>
      <vt:variant>
        <vt:lpwstr>_Toc222499817</vt:lpwstr>
      </vt:variant>
      <vt:variant>
        <vt:i4>1638449</vt:i4>
      </vt:variant>
      <vt:variant>
        <vt:i4>164</vt:i4>
      </vt:variant>
      <vt:variant>
        <vt:i4>0</vt:i4>
      </vt:variant>
      <vt:variant>
        <vt:i4>5</vt:i4>
      </vt:variant>
      <vt:variant>
        <vt:lpwstr/>
      </vt:variant>
      <vt:variant>
        <vt:lpwstr>_Toc222499816</vt:lpwstr>
      </vt:variant>
      <vt:variant>
        <vt:i4>1638449</vt:i4>
      </vt:variant>
      <vt:variant>
        <vt:i4>158</vt:i4>
      </vt:variant>
      <vt:variant>
        <vt:i4>0</vt:i4>
      </vt:variant>
      <vt:variant>
        <vt:i4>5</vt:i4>
      </vt:variant>
      <vt:variant>
        <vt:lpwstr/>
      </vt:variant>
      <vt:variant>
        <vt:lpwstr>_Toc222499815</vt:lpwstr>
      </vt:variant>
      <vt:variant>
        <vt:i4>1638449</vt:i4>
      </vt:variant>
      <vt:variant>
        <vt:i4>152</vt:i4>
      </vt:variant>
      <vt:variant>
        <vt:i4>0</vt:i4>
      </vt:variant>
      <vt:variant>
        <vt:i4>5</vt:i4>
      </vt:variant>
      <vt:variant>
        <vt:lpwstr/>
      </vt:variant>
      <vt:variant>
        <vt:lpwstr>_Toc222499814</vt:lpwstr>
      </vt:variant>
      <vt:variant>
        <vt:i4>1638449</vt:i4>
      </vt:variant>
      <vt:variant>
        <vt:i4>146</vt:i4>
      </vt:variant>
      <vt:variant>
        <vt:i4>0</vt:i4>
      </vt:variant>
      <vt:variant>
        <vt:i4>5</vt:i4>
      </vt:variant>
      <vt:variant>
        <vt:lpwstr/>
      </vt:variant>
      <vt:variant>
        <vt:lpwstr>_Toc222499813</vt:lpwstr>
      </vt:variant>
      <vt:variant>
        <vt:i4>1638449</vt:i4>
      </vt:variant>
      <vt:variant>
        <vt:i4>140</vt:i4>
      </vt:variant>
      <vt:variant>
        <vt:i4>0</vt:i4>
      </vt:variant>
      <vt:variant>
        <vt:i4>5</vt:i4>
      </vt:variant>
      <vt:variant>
        <vt:lpwstr/>
      </vt:variant>
      <vt:variant>
        <vt:lpwstr>_Toc222499812</vt:lpwstr>
      </vt:variant>
      <vt:variant>
        <vt:i4>1638449</vt:i4>
      </vt:variant>
      <vt:variant>
        <vt:i4>134</vt:i4>
      </vt:variant>
      <vt:variant>
        <vt:i4>0</vt:i4>
      </vt:variant>
      <vt:variant>
        <vt:i4>5</vt:i4>
      </vt:variant>
      <vt:variant>
        <vt:lpwstr/>
      </vt:variant>
      <vt:variant>
        <vt:lpwstr>_Toc222499811</vt:lpwstr>
      </vt:variant>
      <vt:variant>
        <vt:i4>1638449</vt:i4>
      </vt:variant>
      <vt:variant>
        <vt:i4>128</vt:i4>
      </vt:variant>
      <vt:variant>
        <vt:i4>0</vt:i4>
      </vt:variant>
      <vt:variant>
        <vt:i4>5</vt:i4>
      </vt:variant>
      <vt:variant>
        <vt:lpwstr/>
      </vt:variant>
      <vt:variant>
        <vt:lpwstr>_Toc222499810</vt:lpwstr>
      </vt:variant>
      <vt:variant>
        <vt:i4>1572913</vt:i4>
      </vt:variant>
      <vt:variant>
        <vt:i4>122</vt:i4>
      </vt:variant>
      <vt:variant>
        <vt:i4>0</vt:i4>
      </vt:variant>
      <vt:variant>
        <vt:i4>5</vt:i4>
      </vt:variant>
      <vt:variant>
        <vt:lpwstr/>
      </vt:variant>
      <vt:variant>
        <vt:lpwstr>_Toc222499809</vt:lpwstr>
      </vt:variant>
      <vt:variant>
        <vt:i4>1572913</vt:i4>
      </vt:variant>
      <vt:variant>
        <vt:i4>116</vt:i4>
      </vt:variant>
      <vt:variant>
        <vt:i4>0</vt:i4>
      </vt:variant>
      <vt:variant>
        <vt:i4>5</vt:i4>
      </vt:variant>
      <vt:variant>
        <vt:lpwstr/>
      </vt:variant>
      <vt:variant>
        <vt:lpwstr>_Toc222499808</vt:lpwstr>
      </vt:variant>
      <vt:variant>
        <vt:i4>1572913</vt:i4>
      </vt:variant>
      <vt:variant>
        <vt:i4>110</vt:i4>
      </vt:variant>
      <vt:variant>
        <vt:i4>0</vt:i4>
      </vt:variant>
      <vt:variant>
        <vt:i4>5</vt:i4>
      </vt:variant>
      <vt:variant>
        <vt:lpwstr/>
      </vt:variant>
      <vt:variant>
        <vt:lpwstr>_Toc222499807</vt:lpwstr>
      </vt:variant>
      <vt:variant>
        <vt:i4>1572913</vt:i4>
      </vt:variant>
      <vt:variant>
        <vt:i4>104</vt:i4>
      </vt:variant>
      <vt:variant>
        <vt:i4>0</vt:i4>
      </vt:variant>
      <vt:variant>
        <vt:i4>5</vt:i4>
      </vt:variant>
      <vt:variant>
        <vt:lpwstr/>
      </vt:variant>
      <vt:variant>
        <vt:lpwstr>_Toc222499806</vt:lpwstr>
      </vt:variant>
      <vt:variant>
        <vt:i4>1572913</vt:i4>
      </vt:variant>
      <vt:variant>
        <vt:i4>98</vt:i4>
      </vt:variant>
      <vt:variant>
        <vt:i4>0</vt:i4>
      </vt:variant>
      <vt:variant>
        <vt:i4>5</vt:i4>
      </vt:variant>
      <vt:variant>
        <vt:lpwstr/>
      </vt:variant>
      <vt:variant>
        <vt:lpwstr>_Toc222499805</vt:lpwstr>
      </vt:variant>
      <vt:variant>
        <vt:i4>1572913</vt:i4>
      </vt:variant>
      <vt:variant>
        <vt:i4>92</vt:i4>
      </vt:variant>
      <vt:variant>
        <vt:i4>0</vt:i4>
      </vt:variant>
      <vt:variant>
        <vt:i4>5</vt:i4>
      </vt:variant>
      <vt:variant>
        <vt:lpwstr/>
      </vt:variant>
      <vt:variant>
        <vt:lpwstr>_Toc222499804</vt:lpwstr>
      </vt:variant>
      <vt:variant>
        <vt:i4>1572913</vt:i4>
      </vt:variant>
      <vt:variant>
        <vt:i4>86</vt:i4>
      </vt:variant>
      <vt:variant>
        <vt:i4>0</vt:i4>
      </vt:variant>
      <vt:variant>
        <vt:i4>5</vt:i4>
      </vt:variant>
      <vt:variant>
        <vt:lpwstr/>
      </vt:variant>
      <vt:variant>
        <vt:lpwstr>_Toc222499803</vt:lpwstr>
      </vt:variant>
      <vt:variant>
        <vt:i4>1572913</vt:i4>
      </vt:variant>
      <vt:variant>
        <vt:i4>80</vt:i4>
      </vt:variant>
      <vt:variant>
        <vt:i4>0</vt:i4>
      </vt:variant>
      <vt:variant>
        <vt:i4>5</vt:i4>
      </vt:variant>
      <vt:variant>
        <vt:lpwstr/>
      </vt:variant>
      <vt:variant>
        <vt:lpwstr>_Toc222499802</vt:lpwstr>
      </vt:variant>
      <vt:variant>
        <vt:i4>1572913</vt:i4>
      </vt:variant>
      <vt:variant>
        <vt:i4>74</vt:i4>
      </vt:variant>
      <vt:variant>
        <vt:i4>0</vt:i4>
      </vt:variant>
      <vt:variant>
        <vt:i4>5</vt:i4>
      </vt:variant>
      <vt:variant>
        <vt:lpwstr/>
      </vt:variant>
      <vt:variant>
        <vt:lpwstr>_Toc222499801</vt:lpwstr>
      </vt:variant>
      <vt:variant>
        <vt:i4>1572913</vt:i4>
      </vt:variant>
      <vt:variant>
        <vt:i4>68</vt:i4>
      </vt:variant>
      <vt:variant>
        <vt:i4>0</vt:i4>
      </vt:variant>
      <vt:variant>
        <vt:i4>5</vt:i4>
      </vt:variant>
      <vt:variant>
        <vt:lpwstr/>
      </vt:variant>
      <vt:variant>
        <vt:lpwstr>_Toc222499800</vt:lpwstr>
      </vt:variant>
      <vt:variant>
        <vt:i4>1114174</vt:i4>
      </vt:variant>
      <vt:variant>
        <vt:i4>62</vt:i4>
      </vt:variant>
      <vt:variant>
        <vt:i4>0</vt:i4>
      </vt:variant>
      <vt:variant>
        <vt:i4>5</vt:i4>
      </vt:variant>
      <vt:variant>
        <vt:lpwstr/>
      </vt:variant>
      <vt:variant>
        <vt:lpwstr>_Toc222499799</vt:lpwstr>
      </vt:variant>
      <vt:variant>
        <vt:i4>1114174</vt:i4>
      </vt:variant>
      <vt:variant>
        <vt:i4>56</vt:i4>
      </vt:variant>
      <vt:variant>
        <vt:i4>0</vt:i4>
      </vt:variant>
      <vt:variant>
        <vt:i4>5</vt:i4>
      </vt:variant>
      <vt:variant>
        <vt:lpwstr/>
      </vt:variant>
      <vt:variant>
        <vt:lpwstr>_Toc222499798</vt:lpwstr>
      </vt:variant>
      <vt:variant>
        <vt:i4>1114174</vt:i4>
      </vt:variant>
      <vt:variant>
        <vt:i4>50</vt:i4>
      </vt:variant>
      <vt:variant>
        <vt:i4>0</vt:i4>
      </vt:variant>
      <vt:variant>
        <vt:i4>5</vt:i4>
      </vt:variant>
      <vt:variant>
        <vt:lpwstr/>
      </vt:variant>
      <vt:variant>
        <vt:lpwstr>_Toc222499797</vt:lpwstr>
      </vt:variant>
      <vt:variant>
        <vt:i4>1114174</vt:i4>
      </vt:variant>
      <vt:variant>
        <vt:i4>44</vt:i4>
      </vt:variant>
      <vt:variant>
        <vt:i4>0</vt:i4>
      </vt:variant>
      <vt:variant>
        <vt:i4>5</vt:i4>
      </vt:variant>
      <vt:variant>
        <vt:lpwstr/>
      </vt:variant>
      <vt:variant>
        <vt:lpwstr>_Toc222499796</vt:lpwstr>
      </vt:variant>
      <vt:variant>
        <vt:i4>1114174</vt:i4>
      </vt:variant>
      <vt:variant>
        <vt:i4>38</vt:i4>
      </vt:variant>
      <vt:variant>
        <vt:i4>0</vt:i4>
      </vt:variant>
      <vt:variant>
        <vt:i4>5</vt:i4>
      </vt:variant>
      <vt:variant>
        <vt:lpwstr/>
      </vt:variant>
      <vt:variant>
        <vt:lpwstr>_Toc222499795</vt:lpwstr>
      </vt:variant>
      <vt:variant>
        <vt:i4>1114174</vt:i4>
      </vt:variant>
      <vt:variant>
        <vt:i4>32</vt:i4>
      </vt:variant>
      <vt:variant>
        <vt:i4>0</vt:i4>
      </vt:variant>
      <vt:variant>
        <vt:i4>5</vt:i4>
      </vt:variant>
      <vt:variant>
        <vt:lpwstr/>
      </vt:variant>
      <vt:variant>
        <vt:lpwstr>_Toc222499794</vt:lpwstr>
      </vt:variant>
      <vt:variant>
        <vt:i4>1114174</vt:i4>
      </vt:variant>
      <vt:variant>
        <vt:i4>26</vt:i4>
      </vt:variant>
      <vt:variant>
        <vt:i4>0</vt:i4>
      </vt:variant>
      <vt:variant>
        <vt:i4>5</vt:i4>
      </vt:variant>
      <vt:variant>
        <vt:lpwstr/>
      </vt:variant>
      <vt:variant>
        <vt:lpwstr>_Toc222499793</vt:lpwstr>
      </vt:variant>
      <vt:variant>
        <vt:i4>1114174</vt:i4>
      </vt:variant>
      <vt:variant>
        <vt:i4>20</vt:i4>
      </vt:variant>
      <vt:variant>
        <vt:i4>0</vt:i4>
      </vt:variant>
      <vt:variant>
        <vt:i4>5</vt:i4>
      </vt:variant>
      <vt:variant>
        <vt:lpwstr/>
      </vt:variant>
      <vt:variant>
        <vt:lpwstr>_Toc222499792</vt:lpwstr>
      </vt:variant>
      <vt:variant>
        <vt:i4>1114174</vt:i4>
      </vt:variant>
      <vt:variant>
        <vt:i4>14</vt:i4>
      </vt:variant>
      <vt:variant>
        <vt:i4>0</vt:i4>
      </vt:variant>
      <vt:variant>
        <vt:i4>5</vt:i4>
      </vt:variant>
      <vt:variant>
        <vt:lpwstr/>
      </vt:variant>
      <vt:variant>
        <vt:lpwstr>_Toc222499791</vt:lpwstr>
      </vt:variant>
      <vt:variant>
        <vt:i4>1114174</vt:i4>
      </vt:variant>
      <vt:variant>
        <vt:i4>8</vt:i4>
      </vt:variant>
      <vt:variant>
        <vt:i4>0</vt:i4>
      </vt:variant>
      <vt:variant>
        <vt:i4>5</vt:i4>
      </vt:variant>
      <vt:variant>
        <vt:lpwstr/>
      </vt:variant>
      <vt:variant>
        <vt:lpwstr>_Toc222499790</vt:lpwstr>
      </vt:variant>
      <vt:variant>
        <vt:i4>1048638</vt:i4>
      </vt:variant>
      <vt:variant>
        <vt:i4>2</vt:i4>
      </vt:variant>
      <vt:variant>
        <vt:i4>0</vt:i4>
      </vt:variant>
      <vt:variant>
        <vt:i4>5</vt:i4>
      </vt:variant>
      <vt:variant>
        <vt:lpwstr/>
      </vt:variant>
      <vt:variant>
        <vt:lpwstr>_Toc222499789</vt:lpwstr>
      </vt:variant>
      <vt:variant>
        <vt:i4>4390974</vt:i4>
      </vt:variant>
      <vt:variant>
        <vt:i4>0</vt:i4>
      </vt:variant>
      <vt:variant>
        <vt:i4>0</vt:i4>
      </vt:variant>
      <vt:variant>
        <vt:i4>5</vt:i4>
      </vt:variant>
      <vt:variant>
        <vt:lpwstr>mailto:mail@energy-mrc.com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Thomson</dc:creator>
  <cp:keywords/>
  <dc:description/>
  <cp:lastModifiedBy>Martins Umunna</cp:lastModifiedBy>
  <cp:revision>44</cp:revision>
  <cp:lastPrinted>2023-04-05T16:28:00Z</cp:lastPrinted>
  <dcterms:created xsi:type="dcterms:W3CDTF">2026-04-11T08:48:00Z</dcterms:created>
  <dcterms:modified xsi:type="dcterms:W3CDTF">2026-04-20T17:11:00Z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0x010100B08577A63678D34E9FB4E0F9BE5B04DC</vt:lpwstr>
  </property>
  <property fmtid="{D5CDD505-2E9C-101B-9397-08002B2CF9AE}" pid="3" name="MediaServiceImageTags">
    <vt:lpwstr/>
  </property>
</Properties>
</file>