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Market-of-interest petrol and diesel outlook to 2030: model documentation</w:t>
      </w:r>
    </w:p>
    <w:p>
      <w:r>
        <w:rPr>
          <w:b w:val="0"/>
        </w:rPr>
        <w:t>Prepared by Manish Ramjeawon for Nigel Zhuwaki's review, 14 October 2026. Draft: the changes from the analytical workbook v02 are proposals for your decision, not adopted inputs.</w:t>
      </w:r>
    </w:p>
    <w:p>
      <w:pPr>
        <w:pStyle w:val="Heading1"/>
      </w:pPr>
      <w:r>
        <w:t>1. What the model does</w:t>
      </w:r>
    </w:p>
    <w:p>
      <w:r>
        <w:rPr>
          <w:b w:val="0"/>
        </w:rPr>
        <w:t>It forecasts petrol and diesel demand from 2025 to 2030 for the market of interest (Gauteng, KwaZulu-Natal, Mpumalanga, Free State, North West, Limpopo) under Low, Base and High demand cases, and the volume that has to be brought into the area after Secunda and Natref output. It feeds pp16, 17, 19 and 20 of the South Africa market outlook pack (13102026_South_Africa_Market_Outlook_v1002).</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2030, bn L</w:t>
            </w:r>
          </w:p>
        </w:tc>
        <w:tc>
          <w:tcPr>
            <w:tcW w:type="dxa" w:w="2160"/>
          </w:tcPr>
          <w:p>
            <w:r>
              <w:rPr>
                <w:b/>
                <w:sz w:val="18"/>
              </w:rPr>
              <w:t>Low</w:t>
            </w:r>
          </w:p>
        </w:tc>
        <w:tc>
          <w:tcPr>
            <w:tcW w:type="dxa" w:w="2160"/>
          </w:tcPr>
          <w:p>
            <w:r>
              <w:rPr>
                <w:b/>
                <w:sz w:val="18"/>
              </w:rPr>
              <w:t>Base</w:t>
            </w:r>
          </w:p>
        </w:tc>
        <w:tc>
          <w:tcPr>
            <w:tcW w:type="dxa" w:w="2160"/>
          </w:tcPr>
          <w:p>
            <w:r>
              <w:rPr>
                <w:b/>
                <w:sz w:val="18"/>
              </w:rPr>
              <w:t>High</w:t>
            </w:r>
          </w:p>
        </w:tc>
      </w:tr>
      <w:tr>
        <w:tc>
          <w:tcPr>
            <w:tcW w:type="dxa" w:w="2160"/>
          </w:tcPr>
          <w:p>
            <w:r>
              <w:rPr>
                <w:b w:val="0"/>
                <w:sz w:val="18"/>
              </w:rPr>
              <w:t>Petrol</w:t>
            </w:r>
          </w:p>
        </w:tc>
        <w:tc>
          <w:tcPr>
            <w:tcW w:type="dxa" w:w="2160"/>
          </w:tcPr>
          <w:p>
            <w:r>
              <w:rPr>
                <w:b w:val="0"/>
                <w:sz w:val="18"/>
              </w:rPr>
              <w:t>6.5</w:t>
            </w:r>
          </w:p>
        </w:tc>
        <w:tc>
          <w:tcPr>
            <w:tcW w:type="dxa" w:w="2160"/>
          </w:tcPr>
          <w:p>
            <w:r>
              <w:rPr>
                <w:b w:val="0"/>
                <w:sz w:val="18"/>
              </w:rPr>
              <w:t>6.9</w:t>
            </w:r>
          </w:p>
        </w:tc>
        <w:tc>
          <w:tcPr>
            <w:tcW w:type="dxa" w:w="2160"/>
          </w:tcPr>
          <w:p>
            <w:r>
              <w:rPr>
                <w:b w:val="0"/>
                <w:sz w:val="18"/>
              </w:rPr>
              <w:t>7.4</w:t>
            </w:r>
          </w:p>
        </w:tc>
      </w:tr>
      <w:tr>
        <w:tc>
          <w:tcPr>
            <w:tcW w:type="dxa" w:w="2160"/>
          </w:tcPr>
          <w:p>
            <w:r>
              <w:rPr>
                <w:b w:val="0"/>
                <w:sz w:val="18"/>
              </w:rPr>
              <w:t>Diesel</w:t>
            </w:r>
          </w:p>
        </w:tc>
        <w:tc>
          <w:tcPr>
            <w:tcW w:type="dxa" w:w="2160"/>
          </w:tcPr>
          <w:p>
            <w:r>
              <w:rPr>
                <w:b w:val="0"/>
                <w:sz w:val="18"/>
              </w:rPr>
              <w:t>11.2</w:t>
            </w:r>
          </w:p>
        </w:tc>
        <w:tc>
          <w:tcPr>
            <w:tcW w:type="dxa" w:w="2160"/>
          </w:tcPr>
          <w:p>
            <w:r>
              <w:rPr>
                <w:b w:val="0"/>
                <w:sz w:val="18"/>
              </w:rPr>
              <w:t>11.9</w:t>
            </w:r>
          </w:p>
        </w:tc>
        <w:tc>
          <w:tcPr>
            <w:tcW w:type="dxa" w:w="2160"/>
          </w:tcPr>
          <w:p>
            <w:r>
              <w:rPr>
                <w:b w:val="0"/>
                <w:sz w:val="18"/>
              </w:rPr>
              <w:t>12.8</w:t>
            </w:r>
          </w:p>
        </w:tc>
      </w:tr>
      <w:tr>
        <w:tc>
          <w:tcPr>
            <w:tcW w:type="dxa" w:w="2160"/>
          </w:tcPr>
          <w:p>
            <w:r>
              <w:rPr>
                <w:b w:val="0"/>
                <w:sz w:val="18"/>
              </w:rPr>
              <w:t>Total</w:t>
            </w:r>
          </w:p>
        </w:tc>
        <w:tc>
          <w:tcPr>
            <w:tcW w:type="dxa" w:w="2160"/>
          </w:tcPr>
          <w:p>
            <w:r>
              <w:rPr>
                <w:b w:val="0"/>
                <w:sz w:val="18"/>
              </w:rPr>
              <w:t>17.6</w:t>
            </w:r>
          </w:p>
        </w:tc>
        <w:tc>
          <w:tcPr>
            <w:tcW w:type="dxa" w:w="2160"/>
          </w:tcPr>
          <w:p>
            <w:r>
              <w:rPr>
                <w:b w:val="0"/>
                <w:sz w:val="18"/>
              </w:rPr>
              <w:t>18.8</w:t>
            </w:r>
          </w:p>
        </w:tc>
        <w:tc>
          <w:tcPr>
            <w:tcW w:type="dxa" w:w="2160"/>
          </w:tcPr>
          <w:p>
            <w:r>
              <w:rPr>
                <w:b w:val="0"/>
                <w:sz w:val="18"/>
              </w:rPr>
              <w:t>20.2</w:t>
            </w:r>
          </w:p>
        </w:tc>
      </w:tr>
      <w:tr>
        <w:tc>
          <w:tcPr>
            <w:tcW w:type="dxa" w:w="2160"/>
          </w:tcPr>
          <w:p>
            <w:r>
              <w:rPr>
                <w:b w:val="0"/>
                <w:sz w:val="18"/>
              </w:rPr>
              <w:t>Brought in (total less 6.3bn L Secunda + Natref)</w:t>
            </w:r>
          </w:p>
        </w:tc>
        <w:tc>
          <w:tcPr>
            <w:tcW w:type="dxa" w:w="2160"/>
          </w:tcPr>
          <w:p>
            <w:r>
              <w:rPr>
                <w:b w:val="0"/>
                <w:sz w:val="18"/>
              </w:rPr>
              <w:t>11.3</w:t>
            </w:r>
          </w:p>
        </w:tc>
        <w:tc>
          <w:tcPr>
            <w:tcW w:type="dxa" w:w="2160"/>
          </w:tcPr>
          <w:p>
            <w:r>
              <w:rPr>
                <w:b w:val="0"/>
                <w:sz w:val="18"/>
              </w:rPr>
              <w:t>12.5</w:t>
            </w:r>
          </w:p>
        </w:tc>
        <w:tc>
          <w:tcPr>
            <w:tcW w:type="dxa" w:w="2160"/>
          </w:tcPr>
          <w:p>
            <w:r>
              <w:rPr>
                <w:b w:val="0"/>
                <w:sz w:val="18"/>
              </w:rPr>
              <w:t>13.9</w:t>
            </w:r>
          </w:p>
        </w:tc>
      </w:tr>
    </w:tbl>
    <w:p/>
    <w:p>
      <w:pPr>
        <w:pStyle w:val="Heading1"/>
      </w:pPr>
      <w:r>
        <w:t>2. Files and how to run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Role</w:t>
            </w:r>
          </w:p>
        </w:tc>
      </w:tr>
      <w:tr>
        <w:tc>
          <w:tcPr>
            <w:tcW w:type="dxa" w:w="4320"/>
          </w:tcPr>
          <w:p>
            <w:r>
              <w:rPr>
                <w:b w:val="0"/>
                <w:sz w:val="18"/>
              </w:rPr>
              <w:t>s13_2025.py</w:t>
            </w:r>
          </w:p>
        </w:tc>
        <w:tc>
          <w:tcPr>
            <w:tcW w:type="dxa" w:w="4320"/>
          </w:tcPr>
          <w:p>
            <w:r>
              <w:rPr>
                <w:b w:val="0"/>
                <w:sz w:val="18"/>
              </w:rPr>
              <w:t>Step 1-2: national 2025 demand (production + imports - exports) and the market-of-interest share from 2022 district sales; writes moi_2025.json (and builds pack slide 13).</w:t>
            </w:r>
          </w:p>
        </w:tc>
      </w:tr>
      <w:tr>
        <w:tc>
          <w:tcPr>
            <w:tcW w:type="dxa" w:w="4320"/>
          </w:tcPr>
          <w:p>
            <w:r>
              <w:rPr>
                <w:b w:val="0"/>
                <w:sz w:val="18"/>
              </w:rPr>
              <w:t>moi_forecast.py</w:t>
            </w:r>
          </w:p>
        </w:tc>
        <w:tc>
          <w:tcPr>
            <w:tcW w:type="dxa" w:w="4320"/>
          </w:tcPr>
          <w:p>
            <w:r>
              <w:rPr>
                <w:b w:val="0"/>
                <w:sz w:val="18"/>
              </w:rPr>
              <w:t>Steps 3-5: splits 2025 demand into uses, applies the drivers to 2030 for each case; writes moi_forecast.json.</w:t>
            </w:r>
          </w:p>
        </w:tc>
      </w:tr>
      <w:tr>
        <w:tc>
          <w:tcPr>
            <w:tcW w:type="dxa" w:w="4320"/>
          </w:tcPr>
          <w:p>
            <w:r>
              <w:rPr>
                <w:b w:val="0"/>
                <w:sz w:val="18"/>
              </w:rPr>
              <w:t>moi_2025.json</w:t>
            </w:r>
          </w:p>
        </w:tc>
        <w:tc>
          <w:tcPr>
            <w:tcW w:type="dxa" w:w="4320"/>
          </w:tcPr>
          <w:p>
            <w:r>
              <w:rPr>
                <w:b w:val="0"/>
                <w:sz w:val="18"/>
              </w:rPr>
              <w:t>2025 starting point: national and market-of-interest petrol and diesel, Secunda + Natref output, district table.</w:t>
            </w:r>
          </w:p>
        </w:tc>
      </w:tr>
      <w:tr>
        <w:tc>
          <w:tcPr>
            <w:tcW w:type="dxa" w:w="4320"/>
          </w:tcPr>
          <w:p>
            <w:r>
              <w:rPr>
                <w:b w:val="0"/>
                <w:sz w:val="18"/>
              </w:rPr>
              <w:t>moi_forecast.json</w:t>
            </w:r>
          </w:p>
        </w:tc>
        <w:tc>
          <w:tcPr>
            <w:tcW w:type="dxa" w:w="4320"/>
          </w:tcPr>
          <w:p>
            <w:r>
              <w:rPr>
                <w:b w:val="0"/>
                <w:sz w:val="18"/>
              </w:rPr>
              <w:t>All assumptions used and results by case, year and use.</w:t>
            </w:r>
          </w:p>
        </w:tc>
      </w:tr>
      <w:tr>
        <w:tc>
          <w:tcPr>
            <w:tcW w:type="dxa" w:w="4320"/>
          </w:tcPr>
          <w:p>
            <w:r>
              <w:rPr>
                <w:b w:val="0"/>
                <w:sz w:val="18"/>
              </w:rPr>
              <w:t>moi_forecast_results.csv</w:t>
            </w:r>
          </w:p>
        </w:tc>
        <w:tc>
          <w:tcPr>
            <w:tcW w:type="dxa" w:w="4320"/>
          </w:tcPr>
          <w:p>
            <w:r>
              <w:rPr>
                <w:b w:val="0"/>
                <w:sz w:val="18"/>
              </w:rPr>
              <w:t>Same results as a flat table (case, year, petrol, diesel, total, brought in, each use).</w:t>
            </w:r>
          </w:p>
        </w:tc>
      </w:tr>
    </w:tbl>
    <w:p/>
    <w:p>
      <w:r>
        <w:rPr>
          <w:b w:val="0"/>
        </w:rPr>
        <w:t>Run from the repository root (liquid_fuels_model), with this folder's path for the scripts:</w:t>
      </w:r>
    </w:p>
    <w:p>
      <w:r>
        <w:rPr>
          <w:b w:val="0"/>
        </w:rPr>
        <w:t>python s13_2025.py PACK16.pptx OUT.pptx REPO_ROOT    then    python moi_forecast.py REPO_ROOT moi_forecast.json</w:t>
      </w:r>
    </w:p>
    <w:p>
      <w:r>
        <w:rPr>
          <w:b w:val="0"/>
        </w:rPr>
        <w:t>Inputs come from the repository: assumptions/2026/reference/refinery_output_operators.csv; timeseries fuel_trade_sars.csv, fuel_prices_department.csv, vehicle_population_natis.csv, new_vehicle_registrations_natis_annual.csv; reference vehicle_parameters_stone2018.csv; data/raw/energy_dept/fsv_district/2022-Quarter4-Magisterial-Districts-data.xlsx; and output/delivered/sa_analytics_2026_10_11_v02/analytics.json (Segments, Plant supply and Evidence sheets).</w:t>
      </w:r>
    </w:p>
    <w:p>
      <w:pPr>
        <w:pStyle w:val="Heading1"/>
      </w:pPr>
      <w:r>
        <w:t>3. Method, step by step</w:t>
      </w:r>
    </w:p>
    <w:p>
      <w:pPr>
        <w:pStyle w:val="Heading2"/>
      </w:pPr>
      <w:r>
        <w:t>Step 1. National demand in 2025</w:t>
      </w:r>
    </w:p>
    <w:p>
      <w:r>
        <w:rPr>
          <w:b w:val="0"/>
        </w:rPr>
        <w:t>Demand = production + imports - exports, stock change nil. Production: Sasol's reported Secunda fuels output and Natref output (scaled from Sasol's 63.64% share) and Glencore's Astron output, converted to litres with the workbook's plant shares. Trade: SARS customs, calendar 2025. Result: petrol 9.29bn L, diesel 16.09bn L, total 25.4bn L (the workbook's sales-based 2025 figure is 21.0bn L; the gap is almost all diesel).</w:t>
      </w:r>
    </w:p>
    <w:p>
      <w:pPr>
        <w:pStyle w:val="Heading2"/>
      </w:pPr>
      <w:r>
        <w:t>Step 2. Market of interest in 2025</w:t>
      </w:r>
    </w:p>
    <w:p>
      <w:r>
        <w:rPr>
          <w:b w:val="0"/>
        </w:rPr>
        <w:t>Each magisterial district's 2022 share of national Department sales, by product, is applied to 2025 national demand (190 districts in the six provinces). Shares: petrol 75.7%, diesel 69.5%. Result: petrol 7.0bn L, diesel 11.2bn L, total 18.2bn L. Secunda + Natref output (6.3bn L) is assumed to stay in the area.</w:t>
      </w:r>
    </w:p>
    <w:p>
      <w:pPr>
        <w:pStyle w:val="Heading2"/>
      </w:pPr>
      <w:r>
        <w:t>Step 3. Split into uses</w:t>
      </w:r>
    </w:p>
    <w:p>
      <w:r>
        <w:rPr>
          <w:b w:val="0"/>
        </w:rPr>
        <w:t>The workbook's 2025 national segments (Segments sheet) are scaled to the market of interest by product share. Diesel power use is placed by location instead: Avon (670 MW, KwaZulu-Natal) is the only diesel peaker in the area; its 2025 use is independent-producer turbine output (FY2025, 662 GWh) x Avon's share of IPP capacity (670 of 1 005 MW) x 0.31 L/kWh. The rest of market-of-interest diesel is spread over the non-power uses in proportion. The workbook's 0.2bn L assumed private backup is not used (no published source); that diesel stays in the general uses. Demand above the workbook's sales-based segments is carried as 'unallocated'.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2025E use, bn L</w:t>
            </w:r>
          </w:p>
        </w:tc>
        <w:tc>
          <w:tcPr>
            <w:tcW w:type="dxa" w:w="4320"/>
          </w:tcPr>
          <w:p>
            <w:r>
              <w:rPr>
                <w:b/>
                <w:sz w:val="18"/>
              </w:rPr>
              <w:t>Market of interest</w:t>
            </w:r>
          </w:p>
        </w:tc>
      </w:tr>
      <w:tr>
        <w:tc>
          <w:tcPr>
            <w:tcW w:type="dxa" w:w="4320"/>
          </w:tcPr>
          <w:p>
            <w:r>
              <w:rPr>
                <w:b w:val="0"/>
                <w:sz w:val="18"/>
              </w:rPr>
              <w:t>Petrol: road</w:t>
            </w:r>
          </w:p>
        </w:tc>
        <w:tc>
          <w:tcPr>
            <w:tcW w:type="dxa" w:w="4320"/>
          </w:tcPr>
          <w:p>
            <w:r>
              <w:rPr>
                <w:b w:val="0"/>
                <w:sz w:val="18"/>
              </w:rPr>
              <w:t>6.50</w:t>
            </w:r>
          </w:p>
        </w:tc>
      </w:tr>
      <w:tr>
        <w:tc>
          <w:tcPr>
            <w:tcW w:type="dxa" w:w="4320"/>
          </w:tcPr>
          <w:p>
            <w:r>
              <w:rPr>
                <w:b w:val="0"/>
                <w:sz w:val="18"/>
              </w:rPr>
              <w:t>Petrol: other</w:t>
            </w:r>
          </w:p>
        </w:tc>
        <w:tc>
          <w:tcPr>
            <w:tcW w:type="dxa" w:w="4320"/>
          </w:tcPr>
          <w:p>
            <w:r>
              <w:rPr>
                <w:b w:val="0"/>
                <w:sz w:val="18"/>
              </w:rPr>
              <w:t>0.20</w:t>
            </w:r>
          </w:p>
        </w:tc>
      </w:tr>
      <w:tr>
        <w:tc>
          <w:tcPr>
            <w:tcW w:type="dxa" w:w="4320"/>
          </w:tcPr>
          <w:p>
            <w:r>
              <w:rPr>
                <w:b w:val="0"/>
                <w:sz w:val="18"/>
              </w:rPr>
              <w:t>Petrol: unallocated</w:t>
            </w:r>
          </w:p>
        </w:tc>
        <w:tc>
          <w:tcPr>
            <w:tcW w:type="dxa" w:w="4320"/>
          </w:tcPr>
          <w:p>
            <w:r>
              <w:rPr>
                <w:b w:val="0"/>
                <w:sz w:val="18"/>
              </w:rPr>
              <w:t>0.33</w:t>
            </w:r>
          </w:p>
        </w:tc>
      </w:tr>
      <w:tr>
        <w:tc>
          <w:tcPr>
            <w:tcW w:type="dxa" w:w="4320"/>
          </w:tcPr>
          <w:p>
            <w:r>
              <w:rPr>
                <w:b w:val="0"/>
                <w:sz w:val="18"/>
              </w:rPr>
              <w:t>Diesel: road freight</w:t>
            </w:r>
          </w:p>
        </w:tc>
        <w:tc>
          <w:tcPr>
            <w:tcW w:type="dxa" w:w="4320"/>
          </w:tcPr>
          <w:p>
            <w:r>
              <w:rPr>
                <w:b w:val="0"/>
                <w:sz w:val="18"/>
              </w:rPr>
              <w:t>3.55</w:t>
            </w:r>
          </w:p>
        </w:tc>
      </w:tr>
      <w:tr>
        <w:tc>
          <w:tcPr>
            <w:tcW w:type="dxa" w:w="4320"/>
          </w:tcPr>
          <w:p>
            <w:r>
              <w:rPr>
                <w:b w:val="0"/>
                <w:sz w:val="18"/>
              </w:rPr>
              <w:t>Diesel: other road (light vehicles, buses)</w:t>
            </w:r>
          </w:p>
        </w:tc>
        <w:tc>
          <w:tcPr>
            <w:tcW w:type="dxa" w:w="4320"/>
          </w:tcPr>
          <w:p>
            <w:r>
              <w:rPr>
                <w:b w:val="0"/>
                <w:sz w:val="18"/>
              </w:rPr>
              <w:t>1.18</w:t>
            </w:r>
          </w:p>
        </w:tc>
      </w:tr>
      <w:tr>
        <w:tc>
          <w:tcPr>
            <w:tcW w:type="dxa" w:w="4320"/>
          </w:tcPr>
          <w:p>
            <w:r>
              <w:rPr>
                <w:b w:val="0"/>
                <w:sz w:val="18"/>
              </w:rPr>
              <w:t>Diesel: mining</w:t>
            </w:r>
          </w:p>
        </w:tc>
        <w:tc>
          <w:tcPr>
            <w:tcW w:type="dxa" w:w="4320"/>
          </w:tcPr>
          <w:p>
            <w:r>
              <w:rPr>
                <w:b w:val="0"/>
                <w:sz w:val="18"/>
              </w:rPr>
              <w:t>1.03</w:t>
            </w:r>
          </w:p>
        </w:tc>
      </w:tr>
      <w:tr>
        <w:tc>
          <w:tcPr>
            <w:tcW w:type="dxa" w:w="4320"/>
          </w:tcPr>
          <w:p>
            <w:r>
              <w:rPr>
                <w:b w:val="0"/>
                <w:sz w:val="18"/>
              </w:rPr>
              <w:t>Diesel: agriculture</w:t>
            </w:r>
          </w:p>
        </w:tc>
        <w:tc>
          <w:tcPr>
            <w:tcW w:type="dxa" w:w="4320"/>
          </w:tcPr>
          <w:p>
            <w:r>
              <w:rPr>
                <w:b w:val="0"/>
                <w:sz w:val="18"/>
              </w:rPr>
              <w:t>0.83</w:t>
            </w:r>
          </w:p>
        </w:tc>
      </w:tr>
      <w:tr>
        <w:tc>
          <w:tcPr>
            <w:tcW w:type="dxa" w:w="4320"/>
          </w:tcPr>
          <w:p>
            <w:r>
              <w:rPr>
                <w:b w:val="0"/>
                <w:sz w:val="18"/>
              </w:rPr>
              <w:t>Diesel: manufacturing</w:t>
            </w:r>
          </w:p>
        </w:tc>
        <w:tc>
          <w:tcPr>
            <w:tcW w:type="dxa" w:w="4320"/>
          </w:tcPr>
          <w:p>
            <w:r>
              <w:rPr>
                <w:b w:val="0"/>
                <w:sz w:val="18"/>
              </w:rPr>
              <w:t>0.12</w:t>
            </w:r>
          </w:p>
        </w:tc>
      </w:tr>
      <w:tr>
        <w:tc>
          <w:tcPr>
            <w:tcW w:type="dxa" w:w="4320"/>
          </w:tcPr>
          <w:p>
            <w:r>
              <w:rPr>
                <w:b w:val="0"/>
                <w:sz w:val="18"/>
              </w:rPr>
              <w:t>Diesel: other</w:t>
            </w:r>
          </w:p>
        </w:tc>
        <w:tc>
          <w:tcPr>
            <w:tcW w:type="dxa" w:w="4320"/>
          </w:tcPr>
          <w:p>
            <w:r>
              <w:rPr>
                <w:b w:val="0"/>
                <w:sz w:val="18"/>
              </w:rPr>
              <w:t>1.41</w:t>
            </w:r>
          </w:p>
        </w:tc>
      </w:tr>
      <w:tr>
        <w:tc>
          <w:tcPr>
            <w:tcW w:type="dxa" w:w="4320"/>
          </w:tcPr>
          <w:p>
            <w:r>
              <w:rPr>
                <w:b w:val="0"/>
                <w:sz w:val="18"/>
              </w:rPr>
              <w:t>Diesel: unallocated</w:t>
            </w:r>
          </w:p>
        </w:tc>
        <w:tc>
          <w:tcPr>
            <w:tcW w:type="dxa" w:w="4320"/>
          </w:tcPr>
          <w:p>
            <w:r>
              <w:rPr>
                <w:b w:val="0"/>
                <w:sz w:val="18"/>
              </w:rPr>
              <w:t>2.91</w:t>
            </w:r>
          </w:p>
        </w:tc>
      </w:tr>
      <w:tr>
        <w:tc>
          <w:tcPr>
            <w:tcW w:type="dxa" w:w="4320"/>
          </w:tcPr>
          <w:p>
            <w:r>
              <w:rPr>
                <w:b w:val="0"/>
                <w:sz w:val="18"/>
              </w:rPr>
              <w:t>Diesel: Avon peaker</w:t>
            </w:r>
          </w:p>
        </w:tc>
        <w:tc>
          <w:tcPr>
            <w:tcW w:type="dxa" w:w="4320"/>
          </w:tcPr>
          <w:p>
            <w:r>
              <w:rPr>
                <w:b w:val="0"/>
                <w:sz w:val="18"/>
              </w:rPr>
              <w:t>0.14</w:t>
            </w:r>
          </w:p>
        </w:tc>
      </w:tr>
    </w:tbl>
    <w:p/>
    <w:p>
      <w:pPr>
        <w:pStyle w:val="Heading2"/>
      </w:pPr>
      <w:r>
        <w:t>Step 4. Drivers applied to each use (year t = 2026 ... 2030, i = years since 2025)</w:t>
      </w:r>
    </w:p>
    <w:p>
      <w:pPr>
        <w:pStyle w:val="ListBullet"/>
      </w:pPr>
      <w:r>
        <w:t>GDP: index G(t) = product of (1 + g) over years; g flat at 1.0 / 2.0 / 3.0%.</w:t>
      </w:r>
    </w:p>
    <w:p>
      <w:pPr>
        <w:pStyle w:val="ListBullet"/>
      </w:pPr>
      <w:r>
        <w:t>Diesel activity factor = G(t) (diesel grows one-for-one with GDP). Petrol activity factor = product of (1 + 0.36 g) x price effect.</w:t>
      </w:r>
    </w:p>
    <w:p>
      <w:pPr>
        <w:pStyle w:val="ListBullet"/>
      </w:pPr>
      <w:r>
        <w:t>Price effect (petrol only): e(t) = e(t-1) + 0.405 x (-0.47 x ln P(t) - e(t-1)); multiplier = exp(e(t)). P(t) is the real price index vs 2025.</w:t>
      </w:r>
    </w:p>
    <w:p>
      <w:pPr>
        <w:pStyle w:val="ListBullet"/>
      </w:pPr>
      <w:r>
        <w:t>Efficiency: road petrol x (1 - e_p)^i; road freight and other road diesel x (1 - e_d)^i.</w:t>
      </w:r>
    </w:p>
    <w:p>
      <w:pPr>
        <w:pStyle w:val="ListBullet"/>
      </w:pPr>
      <w:r>
        <w:t>EVs: each year new light vehicles = 2025 eNaTIS new cars + LCVs x G(t); EV share of them from the S-curve; cumulative EVs / light fleet (fleet +1.95% a year) x 1.45 (new vehicles drive more) = share of light-vehicle fuel displaced. Applied to road petrol and other road diesel.</w:t>
      </w:r>
    </w:p>
    <w:p>
      <w:pPr>
        <w:pStyle w:val="ListBullet"/>
      </w:pPr>
      <w:r>
        <w:t>Rail: road freight diesel x (1 - shift x i/5), shift = (rail target - rail at its 2025 share in 2030) / road freight in 2030; total freight grows with Treasury's GDP path. Rail's own diesel is excluded.</w:t>
      </w:r>
    </w:p>
    <w:p>
      <w:pPr>
        <w:pStyle w:val="ListBullet"/>
      </w:pPr>
      <w:r>
        <w:t>Peakers: Avon diesel moves in a straight line from its 2025 level to 670 MW x load factor x 8.76 x 0.31 / 1 000 bn L in 2030.</w:t>
      </w:r>
    </w:p>
    <w:p>
      <w:pPr>
        <w:pStyle w:val="ListBullet"/>
      </w:pPr>
      <w:r>
        <w:t>Mining, agriculture, manufacturing, other and unallocated diesel grow with G(t) only; other and unallocated petrol with the petrol activity factor only.</w:t>
      </w:r>
    </w:p>
    <w:p>
      <w:pPr>
        <w:pStyle w:val="Heading2"/>
      </w:pPr>
      <w:r>
        <w:t>Step 5. Results</w:t>
      </w:r>
    </w:p>
    <w:p>
      <w:r>
        <w:rPr>
          <w:b w:val="0"/>
        </w:rPr>
        <w:t>Petrol and diesel are the sums of their uses; brought in = total - 6.3bn L (Secunda + Natref, held at 2025E).</w:t>
      </w:r>
    </w:p>
    <w:p>
      <w:pPr>
        <w:pStyle w:val="Heading1"/>
      </w:pPr>
      <w:r>
        <w:t>4. Assumptions and sources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Assumption</w:t>
            </w:r>
          </w:p>
        </w:tc>
        <w:tc>
          <w:tcPr>
            <w:tcW w:type="dxa" w:w="1728"/>
          </w:tcPr>
          <w:p>
            <w:r>
              <w:rPr>
                <w:b/>
                <w:sz w:val="18"/>
              </w:rPr>
              <w:t>Low</w:t>
            </w:r>
          </w:p>
        </w:tc>
        <w:tc>
          <w:tcPr>
            <w:tcW w:type="dxa" w:w="1728"/>
          </w:tcPr>
          <w:p>
            <w:r>
              <w:rPr>
                <w:b/>
                <w:sz w:val="18"/>
              </w:rPr>
              <w:t>Base</w:t>
            </w:r>
          </w:p>
        </w:tc>
        <w:tc>
          <w:tcPr>
            <w:tcW w:type="dxa" w:w="1728"/>
          </w:tcPr>
          <w:p>
            <w:r>
              <w:rPr>
                <w:b/>
                <w:sz w:val="18"/>
              </w:rPr>
              <w:t>High</w:t>
            </w:r>
          </w:p>
        </w:tc>
        <w:tc>
          <w:tcPr>
            <w:tcW w:type="dxa" w:w="1728"/>
          </w:tcPr>
          <w:p>
            <w:r>
              <w:rPr>
                <w:b/>
                <w:sz w:val="18"/>
              </w:rPr>
              <w:t>Source</w:t>
            </w:r>
          </w:p>
        </w:tc>
      </w:tr>
      <w:tr>
        <w:tc>
          <w:tcPr>
            <w:tcW w:type="dxa" w:w="1728"/>
          </w:tcPr>
          <w:p>
            <w:r>
              <w:rPr>
                <w:b w:val="0"/>
                <w:sz w:val="18"/>
              </w:rPr>
              <w:t>GDP growth a year, 2026-30</w:t>
            </w:r>
          </w:p>
        </w:tc>
        <w:tc>
          <w:tcPr>
            <w:tcW w:type="dxa" w:w="1728"/>
          </w:tcPr>
          <w:p>
            <w:r>
              <w:rPr>
                <w:b w:val="0"/>
                <w:sz w:val="18"/>
              </w:rPr>
              <w:t>1.0%</w:t>
            </w:r>
          </w:p>
        </w:tc>
        <w:tc>
          <w:tcPr>
            <w:tcW w:type="dxa" w:w="1728"/>
          </w:tcPr>
          <w:p>
            <w:r>
              <w:rPr>
                <w:b w:val="0"/>
                <w:sz w:val="18"/>
              </w:rPr>
              <w:t>2.0%</w:t>
            </w:r>
          </w:p>
        </w:tc>
        <w:tc>
          <w:tcPr>
            <w:tcW w:type="dxa" w:w="1728"/>
          </w:tcPr>
          <w:p>
            <w:r>
              <w:rPr>
                <w:b w:val="0"/>
                <w:sz w:val="18"/>
              </w:rPr>
              <w:t>3.0%</w:t>
            </w:r>
          </w:p>
        </w:tc>
        <w:tc>
          <w:tcPr>
            <w:tcW w:type="dxa" w:w="1728"/>
          </w:tcPr>
          <w:p>
            <w:r>
              <w:rPr>
                <w:b w:val="0"/>
                <w:sz w:val="18"/>
              </w:rPr>
              <w:t>IMF WEO Oct 2026 (2026 forecast); Treasury 2026 Budget Review Table 2.2 (2028); Medium-Term Development Plan 2024-29 (3% target)</w:t>
            </w:r>
          </w:p>
        </w:tc>
      </w:tr>
      <w:tr>
        <w:tc>
          <w:tcPr>
            <w:tcW w:type="dxa" w:w="1728"/>
          </w:tcPr>
          <w:p>
            <w:r>
              <w:rPr>
                <w:b w:val="0"/>
                <w:sz w:val="18"/>
              </w:rPr>
              <w:t>Petrol income response</w:t>
            </w:r>
          </w:p>
        </w:tc>
        <w:tc>
          <w:tcPr>
            <w:tcW w:type="dxa" w:w="1728"/>
          </w:tcPr>
          <w:p>
            <w:r>
              <w:rPr>
                <w:b w:val="0"/>
                <w:sz w:val="18"/>
              </w:rPr>
              <w:t>0.36</w:t>
            </w:r>
          </w:p>
        </w:tc>
        <w:tc>
          <w:tcPr>
            <w:tcW w:type="dxa" w:w="1728"/>
          </w:tcPr>
          <w:p>
            <w:r>
              <w:rPr>
                <w:b w:val="0"/>
                <w:sz w:val="18"/>
              </w:rPr>
              <w:t>0.36</w:t>
            </w:r>
          </w:p>
        </w:tc>
        <w:tc>
          <w:tcPr>
            <w:tcW w:type="dxa" w:w="1728"/>
          </w:tcPr>
          <w:p>
            <w:r>
              <w:rPr>
                <w:b w:val="0"/>
                <w:sz w:val="18"/>
              </w:rPr>
              <w:t>0.36</w:t>
            </w:r>
          </w:p>
        </w:tc>
        <w:tc>
          <w:tcPr>
            <w:tcW w:type="dxa" w:w="1728"/>
          </w:tcPr>
          <w:p>
            <w:r>
              <w:rPr>
                <w:b w:val="0"/>
                <w:sz w:val="18"/>
              </w:rPr>
              <w:t>Akinboade, Ziramba and Kumo (2008), Energy Economics; SA data 1978-2005</w:t>
            </w:r>
          </w:p>
        </w:tc>
      </w:tr>
      <w:tr>
        <w:tc>
          <w:tcPr>
            <w:tcW w:type="dxa" w:w="1728"/>
          </w:tcPr>
          <w:p>
            <w:r>
              <w:rPr>
                <w:b w:val="0"/>
                <w:sz w:val="18"/>
              </w:rPr>
              <w:t>Petrol price response (long run)</w:t>
            </w:r>
          </w:p>
        </w:tc>
        <w:tc>
          <w:tcPr>
            <w:tcW w:type="dxa" w:w="1728"/>
          </w:tcPr>
          <w:p>
            <w:r>
              <w:rPr>
                <w:b w:val="0"/>
                <w:sz w:val="18"/>
              </w:rPr>
              <w:t>-0.47</w:t>
            </w:r>
          </w:p>
        </w:tc>
        <w:tc>
          <w:tcPr>
            <w:tcW w:type="dxa" w:w="1728"/>
          </w:tcPr>
          <w:p>
            <w:r>
              <w:rPr>
                <w:b w:val="0"/>
                <w:sz w:val="18"/>
              </w:rPr>
              <w:t>-0.47</w:t>
            </w:r>
          </w:p>
        </w:tc>
        <w:tc>
          <w:tcPr>
            <w:tcW w:type="dxa" w:w="1728"/>
          </w:tcPr>
          <w:p>
            <w:r>
              <w:rPr>
                <w:b w:val="0"/>
                <w:sz w:val="18"/>
              </w:rPr>
              <w:t>-0.47</w:t>
            </w:r>
          </w:p>
        </w:tc>
        <w:tc>
          <w:tcPr>
            <w:tcW w:type="dxa" w:w="1728"/>
          </w:tcPr>
          <w:p>
            <w:r>
              <w:rPr>
                <w:b w:val="0"/>
                <w:sz w:val="18"/>
              </w:rPr>
              <w:t>Same study</w:t>
            </w:r>
          </w:p>
        </w:tc>
      </w:tr>
      <w:tr>
        <w:tc>
          <w:tcPr>
            <w:tcW w:type="dxa" w:w="1728"/>
          </w:tcPr>
          <w:p>
            <w:r>
              <w:rPr>
                <w:b w:val="0"/>
                <w:sz w:val="18"/>
              </w:rPr>
              <w:t>Share of price response felt per year</w:t>
            </w:r>
          </w:p>
        </w:tc>
        <w:tc>
          <w:tcPr>
            <w:tcW w:type="dxa" w:w="1728"/>
          </w:tcPr>
          <w:p>
            <w:r>
              <w:rPr>
                <w:b w:val="0"/>
                <w:sz w:val="18"/>
              </w:rPr>
              <w:t>40%</w:t>
            </w:r>
          </w:p>
        </w:tc>
        <w:tc>
          <w:tcPr>
            <w:tcW w:type="dxa" w:w="1728"/>
          </w:tcPr>
          <w:p>
            <w:r>
              <w:rPr>
                <w:b w:val="0"/>
                <w:sz w:val="18"/>
              </w:rPr>
              <w:t>40%</w:t>
            </w:r>
          </w:p>
        </w:tc>
        <w:tc>
          <w:tcPr>
            <w:tcW w:type="dxa" w:w="1728"/>
          </w:tcPr>
          <w:p>
            <w:r>
              <w:rPr>
                <w:b w:val="0"/>
                <w:sz w:val="18"/>
              </w:rPr>
              <w:t>40%</w:t>
            </w:r>
          </w:p>
        </w:tc>
        <w:tc>
          <w:tcPr>
            <w:tcW w:type="dxa" w:w="1728"/>
          </w:tcPr>
          <w:p>
            <w:r>
              <w:rPr>
                <w:b w:val="0"/>
                <w:sz w:val="18"/>
              </w:rPr>
              <w:t>Brons et al. (2008) meta-analysis: short run -0.34, long run -0.84</w:t>
            </w:r>
          </w:p>
        </w:tc>
      </w:tr>
      <w:tr>
        <w:tc>
          <w:tcPr>
            <w:tcW w:type="dxa" w:w="1728"/>
          </w:tcPr>
          <w:p>
            <w:r>
              <w:rPr>
                <w:b w:val="0"/>
                <w:sz w:val="18"/>
              </w:rPr>
              <w:t>Real petrol price vs 2025, 2026</w:t>
            </w:r>
          </w:p>
        </w:tc>
        <w:tc>
          <w:tcPr>
            <w:tcW w:type="dxa" w:w="1728"/>
          </w:tcPr>
          <w:p>
            <w:r>
              <w:rPr>
                <w:b w:val="0"/>
                <w:sz w:val="18"/>
              </w:rPr>
              <w:t>+14.8%</w:t>
            </w:r>
          </w:p>
        </w:tc>
        <w:tc>
          <w:tcPr>
            <w:tcW w:type="dxa" w:w="1728"/>
          </w:tcPr>
          <w:p>
            <w:r>
              <w:rPr>
                <w:b w:val="0"/>
                <w:sz w:val="18"/>
              </w:rPr>
              <w:t>+14.8%</w:t>
            </w:r>
          </w:p>
        </w:tc>
        <w:tc>
          <w:tcPr>
            <w:tcW w:type="dxa" w:w="1728"/>
          </w:tcPr>
          <w:p>
            <w:r>
              <w:rPr>
                <w:b w:val="0"/>
                <w:sz w:val="18"/>
              </w:rPr>
              <w:t>+14.8%</w:t>
            </w:r>
          </w:p>
        </w:tc>
        <w:tc>
          <w:tcPr>
            <w:tcW w:type="dxa" w:w="1728"/>
          </w:tcPr>
          <w:p>
            <w:r>
              <w:rPr>
                <w:b w:val="0"/>
                <w:sz w:val="18"/>
              </w:rPr>
              <w:t>Department petrol 95 inland: 2025 avg R21.66; 2026 Jan-Oct actual, Nov-Dec at Oct (R30.25); less 3.4% CPI</w:t>
            </w:r>
          </w:p>
        </w:tc>
      </w:tr>
      <w:tr>
        <w:tc>
          <w:tcPr>
            <w:tcW w:type="dxa" w:w="1728"/>
          </w:tcPr>
          <w:p>
            <w:r>
              <w:rPr>
                <w:b w:val="0"/>
                <w:sz w:val="18"/>
              </w:rPr>
              <w:t>Real petrol price vs 2025, 2030</w:t>
            </w:r>
          </w:p>
        </w:tc>
        <w:tc>
          <w:tcPr>
            <w:tcW w:type="dxa" w:w="1728"/>
          </w:tcPr>
          <w:p>
            <w:r>
              <w:rPr>
                <w:b w:val="0"/>
                <w:sz w:val="18"/>
              </w:rPr>
              <w:t>+15%</w:t>
            </w:r>
          </w:p>
        </w:tc>
        <w:tc>
          <w:tcPr>
            <w:tcW w:type="dxa" w:w="1728"/>
          </w:tcPr>
          <w:p>
            <w:r>
              <w:rPr>
                <w:b w:val="0"/>
                <w:sz w:val="18"/>
              </w:rPr>
              <w:t>+0%</w:t>
            </w:r>
          </w:p>
        </w:tc>
        <w:tc>
          <w:tcPr>
            <w:tcW w:type="dxa" w:w="1728"/>
          </w:tcPr>
          <w:p>
            <w:r>
              <w:rPr>
                <w:b w:val="0"/>
                <w:sz w:val="18"/>
              </w:rPr>
              <w:t>-13%</w:t>
            </w:r>
          </w:p>
        </w:tc>
        <w:tc>
          <w:tcPr>
            <w:tcW w:type="dxa" w:w="1728"/>
          </w:tcPr>
          <w:p>
            <w:r>
              <w:rPr>
                <w:b w:val="0"/>
                <w:sz w:val="18"/>
              </w:rPr>
              <w:t>Scenario choice: low holds 2026; base eases back; high mirrors low (AIA)</w:t>
            </w:r>
          </w:p>
        </w:tc>
      </w:tr>
      <w:tr>
        <w:tc>
          <w:tcPr>
            <w:tcW w:type="dxa" w:w="1728"/>
          </w:tcPr>
          <w:p>
            <w:r>
              <w:rPr>
                <w:b w:val="0"/>
                <w:sz w:val="18"/>
              </w:rPr>
              <w:t>Efficiency a year, petrol / diesel</w:t>
            </w:r>
          </w:p>
        </w:tc>
        <w:tc>
          <w:tcPr>
            <w:tcW w:type="dxa" w:w="1728"/>
          </w:tcPr>
          <w:p>
            <w:r>
              <w:rPr>
                <w:b w:val="0"/>
                <w:sz w:val="18"/>
              </w:rPr>
              <w:t>0.8 / 0.7%</w:t>
            </w:r>
          </w:p>
        </w:tc>
        <w:tc>
          <w:tcPr>
            <w:tcW w:type="dxa" w:w="1728"/>
          </w:tcPr>
          <w:p>
            <w:r>
              <w:rPr>
                <w:b w:val="0"/>
                <w:sz w:val="18"/>
              </w:rPr>
              <w:t>0.65 / 0.55%</w:t>
            </w:r>
          </w:p>
        </w:tc>
        <w:tc>
          <w:tcPr>
            <w:tcW w:type="dxa" w:w="1728"/>
          </w:tcPr>
          <w:p>
            <w:r>
              <w:rPr>
                <w:b w:val="0"/>
                <w:sz w:val="18"/>
              </w:rPr>
              <w:t>0.5 / 0.4%</w:t>
            </w:r>
          </w:p>
        </w:tc>
        <w:tc>
          <w:tcPr>
            <w:tcW w:type="dxa" w:w="1728"/>
          </w:tcPr>
          <w:p>
            <w:r>
              <w:rPr>
                <w:b w:val="0"/>
                <w:sz w:val="18"/>
              </w:rPr>
              <w:t>Pack p9: IEA/GFEI WP15 (2017) and IEA (2021) new-vehicle trend; eNaTIS turnover; Lightstone age; Stone et al. (2018)</w:t>
            </w:r>
          </w:p>
        </w:tc>
      </w:tr>
      <w:tr>
        <w:tc>
          <w:tcPr>
            <w:tcW w:type="dxa" w:w="1728"/>
          </w:tcPr>
          <w:p>
            <w:r>
              <w:rPr>
                <w:b w:val="0"/>
                <w:sz w:val="18"/>
              </w:rPr>
              <w:t>EV S-curve (ceiling, midpoint, slope)</w:t>
            </w:r>
          </w:p>
        </w:tc>
        <w:tc>
          <w:tcPr>
            <w:tcW w:type="dxa" w:w="1728"/>
          </w:tcPr>
          <w:p>
            <w:r>
              <w:rPr>
                <w:b w:val="0"/>
                <w:sz w:val="18"/>
              </w:rPr>
              <w:t>90%, 2036, 2</w:t>
            </w:r>
          </w:p>
        </w:tc>
        <w:tc>
          <w:tcPr>
            <w:tcW w:type="dxa" w:w="1728"/>
          </w:tcPr>
          <w:p>
            <w:r>
              <w:rPr>
                <w:b w:val="0"/>
                <w:sz w:val="18"/>
              </w:rPr>
              <w:t>average of the two</w:t>
            </w:r>
          </w:p>
        </w:tc>
        <w:tc>
          <w:tcPr>
            <w:tcW w:type="dxa" w:w="1728"/>
          </w:tcPr>
          <w:p>
            <w:r>
              <w:rPr>
                <w:b w:val="0"/>
                <w:sz w:val="18"/>
              </w:rPr>
              <w:t>30%, 2040, 3</w:t>
            </w:r>
          </w:p>
        </w:tc>
        <w:tc>
          <w:tcPr>
            <w:tcW w:type="dxa" w:w="1728"/>
          </w:tcPr>
          <w:p>
            <w:r>
              <w:rPr>
                <w:b w:val="0"/>
                <w:sz w:val="18"/>
              </w:rPr>
              <w:t>AIA analysis (2025), vehicles.yaml</w:t>
            </w:r>
          </w:p>
        </w:tc>
      </w:tr>
      <w:tr>
        <w:tc>
          <w:tcPr>
            <w:tcW w:type="dxa" w:w="1728"/>
          </w:tcPr>
          <w:p>
            <w:r>
              <w:rPr>
                <w:b w:val="0"/>
                <w:sz w:val="18"/>
              </w:rPr>
              <w:t>EV share of new light-vehicle sales, 2030</w:t>
            </w:r>
          </w:p>
        </w:tc>
        <w:tc>
          <w:tcPr>
            <w:tcW w:type="dxa" w:w="1728"/>
          </w:tcPr>
          <w:p>
            <w:r>
              <w:rPr>
                <w:b w:val="0"/>
                <w:sz w:val="18"/>
              </w:rPr>
              <w:t>4.3%</w:t>
            </w:r>
          </w:p>
        </w:tc>
        <w:tc>
          <w:tcPr>
            <w:tcW w:type="dxa" w:w="1728"/>
          </w:tcPr>
          <w:p>
            <w:r>
              <w:rPr>
                <w:b w:val="0"/>
                <w:sz w:val="18"/>
              </w:rPr>
              <w:t>2.7%</w:t>
            </w:r>
          </w:p>
        </w:tc>
        <w:tc>
          <w:tcPr>
            <w:tcW w:type="dxa" w:w="1728"/>
          </w:tcPr>
          <w:p>
            <w:r>
              <w:rPr>
                <w:b w:val="0"/>
                <w:sz w:val="18"/>
              </w:rPr>
              <w:t>1.0%</w:t>
            </w:r>
          </w:p>
        </w:tc>
        <w:tc>
          <w:tcPr>
            <w:tcW w:type="dxa" w:w="1728"/>
          </w:tcPr>
          <w:p>
            <w:r>
              <w:rPr>
                <w:b w:val="0"/>
                <w:sz w:val="18"/>
              </w:rPr>
              <w:t>Result of the S-curves</w:t>
            </w:r>
          </w:p>
        </w:tc>
      </w:tr>
      <w:tr>
        <w:tc>
          <w:tcPr>
            <w:tcW w:type="dxa" w:w="1728"/>
          </w:tcPr>
          <w:p>
            <w:r>
              <w:rPr>
                <w:b w:val="0"/>
                <w:sz w:val="18"/>
              </w:rPr>
              <w:t>Rail freight in 2030</w:t>
            </w:r>
          </w:p>
        </w:tc>
        <w:tc>
          <w:tcPr>
            <w:tcW w:type="dxa" w:w="1728"/>
          </w:tcPr>
          <w:p>
            <w:r>
              <w:rPr>
                <w:b w:val="0"/>
                <w:sz w:val="18"/>
              </w:rPr>
              <w:t>262m t</w:t>
            </w:r>
          </w:p>
        </w:tc>
        <w:tc>
          <w:tcPr>
            <w:tcW w:type="dxa" w:w="1728"/>
          </w:tcPr>
          <w:p>
            <w:r>
              <w:rPr>
                <w:b w:val="0"/>
                <w:sz w:val="18"/>
              </w:rPr>
              <w:t>250m t</w:t>
            </w:r>
          </w:p>
        </w:tc>
        <w:tc>
          <w:tcPr>
            <w:tcW w:type="dxa" w:w="1728"/>
          </w:tcPr>
          <w:p>
            <w:r>
              <w:rPr>
                <w:b w:val="0"/>
                <w:sz w:val="18"/>
              </w:rPr>
              <w:t>215m t</w:t>
            </w:r>
          </w:p>
        </w:tc>
        <w:tc>
          <w:tcPr>
            <w:tcW w:type="dxa" w:w="1728"/>
          </w:tcPr>
          <w:p>
            <w:r>
              <w:rPr>
                <w:b w:val="0"/>
                <w:sz w:val="18"/>
              </w:rPr>
              <w:t>Draft National Rail Master Plan (viable rail market); Transnet target; 2025-26 growth of ~5% a year (Stats SA P7162)</w:t>
            </w:r>
          </w:p>
        </w:tc>
      </w:tr>
      <w:tr>
        <w:tc>
          <w:tcPr>
            <w:tcW w:type="dxa" w:w="1728"/>
          </w:tcPr>
          <w:p>
            <w:r>
              <w:rPr>
                <w:b w:val="0"/>
                <w:sz w:val="18"/>
              </w:rPr>
              <w:t>Road freight moved to rail by 2030</w:t>
            </w:r>
          </w:p>
        </w:tc>
        <w:tc>
          <w:tcPr>
            <w:tcW w:type="dxa" w:w="1728"/>
          </w:tcPr>
          <w:p>
            <w:r>
              <w:rPr>
                <w:b w:val="0"/>
                <w:sz w:val="18"/>
              </w:rPr>
              <w:t>7.2%</w:t>
            </w:r>
          </w:p>
        </w:tc>
        <w:tc>
          <w:tcPr>
            <w:tcW w:type="dxa" w:w="1728"/>
          </w:tcPr>
          <w:p>
            <w:r>
              <w:rPr>
                <w:b w:val="0"/>
                <w:sz w:val="18"/>
              </w:rPr>
              <w:t>6.1%</w:t>
            </w:r>
          </w:p>
        </w:tc>
        <w:tc>
          <w:tcPr>
            <w:tcW w:type="dxa" w:w="1728"/>
          </w:tcPr>
          <w:p>
            <w:r>
              <w:rPr>
                <w:b w:val="0"/>
                <w:sz w:val="18"/>
              </w:rPr>
              <w:t>2.8%</w:t>
            </w:r>
          </w:p>
        </w:tc>
        <w:tc>
          <w:tcPr>
            <w:tcW w:type="dxa" w:w="1728"/>
          </w:tcPr>
          <w:p>
            <w:r>
              <w:rPr>
                <w:b w:val="0"/>
                <w:sz w:val="18"/>
              </w:rPr>
              <w:t>Result, against 2025 mode shares (Stats SA P7162)</w:t>
            </w:r>
          </w:p>
        </w:tc>
      </w:tr>
      <w:tr>
        <w:tc>
          <w:tcPr>
            <w:tcW w:type="dxa" w:w="1728"/>
          </w:tcPr>
          <w:p>
            <w:r>
              <w:rPr>
                <w:b w:val="0"/>
                <w:sz w:val="18"/>
              </w:rPr>
              <w:t>Avon peaker load factor, 2030</w:t>
            </w:r>
          </w:p>
        </w:tc>
        <w:tc>
          <w:tcPr>
            <w:tcW w:type="dxa" w:w="1728"/>
          </w:tcPr>
          <w:p>
            <w:r>
              <w:rPr>
                <w:b w:val="0"/>
                <w:sz w:val="18"/>
              </w:rPr>
              <w:t>1.4%</w:t>
            </w:r>
          </w:p>
        </w:tc>
        <w:tc>
          <w:tcPr>
            <w:tcW w:type="dxa" w:w="1728"/>
          </w:tcPr>
          <w:p>
            <w:r>
              <w:rPr>
                <w:b w:val="0"/>
                <w:sz w:val="18"/>
              </w:rPr>
              <w:t>4.5%</w:t>
            </w:r>
          </w:p>
        </w:tc>
        <w:tc>
          <w:tcPr>
            <w:tcW w:type="dxa" w:w="1728"/>
          </w:tcPr>
          <w:p>
            <w:r>
              <w:rPr>
                <w:b w:val="0"/>
                <w:sz w:val="18"/>
              </w:rPr>
              <w:t>10%</w:t>
            </w:r>
          </w:p>
        </w:tc>
        <w:tc>
          <w:tcPr>
            <w:tcW w:type="dxa" w:w="1728"/>
          </w:tcPr>
          <w:p>
            <w:r>
              <w:rPr>
                <w:b w:val="0"/>
                <w:sz w:val="18"/>
              </w:rPr>
              <w:t>Eskom turbines 1 Apr-8 Oct 2026 (152 GWh); system operator MTSAO 2026-30 (below 6%); high: AIA</w:t>
            </w:r>
          </w:p>
        </w:tc>
      </w:tr>
      <w:tr>
        <w:tc>
          <w:tcPr>
            <w:tcW w:type="dxa" w:w="1728"/>
          </w:tcPr>
          <w:p>
            <w:r>
              <w:rPr>
                <w:b w:val="0"/>
                <w:sz w:val="18"/>
              </w:rPr>
              <w:t>Diesel per kWh, peakers</w:t>
            </w:r>
          </w:p>
        </w:tc>
        <w:tc>
          <w:tcPr>
            <w:tcW w:type="dxa" w:w="1728"/>
          </w:tcPr>
          <w:p>
            <w:r>
              <w:rPr>
                <w:b w:val="0"/>
                <w:sz w:val="18"/>
              </w:rPr>
              <w:t>0.31 L</w:t>
            </w:r>
          </w:p>
        </w:tc>
        <w:tc>
          <w:tcPr>
            <w:tcW w:type="dxa" w:w="1728"/>
          </w:tcPr>
          <w:p>
            <w:r>
              <w:rPr>
                <w:b w:val="0"/>
                <w:sz w:val="18"/>
              </w:rPr>
              <w:t>0.31 L</w:t>
            </w:r>
          </w:p>
        </w:tc>
        <w:tc>
          <w:tcPr>
            <w:tcW w:type="dxa" w:w="1728"/>
          </w:tcPr>
          <w:p>
            <w:r>
              <w:rPr>
                <w:b w:val="0"/>
                <w:sz w:val="18"/>
              </w:rPr>
              <w:t>0.31 L</w:t>
            </w:r>
          </w:p>
        </w:tc>
        <w:tc>
          <w:tcPr>
            <w:tcW w:type="dxa" w:w="1728"/>
          </w:tcPr>
          <w:p>
            <w:r>
              <w:rPr>
                <w:b w:val="0"/>
                <w:sz w:val="18"/>
              </w:rPr>
              <w:t>Eskom FY2024 and FY2025 fuel use / turbine output</w:t>
            </w:r>
          </w:p>
        </w:tc>
      </w:tr>
      <w:tr>
        <w:tc>
          <w:tcPr>
            <w:tcW w:type="dxa" w:w="1728"/>
          </w:tcPr>
          <w:p>
            <w:r>
              <w:rPr>
                <w:b w:val="0"/>
                <w:sz w:val="18"/>
              </w:rPr>
              <w:t>Backup generators</w:t>
            </w:r>
          </w:p>
        </w:tc>
        <w:tc>
          <w:tcPr>
            <w:tcW w:type="dxa" w:w="1728"/>
          </w:tcPr>
          <w:p>
            <w:r>
              <w:rPr>
                <w:b w:val="0"/>
                <w:sz w:val="18"/>
              </w:rPr>
              <w:t>none</w:t>
            </w:r>
          </w:p>
        </w:tc>
        <w:tc>
          <w:tcPr>
            <w:tcW w:type="dxa" w:w="1728"/>
          </w:tcPr>
          <w:p>
            <w:r>
              <w:rPr>
                <w:b w:val="0"/>
                <w:sz w:val="18"/>
              </w:rPr>
              <w:t>none</w:t>
            </w:r>
          </w:p>
        </w:tc>
        <w:tc>
          <w:tcPr>
            <w:tcW w:type="dxa" w:w="1728"/>
          </w:tcPr>
          <w:p>
            <w:r>
              <w:rPr>
                <w:b w:val="0"/>
                <w:sz w:val="18"/>
              </w:rPr>
              <w:t>none</w:t>
            </w:r>
          </w:p>
        </w:tc>
        <w:tc>
          <w:tcPr>
            <w:tcW w:type="dxa" w:w="1728"/>
          </w:tcPr>
          <w:p>
            <w:r>
              <w:rPr>
                <w:b w:val="0"/>
                <w:sz w:val="18"/>
              </w:rPr>
              <w:t>Excluded: installed capacity not published (WITS gives unit counts only)</w:t>
            </w:r>
          </w:p>
        </w:tc>
      </w:tr>
      <w:tr>
        <w:tc>
          <w:tcPr>
            <w:tcW w:type="dxa" w:w="1728"/>
          </w:tcPr>
          <w:p>
            <w:r>
              <w:rPr>
                <w:b w:val="0"/>
                <w:sz w:val="18"/>
              </w:rPr>
              <w:t>Rail's own diesel</w:t>
            </w:r>
          </w:p>
        </w:tc>
        <w:tc>
          <w:tcPr>
            <w:tcW w:type="dxa" w:w="1728"/>
          </w:tcPr>
          <w:p>
            <w:r>
              <w:rPr>
                <w:b w:val="0"/>
                <w:sz w:val="18"/>
              </w:rPr>
              <w:t>none</w:t>
            </w:r>
          </w:p>
        </w:tc>
        <w:tc>
          <w:tcPr>
            <w:tcW w:type="dxa" w:w="1728"/>
          </w:tcPr>
          <w:p>
            <w:r>
              <w:rPr>
                <w:b w:val="0"/>
                <w:sz w:val="18"/>
              </w:rPr>
              <w:t>none</w:t>
            </w:r>
          </w:p>
        </w:tc>
        <w:tc>
          <w:tcPr>
            <w:tcW w:type="dxa" w:w="1728"/>
          </w:tcPr>
          <w:p>
            <w:r>
              <w:rPr>
                <w:b w:val="0"/>
                <w:sz w:val="18"/>
              </w:rPr>
              <w:t>none</w:t>
            </w:r>
          </w:p>
        </w:tc>
        <w:tc>
          <w:tcPr>
            <w:tcW w:type="dxa" w:w="1728"/>
          </w:tcPr>
          <w:p>
            <w:r>
              <w:rPr>
                <w:b w:val="0"/>
                <w:sz w:val="18"/>
              </w:rPr>
              <w:t>Excluded at user's request; Transnet traction fuel implies ~17.5% (pack p7)</w:t>
            </w:r>
          </w:p>
        </w:tc>
      </w:tr>
    </w:tbl>
    <w:p/>
    <w:p>
      <w:pPr>
        <w:pStyle w:val="Heading1"/>
      </w:pPr>
      <w:r>
        <w:t>5. Results by year</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Case</w:t>
            </w:r>
          </w:p>
        </w:tc>
        <w:tc>
          <w:tcPr>
            <w:tcW w:type="dxa" w:w="1080"/>
          </w:tcPr>
          <w:p>
            <w:r>
              <w:rPr>
                <w:b/>
                <w:sz w:val="18"/>
              </w:rPr>
              <w:t>Fuel</w:t>
            </w:r>
          </w:p>
        </w:tc>
        <w:tc>
          <w:tcPr>
            <w:tcW w:type="dxa" w:w="1080"/>
          </w:tcPr>
          <w:p>
            <w:r>
              <w:rPr>
                <w:b/>
                <w:sz w:val="18"/>
              </w:rPr>
              <w:t>2025</w:t>
            </w:r>
          </w:p>
        </w:tc>
        <w:tc>
          <w:tcPr>
            <w:tcW w:type="dxa" w:w="1080"/>
          </w:tcPr>
          <w:p>
            <w:r>
              <w:rPr>
                <w:b/>
                <w:sz w:val="18"/>
              </w:rPr>
              <w:t>2026</w:t>
            </w:r>
          </w:p>
        </w:tc>
        <w:tc>
          <w:tcPr>
            <w:tcW w:type="dxa" w:w="1080"/>
          </w:tcPr>
          <w:p>
            <w:r>
              <w:rPr>
                <w:b/>
                <w:sz w:val="18"/>
              </w:rPr>
              <w:t>2027</w:t>
            </w:r>
          </w:p>
        </w:tc>
        <w:tc>
          <w:tcPr>
            <w:tcW w:type="dxa" w:w="1080"/>
          </w:tcPr>
          <w:p>
            <w:r>
              <w:rPr>
                <w:b/>
                <w:sz w:val="18"/>
              </w:rPr>
              <w:t>2028</w:t>
            </w:r>
          </w:p>
        </w:tc>
        <w:tc>
          <w:tcPr>
            <w:tcW w:type="dxa" w:w="1080"/>
          </w:tcPr>
          <w:p>
            <w:r>
              <w:rPr>
                <w:b/>
                <w:sz w:val="18"/>
              </w:rPr>
              <w:t>2029</w:t>
            </w:r>
          </w:p>
        </w:tc>
        <w:tc>
          <w:tcPr>
            <w:tcW w:type="dxa" w:w="1080"/>
          </w:tcPr>
          <w:p>
            <w:r>
              <w:rPr>
                <w:b/>
                <w:sz w:val="18"/>
              </w:rPr>
              <w:t>2030</w:t>
            </w:r>
          </w:p>
        </w:tc>
      </w:tr>
      <w:tr>
        <w:tc>
          <w:tcPr>
            <w:tcW w:type="dxa" w:w="1080"/>
          </w:tcPr>
          <w:p>
            <w:r>
              <w:rPr>
                <w:b w:val="0"/>
                <w:sz w:val="18"/>
              </w:rPr>
              <w:t>Low</w:t>
            </w:r>
          </w:p>
        </w:tc>
        <w:tc>
          <w:tcPr>
            <w:tcW w:type="dxa" w:w="1080"/>
          </w:tcPr>
          <w:p>
            <w:r>
              <w:rPr>
                <w:b w:val="0"/>
                <w:sz w:val="18"/>
              </w:rPr>
              <w:t>Petrol</w:t>
            </w:r>
          </w:p>
        </w:tc>
        <w:tc>
          <w:tcPr>
            <w:tcW w:type="dxa" w:w="1080"/>
          </w:tcPr>
          <w:p>
            <w:r>
              <w:rPr>
                <w:b w:val="0"/>
                <w:sz w:val="18"/>
              </w:rPr>
              <w:t>7.03</w:t>
            </w:r>
          </w:p>
        </w:tc>
        <w:tc>
          <w:tcPr>
            <w:tcW w:type="dxa" w:w="1080"/>
          </w:tcPr>
          <w:p>
            <w:r>
              <w:rPr>
                <w:b w:val="0"/>
                <w:sz w:val="18"/>
              </w:rPr>
              <w:t>6.82</w:t>
            </w:r>
          </w:p>
        </w:tc>
        <w:tc>
          <w:tcPr>
            <w:tcW w:type="dxa" w:w="1080"/>
          </w:tcPr>
          <w:p>
            <w:r>
              <w:rPr>
                <w:b w:val="0"/>
                <w:sz w:val="18"/>
              </w:rPr>
              <w:t>6.69</w:t>
            </w:r>
          </w:p>
        </w:tc>
        <w:tc>
          <w:tcPr>
            <w:tcW w:type="dxa" w:w="1080"/>
          </w:tcPr>
          <w:p>
            <w:r>
              <w:rPr>
                <w:b w:val="0"/>
                <w:sz w:val="18"/>
              </w:rPr>
              <w:t>6.59</w:t>
            </w:r>
          </w:p>
        </w:tc>
        <w:tc>
          <w:tcPr>
            <w:tcW w:type="dxa" w:w="1080"/>
          </w:tcPr>
          <w:p>
            <w:r>
              <w:rPr>
                <w:b w:val="0"/>
                <w:sz w:val="18"/>
              </w:rPr>
              <w:t>6.52</w:t>
            </w:r>
          </w:p>
        </w:tc>
        <w:tc>
          <w:tcPr>
            <w:tcW w:type="dxa" w:w="1080"/>
          </w:tcPr>
          <w:p>
            <w:r>
              <w:rPr>
                <w:b w:val="0"/>
                <w:sz w:val="18"/>
              </w:rPr>
              <w:t>6.46</w:t>
            </w:r>
          </w:p>
        </w:tc>
      </w:tr>
      <w:tr>
        <w:tc>
          <w:tcPr>
            <w:tcW w:type="dxa" w:w="1080"/>
          </w:tcPr>
          <w:p>
            <w:r>
              <w:rPr>
                <w:b w:val="0"/>
                <w:sz w:val="18"/>
              </w:rPr>
              <w:t>Low</w:t>
            </w:r>
          </w:p>
        </w:tc>
        <w:tc>
          <w:tcPr>
            <w:tcW w:type="dxa" w:w="1080"/>
          </w:tcPr>
          <w:p>
            <w:r>
              <w:rPr>
                <w:b w:val="0"/>
                <w:sz w:val="18"/>
              </w:rPr>
              <w:t>Diesel</w:t>
            </w:r>
          </w:p>
        </w:tc>
        <w:tc>
          <w:tcPr>
            <w:tcW w:type="dxa" w:w="1080"/>
          </w:tcPr>
          <w:p>
            <w:r>
              <w:rPr>
                <w:b w:val="0"/>
                <w:sz w:val="18"/>
              </w:rPr>
              <w:t>11.17</w:t>
            </w:r>
          </w:p>
        </w:tc>
        <w:tc>
          <w:tcPr>
            <w:tcW w:type="dxa" w:w="1080"/>
          </w:tcPr>
          <w:p>
            <w:r>
              <w:rPr>
                <w:b w:val="0"/>
                <w:sz w:val="18"/>
              </w:rPr>
              <w:t>11.18</w:t>
            </w:r>
          </w:p>
        </w:tc>
        <w:tc>
          <w:tcPr>
            <w:tcW w:type="dxa" w:w="1080"/>
          </w:tcPr>
          <w:p>
            <w:r>
              <w:rPr>
                <w:b w:val="0"/>
                <w:sz w:val="18"/>
              </w:rPr>
              <w:t>11.18</w:t>
            </w:r>
          </w:p>
        </w:tc>
        <w:tc>
          <w:tcPr>
            <w:tcW w:type="dxa" w:w="1080"/>
          </w:tcPr>
          <w:p>
            <w:r>
              <w:rPr>
                <w:b w:val="0"/>
                <w:sz w:val="18"/>
              </w:rPr>
              <w:t>11.18</w:t>
            </w:r>
          </w:p>
        </w:tc>
        <w:tc>
          <w:tcPr>
            <w:tcW w:type="dxa" w:w="1080"/>
          </w:tcPr>
          <w:p>
            <w:r>
              <w:rPr>
                <w:b w:val="0"/>
                <w:sz w:val="18"/>
              </w:rPr>
              <w:t>11.18</w:t>
            </w:r>
          </w:p>
        </w:tc>
        <w:tc>
          <w:tcPr>
            <w:tcW w:type="dxa" w:w="1080"/>
          </w:tcPr>
          <w:p>
            <w:r>
              <w:rPr>
                <w:b w:val="0"/>
                <w:sz w:val="18"/>
              </w:rPr>
              <w:t>11.19</w:t>
            </w:r>
          </w:p>
        </w:tc>
      </w:tr>
      <w:tr>
        <w:tc>
          <w:tcPr>
            <w:tcW w:type="dxa" w:w="1080"/>
          </w:tcPr>
          <w:p>
            <w:r>
              <w:rPr>
                <w:b w:val="0"/>
                <w:sz w:val="18"/>
              </w:rPr>
              <w:t>Low</w:t>
            </w:r>
          </w:p>
        </w:tc>
        <w:tc>
          <w:tcPr>
            <w:tcW w:type="dxa" w:w="1080"/>
          </w:tcPr>
          <w:p>
            <w:r>
              <w:rPr>
                <w:b w:val="0"/>
                <w:sz w:val="18"/>
              </w:rPr>
              <w:t>Total</w:t>
            </w:r>
          </w:p>
        </w:tc>
        <w:tc>
          <w:tcPr>
            <w:tcW w:type="dxa" w:w="1080"/>
          </w:tcPr>
          <w:p>
            <w:r>
              <w:rPr>
                <w:b w:val="0"/>
                <w:sz w:val="18"/>
              </w:rPr>
              <w:t>18.21</w:t>
            </w:r>
          </w:p>
        </w:tc>
        <w:tc>
          <w:tcPr>
            <w:tcW w:type="dxa" w:w="1080"/>
          </w:tcPr>
          <w:p>
            <w:r>
              <w:rPr>
                <w:b w:val="0"/>
                <w:sz w:val="18"/>
              </w:rPr>
              <w:t>18.00</w:t>
            </w:r>
          </w:p>
        </w:tc>
        <w:tc>
          <w:tcPr>
            <w:tcW w:type="dxa" w:w="1080"/>
          </w:tcPr>
          <w:p>
            <w:r>
              <w:rPr>
                <w:b w:val="0"/>
                <w:sz w:val="18"/>
              </w:rPr>
              <w:t>17.86</w:t>
            </w:r>
          </w:p>
        </w:tc>
        <w:tc>
          <w:tcPr>
            <w:tcW w:type="dxa" w:w="1080"/>
          </w:tcPr>
          <w:p>
            <w:r>
              <w:rPr>
                <w:b w:val="0"/>
                <w:sz w:val="18"/>
              </w:rPr>
              <w:t>17.77</w:t>
            </w:r>
          </w:p>
        </w:tc>
        <w:tc>
          <w:tcPr>
            <w:tcW w:type="dxa" w:w="1080"/>
          </w:tcPr>
          <w:p>
            <w:r>
              <w:rPr>
                <w:b w:val="0"/>
                <w:sz w:val="18"/>
              </w:rPr>
              <w:t>17.70</w:t>
            </w:r>
          </w:p>
        </w:tc>
        <w:tc>
          <w:tcPr>
            <w:tcW w:type="dxa" w:w="1080"/>
          </w:tcPr>
          <w:p>
            <w:r>
              <w:rPr>
                <w:b w:val="0"/>
                <w:sz w:val="18"/>
              </w:rPr>
              <w:t>17.64</w:t>
            </w:r>
          </w:p>
        </w:tc>
      </w:tr>
      <w:tr>
        <w:tc>
          <w:tcPr>
            <w:tcW w:type="dxa" w:w="1080"/>
          </w:tcPr>
          <w:p>
            <w:r>
              <w:rPr>
                <w:b w:val="0"/>
                <w:sz w:val="18"/>
              </w:rPr>
              <w:t>Base</w:t>
            </w:r>
          </w:p>
        </w:tc>
        <w:tc>
          <w:tcPr>
            <w:tcW w:type="dxa" w:w="1080"/>
          </w:tcPr>
          <w:p>
            <w:r>
              <w:rPr>
                <w:b w:val="0"/>
                <w:sz w:val="18"/>
              </w:rPr>
              <w:t>Petrol</w:t>
            </w:r>
          </w:p>
        </w:tc>
        <w:tc>
          <w:tcPr>
            <w:tcW w:type="dxa" w:w="1080"/>
          </w:tcPr>
          <w:p>
            <w:r>
              <w:rPr>
                <w:b w:val="0"/>
                <w:sz w:val="18"/>
              </w:rPr>
              <w:t>7.03</w:t>
            </w:r>
          </w:p>
        </w:tc>
        <w:tc>
          <w:tcPr>
            <w:tcW w:type="dxa" w:w="1080"/>
          </w:tcPr>
          <w:p>
            <w:r>
              <w:rPr>
                <w:b w:val="0"/>
                <w:sz w:val="18"/>
              </w:rPr>
              <w:t>6.86</w:t>
            </w:r>
          </w:p>
        </w:tc>
        <w:tc>
          <w:tcPr>
            <w:tcW w:type="dxa" w:w="1080"/>
          </w:tcPr>
          <w:p>
            <w:r>
              <w:rPr>
                <w:b w:val="0"/>
                <w:sz w:val="18"/>
              </w:rPr>
              <w:t>6.80</w:t>
            </w:r>
          </w:p>
        </w:tc>
        <w:tc>
          <w:tcPr>
            <w:tcW w:type="dxa" w:w="1080"/>
          </w:tcPr>
          <w:p>
            <w:r>
              <w:rPr>
                <w:b w:val="0"/>
                <w:sz w:val="18"/>
              </w:rPr>
              <w:t>6.81</w:t>
            </w:r>
          </w:p>
        </w:tc>
        <w:tc>
          <w:tcPr>
            <w:tcW w:type="dxa" w:w="1080"/>
          </w:tcPr>
          <w:p>
            <w:r>
              <w:rPr>
                <w:b w:val="0"/>
                <w:sz w:val="18"/>
              </w:rPr>
              <w:t>6.86</w:t>
            </w:r>
          </w:p>
        </w:tc>
        <w:tc>
          <w:tcPr>
            <w:tcW w:type="dxa" w:w="1080"/>
          </w:tcPr>
          <w:p>
            <w:r>
              <w:rPr>
                <w:b w:val="0"/>
                <w:sz w:val="18"/>
              </w:rPr>
              <w:t>6.93</w:t>
            </w:r>
          </w:p>
        </w:tc>
      </w:tr>
      <w:tr>
        <w:tc>
          <w:tcPr>
            <w:tcW w:type="dxa" w:w="1080"/>
          </w:tcPr>
          <w:p>
            <w:r>
              <w:rPr>
                <w:b w:val="0"/>
                <w:sz w:val="18"/>
              </w:rPr>
              <w:t>Base</w:t>
            </w:r>
          </w:p>
        </w:tc>
        <w:tc>
          <w:tcPr>
            <w:tcW w:type="dxa" w:w="1080"/>
          </w:tcPr>
          <w:p>
            <w:r>
              <w:rPr>
                <w:b w:val="0"/>
                <w:sz w:val="18"/>
              </w:rPr>
              <w:t>Diesel</w:t>
            </w:r>
          </w:p>
        </w:tc>
        <w:tc>
          <w:tcPr>
            <w:tcW w:type="dxa" w:w="1080"/>
          </w:tcPr>
          <w:p>
            <w:r>
              <w:rPr>
                <w:b w:val="0"/>
                <w:sz w:val="18"/>
              </w:rPr>
              <w:t>11.17</w:t>
            </w:r>
          </w:p>
        </w:tc>
        <w:tc>
          <w:tcPr>
            <w:tcW w:type="dxa" w:w="1080"/>
          </w:tcPr>
          <w:p>
            <w:r>
              <w:rPr>
                <w:b w:val="0"/>
                <w:sz w:val="18"/>
              </w:rPr>
              <w:t>11.31</w:t>
            </w:r>
          </w:p>
        </w:tc>
        <w:tc>
          <w:tcPr>
            <w:tcW w:type="dxa" w:w="1080"/>
          </w:tcPr>
          <w:p>
            <w:r>
              <w:rPr>
                <w:b w:val="0"/>
                <w:sz w:val="18"/>
              </w:rPr>
              <w:t>11.45</w:t>
            </w:r>
          </w:p>
        </w:tc>
        <w:tc>
          <w:tcPr>
            <w:tcW w:type="dxa" w:w="1080"/>
          </w:tcPr>
          <w:p>
            <w:r>
              <w:rPr>
                <w:b w:val="0"/>
                <w:sz w:val="18"/>
              </w:rPr>
              <w:t>11.60</w:t>
            </w:r>
          </w:p>
        </w:tc>
        <w:tc>
          <w:tcPr>
            <w:tcW w:type="dxa" w:w="1080"/>
          </w:tcPr>
          <w:p>
            <w:r>
              <w:rPr>
                <w:b w:val="0"/>
                <w:sz w:val="18"/>
              </w:rPr>
              <w:t>11.74</w:t>
            </w:r>
          </w:p>
        </w:tc>
        <w:tc>
          <w:tcPr>
            <w:tcW w:type="dxa" w:w="1080"/>
          </w:tcPr>
          <w:p>
            <w:r>
              <w:rPr>
                <w:b w:val="0"/>
                <w:sz w:val="18"/>
              </w:rPr>
              <w:t>11.89</w:t>
            </w:r>
          </w:p>
        </w:tc>
      </w:tr>
      <w:tr>
        <w:tc>
          <w:tcPr>
            <w:tcW w:type="dxa" w:w="1080"/>
          </w:tcPr>
          <w:p>
            <w:r>
              <w:rPr>
                <w:b w:val="0"/>
                <w:sz w:val="18"/>
              </w:rPr>
              <w:t>Base</w:t>
            </w:r>
          </w:p>
        </w:tc>
        <w:tc>
          <w:tcPr>
            <w:tcW w:type="dxa" w:w="1080"/>
          </w:tcPr>
          <w:p>
            <w:r>
              <w:rPr>
                <w:b w:val="0"/>
                <w:sz w:val="18"/>
              </w:rPr>
              <w:t>Total</w:t>
            </w:r>
          </w:p>
        </w:tc>
        <w:tc>
          <w:tcPr>
            <w:tcW w:type="dxa" w:w="1080"/>
          </w:tcPr>
          <w:p>
            <w:r>
              <w:rPr>
                <w:b w:val="0"/>
                <w:sz w:val="18"/>
              </w:rPr>
              <w:t>18.21</w:t>
            </w:r>
          </w:p>
        </w:tc>
        <w:tc>
          <w:tcPr>
            <w:tcW w:type="dxa" w:w="1080"/>
          </w:tcPr>
          <w:p>
            <w:r>
              <w:rPr>
                <w:b w:val="0"/>
                <w:sz w:val="18"/>
              </w:rPr>
              <w:t>18.17</w:t>
            </w:r>
          </w:p>
        </w:tc>
        <w:tc>
          <w:tcPr>
            <w:tcW w:type="dxa" w:w="1080"/>
          </w:tcPr>
          <w:p>
            <w:r>
              <w:rPr>
                <w:b w:val="0"/>
                <w:sz w:val="18"/>
              </w:rPr>
              <w:t>18.25</w:t>
            </w:r>
          </w:p>
        </w:tc>
        <w:tc>
          <w:tcPr>
            <w:tcW w:type="dxa" w:w="1080"/>
          </w:tcPr>
          <w:p>
            <w:r>
              <w:rPr>
                <w:b w:val="0"/>
                <w:sz w:val="18"/>
              </w:rPr>
              <w:t>18.40</w:t>
            </w:r>
          </w:p>
        </w:tc>
        <w:tc>
          <w:tcPr>
            <w:tcW w:type="dxa" w:w="1080"/>
          </w:tcPr>
          <w:p>
            <w:r>
              <w:rPr>
                <w:b w:val="0"/>
                <w:sz w:val="18"/>
              </w:rPr>
              <w:t>18.60</w:t>
            </w:r>
          </w:p>
        </w:tc>
        <w:tc>
          <w:tcPr>
            <w:tcW w:type="dxa" w:w="1080"/>
          </w:tcPr>
          <w:p>
            <w:r>
              <w:rPr>
                <w:b w:val="0"/>
                <w:sz w:val="18"/>
              </w:rPr>
              <w:t>18.82</w:t>
            </w:r>
          </w:p>
        </w:tc>
      </w:tr>
      <w:tr>
        <w:tc>
          <w:tcPr>
            <w:tcW w:type="dxa" w:w="1080"/>
          </w:tcPr>
          <w:p>
            <w:r>
              <w:rPr>
                <w:b w:val="0"/>
                <w:sz w:val="18"/>
              </w:rPr>
              <w:t>High</w:t>
            </w:r>
          </w:p>
        </w:tc>
        <w:tc>
          <w:tcPr>
            <w:tcW w:type="dxa" w:w="1080"/>
          </w:tcPr>
          <w:p>
            <w:r>
              <w:rPr>
                <w:b w:val="0"/>
                <w:sz w:val="18"/>
              </w:rPr>
              <w:t>Petrol</w:t>
            </w:r>
          </w:p>
        </w:tc>
        <w:tc>
          <w:tcPr>
            <w:tcW w:type="dxa" w:w="1080"/>
          </w:tcPr>
          <w:p>
            <w:r>
              <w:rPr>
                <w:b w:val="0"/>
                <w:sz w:val="18"/>
              </w:rPr>
              <w:t>7.03</w:t>
            </w:r>
          </w:p>
        </w:tc>
        <w:tc>
          <w:tcPr>
            <w:tcW w:type="dxa" w:w="1080"/>
          </w:tcPr>
          <w:p>
            <w:r>
              <w:rPr>
                <w:b w:val="0"/>
                <w:sz w:val="18"/>
              </w:rPr>
              <w:t>6.89</w:t>
            </w:r>
          </w:p>
        </w:tc>
        <w:tc>
          <w:tcPr>
            <w:tcW w:type="dxa" w:w="1080"/>
          </w:tcPr>
          <w:p>
            <w:r>
              <w:rPr>
                <w:b w:val="0"/>
                <w:sz w:val="18"/>
              </w:rPr>
              <w:t>6.91</w:t>
            </w:r>
          </w:p>
        </w:tc>
        <w:tc>
          <w:tcPr>
            <w:tcW w:type="dxa" w:w="1080"/>
          </w:tcPr>
          <w:p>
            <w:r>
              <w:rPr>
                <w:b w:val="0"/>
                <w:sz w:val="18"/>
              </w:rPr>
              <w:t>7.02</w:t>
            </w:r>
          </w:p>
        </w:tc>
        <w:tc>
          <w:tcPr>
            <w:tcW w:type="dxa" w:w="1080"/>
          </w:tcPr>
          <w:p>
            <w:r>
              <w:rPr>
                <w:b w:val="0"/>
                <w:sz w:val="18"/>
              </w:rPr>
              <w:t>7.20</w:t>
            </w:r>
          </w:p>
        </w:tc>
        <w:tc>
          <w:tcPr>
            <w:tcW w:type="dxa" w:w="1080"/>
          </w:tcPr>
          <w:p>
            <w:r>
              <w:rPr>
                <w:b w:val="0"/>
                <w:sz w:val="18"/>
              </w:rPr>
              <w:t>7.43</w:t>
            </w:r>
          </w:p>
        </w:tc>
      </w:tr>
      <w:tr>
        <w:tc>
          <w:tcPr>
            <w:tcW w:type="dxa" w:w="1080"/>
          </w:tcPr>
          <w:p>
            <w:r>
              <w:rPr>
                <w:b w:val="0"/>
                <w:sz w:val="18"/>
              </w:rPr>
              <w:t>High</w:t>
            </w:r>
          </w:p>
        </w:tc>
        <w:tc>
          <w:tcPr>
            <w:tcW w:type="dxa" w:w="1080"/>
          </w:tcPr>
          <w:p>
            <w:r>
              <w:rPr>
                <w:b w:val="0"/>
                <w:sz w:val="18"/>
              </w:rPr>
              <w:t>Diesel</w:t>
            </w:r>
          </w:p>
        </w:tc>
        <w:tc>
          <w:tcPr>
            <w:tcW w:type="dxa" w:w="1080"/>
          </w:tcPr>
          <w:p>
            <w:r>
              <w:rPr>
                <w:b w:val="0"/>
                <w:sz w:val="18"/>
              </w:rPr>
              <w:t>11.17</w:t>
            </w:r>
          </w:p>
        </w:tc>
        <w:tc>
          <w:tcPr>
            <w:tcW w:type="dxa" w:w="1080"/>
          </w:tcPr>
          <w:p>
            <w:r>
              <w:rPr>
                <w:b w:val="0"/>
                <w:sz w:val="18"/>
              </w:rPr>
              <w:t>11.47</w:t>
            </w:r>
          </w:p>
        </w:tc>
        <w:tc>
          <w:tcPr>
            <w:tcW w:type="dxa" w:w="1080"/>
          </w:tcPr>
          <w:p>
            <w:r>
              <w:rPr>
                <w:b w:val="0"/>
                <w:sz w:val="18"/>
              </w:rPr>
              <w:t>11.78</w:t>
            </w:r>
          </w:p>
        </w:tc>
        <w:tc>
          <w:tcPr>
            <w:tcW w:type="dxa" w:w="1080"/>
          </w:tcPr>
          <w:p>
            <w:r>
              <w:rPr>
                <w:b w:val="0"/>
                <w:sz w:val="18"/>
              </w:rPr>
              <w:t>12.10</w:t>
            </w:r>
          </w:p>
        </w:tc>
        <w:tc>
          <w:tcPr>
            <w:tcW w:type="dxa" w:w="1080"/>
          </w:tcPr>
          <w:p>
            <w:r>
              <w:rPr>
                <w:b w:val="0"/>
                <w:sz w:val="18"/>
              </w:rPr>
              <w:t>12.42</w:t>
            </w:r>
          </w:p>
        </w:tc>
        <w:tc>
          <w:tcPr>
            <w:tcW w:type="dxa" w:w="1080"/>
          </w:tcPr>
          <w:p>
            <w:r>
              <w:rPr>
                <w:b w:val="0"/>
                <w:sz w:val="18"/>
              </w:rPr>
              <w:t>12.75</w:t>
            </w:r>
          </w:p>
        </w:tc>
      </w:tr>
      <w:tr>
        <w:tc>
          <w:tcPr>
            <w:tcW w:type="dxa" w:w="1080"/>
          </w:tcPr>
          <w:p>
            <w:r>
              <w:rPr>
                <w:b w:val="0"/>
                <w:sz w:val="18"/>
              </w:rPr>
              <w:t>High</w:t>
            </w:r>
          </w:p>
        </w:tc>
        <w:tc>
          <w:tcPr>
            <w:tcW w:type="dxa" w:w="1080"/>
          </w:tcPr>
          <w:p>
            <w:r>
              <w:rPr>
                <w:b w:val="0"/>
                <w:sz w:val="18"/>
              </w:rPr>
              <w:t>Total</w:t>
            </w:r>
          </w:p>
        </w:tc>
        <w:tc>
          <w:tcPr>
            <w:tcW w:type="dxa" w:w="1080"/>
          </w:tcPr>
          <w:p>
            <w:r>
              <w:rPr>
                <w:b w:val="0"/>
                <w:sz w:val="18"/>
              </w:rPr>
              <w:t>18.21</w:t>
            </w:r>
          </w:p>
        </w:tc>
        <w:tc>
          <w:tcPr>
            <w:tcW w:type="dxa" w:w="1080"/>
          </w:tcPr>
          <w:p>
            <w:r>
              <w:rPr>
                <w:b w:val="0"/>
                <w:sz w:val="18"/>
              </w:rPr>
              <w:t>18.36</w:t>
            </w:r>
          </w:p>
        </w:tc>
        <w:tc>
          <w:tcPr>
            <w:tcW w:type="dxa" w:w="1080"/>
          </w:tcPr>
          <w:p>
            <w:r>
              <w:rPr>
                <w:b w:val="0"/>
                <w:sz w:val="18"/>
              </w:rPr>
              <w:t>18.69</w:t>
            </w:r>
          </w:p>
        </w:tc>
        <w:tc>
          <w:tcPr>
            <w:tcW w:type="dxa" w:w="1080"/>
          </w:tcPr>
          <w:p>
            <w:r>
              <w:rPr>
                <w:b w:val="0"/>
                <w:sz w:val="18"/>
              </w:rPr>
              <w:t>19.11</w:t>
            </w:r>
          </w:p>
        </w:tc>
        <w:tc>
          <w:tcPr>
            <w:tcW w:type="dxa" w:w="1080"/>
          </w:tcPr>
          <w:p>
            <w:r>
              <w:rPr>
                <w:b w:val="0"/>
                <w:sz w:val="18"/>
              </w:rPr>
              <w:t>19.62</w:t>
            </w:r>
          </w:p>
        </w:tc>
        <w:tc>
          <w:tcPr>
            <w:tcW w:type="dxa" w:w="1080"/>
          </w:tcPr>
          <w:p>
            <w:r>
              <w:rPr>
                <w:b w:val="0"/>
                <w:sz w:val="18"/>
              </w:rPr>
              <w:t>20.18</w:t>
            </w:r>
          </w:p>
        </w:tc>
      </w:tr>
    </w:tbl>
    <w:p/>
    <w:p>
      <w:pPr>
        <w:pStyle w:val="Heading1"/>
      </w:pPr>
      <w:r>
        <w:t>6. What changed from the analytical workbook v02 (for your decision)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Workbook v02</w:t>
            </w:r>
          </w:p>
        </w:tc>
        <w:tc>
          <w:tcPr>
            <w:tcW w:type="dxa" w:w="2880"/>
          </w:tcPr>
          <w:p>
            <w:r>
              <w:rPr>
                <w:b/>
                <w:sz w:val="18"/>
              </w:rPr>
              <w:t>This model</w:t>
            </w:r>
          </w:p>
        </w:tc>
      </w:tr>
      <w:tr>
        <w:tc>
          <w:tcPr>
            <w:tcW w:type="dxa" w:w="2880"/>
          </w:tcPr>
          <w:p>
            <w:r>
              <w:rPr>
                <w:b w:val="0"/>
                <w:sz w:val="18"/>
              </w:rPr>
              <w:t>Area</w:t>
            </w:r>
          </w:p>
        </w:tc>
        <w:tc>
          <w:tcPr>
            <w:tcW w:type="dxa" w:w="2880"/>
          </w:tcPr>
          <w:p>
            <w:r>
              <w:rPr>
                <w:b w:val="0"/>
                <w:sz w:val="18"/>
              </w:rPr>
              <w:t>National</w:t>
            </w:r>
          </w:p>
        </w:tc>
        <w:tc>
          <w:tcPr>
            <w:tcW w:type="dxa" w:w="2880"/>
          </w:tcPr>
          <w:p>
            <w:r>
              <w:rPr>
                <w:b w:val="0"/>
                <w:sz w:val="18"/>
              </w:rPr>
              <w:t>Market of interest (six provinces)</w:t>
            </w:r>
          </w:p>
        </w:tc>
      </w:tr>
      <w:tr>
        <w:tc>
          <w:tcPr>
            <w:tcW w:type="dxa" w:w="2880"/>
          </w:tcPr>
          <w:p>
            <w:r>
              <w:rPr>
                <w:b w:val="0"/>
                <w:sz w:val="18"/>
              </w:rPr>
              <w:t>2025 starting point</w:t>
            </w:r>
          </w:p>
        </w:tc>
        <w:tc>
          <w:tcPr>
            <w:tcW w:type="dxa" w:w="2880"/>
          </w:tcPr>
          <w:p>
            <w:r>
              <w:rPr>
                <w:b w:val="0"/>
                <w:sz w:val="18"/>
              </w:rPr>
              <w:t>21.0bn L (sales-based)</w:t>
            </w:r>
          </w:p>
        </w:tc>
        <w:tc>
          <w:tcPr>
            <w:tcW w:type="dxa" w:w="2880"/>
          </w:tcPr>
          <w:p>
            <w:r>
              <w:rPr>
                <w:b w:val="0"/>
                <w:sz w:val="18"/>
              </w:rPr>
              <w:t>25.4bn L national (production + imports - exports); 18.2bn L in the area</w:t>
            </w:r>
          </w:p>
        </w:tc>
      </w:tr>
      <w:tr>
        <w:tc>
          <w:tcPr>
            <w:tcW w:type="dxa" w:w="2880"/>
          </w:tcPr>
          <w:p>
            <w:r>
              <w:rPr>
                <w:b w:val="0"/>
                <w:sz w:val="18"/>
              </w:rPr>
              <w:t>Activity growth</w:t>
            </w:r>
          </w:p>
        </w:tc>
        <w:tc>
          <w:tcPr>
            <w:tcW w:type="dxa" w:w="2880"/>
          </w:tcPr>
          <w:p>
            <w:r>
              <w:rPr>
                <w:b w:val="0"/>
                <w:sz w:val="18"/>
              </w:rPr>
              <w:t>0.5 / 1.5 / 2.5% a year (analyst sensitivity)</w:t>
            </w:r>
          </w:p>
        </w:tc>
        <w:tc>
          <w:tcPr>
            <w:tcW w:type="dxa" w:w="2880"/>
          </w:tcPr>
          <w:p>
            <w:r>
              <w:rPr>
                <w:b w:val="0"/>
                <w:sz w:val="18"/>
              </w:rPr>
              <w:t>GDP 1.0 / 2.0 / 3.0% (IMF / Treasury / MTDP); petrol at 0.36 x GDP</w:t>
            </w:r>
          </w:p>
        </w:tc>
      </w:tr>
      <w:tr>
        <w:tc>
          <w:tcPr>
            <w:tcW w:type="dxa" w:w="2880"/>
          </w:tcPr>
          <w:p>
            <w:r>
              <w:rPr>
                <w:b w:val="0"/>
                <w:sz w:val="18"/>
              </w:rPr>
              <w:t>Petrol price</w:t>
            </w:r>
          </w:p>
        </w:tc>
        <w:tc>
          <w:tcPr>
            <w:tcW w:type="dxa" w:w="2880"/>
          </w:tcPr>
          <w:p>
            <w:r>
              <w:rPr>
                <w:b w:val="0"/>
                <w:sz w:val="18"/>
              </w:rPr>
              <w:t>Not modelled</w:t>
            </w:r>
          </w:p>
        </w:tc>
        <w:tc>
          <w:tcPr>
            <w:tcW w:type="dxa" w:w="2880"/>
          </w:tcPr>
          <w:p>
            <w:r>
              <w:rPr>
                <w:b w:val="0"/>
                <w:sz w:val="18"/>
              </w:rPr>
              <w:t>Elasticity -0.47, phased; scenario price paths</w:t>
            </w:r>
          </w:p>
        </w:tc>
      </w:tr>
      <w:tr>
        <w:tc>
          <w:tcPr>
            <w:tcW w:type="dxa" w:w="2880"/>
          </w:tcPr>
          <w:p>
            <w:r>
              <w:rPr>
                <w:b w:val="0"/>
                <w:sz w:val="18"/>
              </w:rPr>
              <w:t>Efficiency</w:t>
            </w:r>
          </w:p>
        </w:tc>
        <w:tc>
          <w:tcPr>
            <w:tcW w:type="dxa" w:w="2880"/>
          </w:tcPr>
          <w:p>
            <w:r>
              <w:rPr>
                <w:b w:val="0"/>
                <w:sz w:val="18"/>
              </w:rPr>
              <w:t>1.5 / 1.0 / 0.5% a year (analyst sensitivity)</w:t>
            </w:r>
          </w:p>
        </w:tc>
        <w:tc>
          <w:tcPr>
            <w:tcW w:type="dxa" w:w="2880"/>
          </w:tcPr>
          <w:p>
            <w:r>
              <w:rPr>
                <w:b w:val="0"/>
                <w:sz w:val="18"/>
              </w:rPr>
              <w:t>Petrol 0.8 / 0.65 / 0.5%; diesel 0.7 / 0.55 / 0.4% (SA fleet evidence)</w:t>
            </w:r>
          </w:p>
        </w:tc>
      </w:tr>
      <w:tr>
        <w:tc>
          <w:tcPr>
            <w:tcW w:type="dxa" w:w="2880"/>
          </w:tcPr>
          <w:p>
            <w:r>
              <w:rPr>
                <w:b w:val="0"/>
                <w:sz w:val="18"/>
              </w:rPr>
              <w:t>EVs</w:t>
            </w:r>
          </w:p>
        </w:tc>
        <w:tc>
          <w:tcPr>
            <w:tcW w:type="dxa" w:w="2880"/>
          </w:tcPr>
          <w:p>
            <w:r>
              <w:rPr>
                <w:b w:val="0"/>
                <w:sz w:val="18"/>
              </w:rPr>
              <w:t>Not in the scenarios</w:t>
            </w:r>
          </w:p>
        </w:tc>
        <w:tc>
          <w:tcPr>
            <w:tcW w:type="dxa" w:w="2880"/>
          </w:tcPr>
          <w:p>
            <w:r>
              <w:rPr>
                <w:b w:val="0"/>
                <w:sz w:val="18"/>
              </w:rPr>
              <w:t>S-curve through the light-vehicle fleet</w:t>
            </w:r>
          </w:p>
        </w:tc>
      </w:tr>
      <w:tr>
        <w:tc>
          <w:tcPr>
            <w:tcW w:type="dxa" w:w="2880"/>
          </w:tcPr>
          <w:p>
            <w:r>
              <w:rPr>
                <w:b w:val="0"/>
                <w:sz w:val="18"/>
              </w:rPr>
              <w:t>Rail</w:t>
            </w:r>
          </w:p>
        </w:tc>
        <w:tc>
          <w:tcPr>
            <w:tcW w:type="dxa" w:w="2880"/>
          </w:tcPr>
          <w:p>
            <w:r>
              <w:rPr>
                <w:b w:val="0"/>
                <w:sz w:val="18"/>
              </w:rPr>
              <w:t>15 / 7.5 / 2.5% of road freight (implies ~345 / 265m t)</w:t>
            </w:r>
          </w:p>
        </w:tc>
        <w:tc>
          <w:tcPr>
            <w:tcW w:type="dxa" w:w="2880"/>
          </w:tcPr>
          <w:p>
            <w:r>
              <w:rPr>
                <w:b w:val="0"/>
                <w:sz w:val="18"/>
              </w:rPr>
              <w:t>262 / 250 / 215m t by 2030</w:t>
            </w:r>
          </w:p>
        </w:tc>
      </w:tr>
      <w:tr>
        <w:tc>
          <w:tcPr>
            <w:tcW w:type="dxa" w:w="2880"/>
          </w:tcPr>
          <w:p>
            <w:r>
              <w:rPr>
                <w:b w:val="0"/>
                <w:sz w:val="18"/>
              </w:rPr>
              <w:t>Rail's own diesel</w:t>
            </w:r>
          </w:p>
        </w:tc>
        <w:tc>
          <w:tcPr>
            <w:tcW w:type="dxa" w:w="2880"/>
          </w:tcPr>
          <w:p>
            <w:r>
              <w:rPr>
                <w:b w:val="0"/>
                <w:sz w:val="18"/>
              </w:rPr>
              <w:t>10% rebound</w:t>
            </w:r>
          </w:p>
        </w:tc>
        <w:tc>
          <w:tcPr>
            <w:tcW w:type="dxa" w:w="2880"/>
          </w:tcPr>
          <w:p>
            <w:r>
              <w:rPr>
                <w:b w:val="0"/>
                <w:sz w:val="18"/>
              </w:rPr>
              <w:t>Excluded</w:t>
            </w:r>
          </w:p>
        </w:tc>
      </w:tr>
      <w:tr>
        <w:tc>
          <w:tcPr>
            <w:tcW w:type="dxa" w:w="2880"/>
          </w:tcPr>
          <w:p>
            <w:r>
              <w:rPr>
                <w:b w:val="0"/>
                <w:sz w:val="18"/>
              </w:rPr>
              <w:t>Power</w:t>
            </w:r>
          </w:p>
        </w:tc>
        <w:tc>
          <w:tcPr>
            <w:tcW w:type="dxa" w:w="2880"/>
          </w:tcPr>
          <w:p>
            <w:r>
              <w:rPr>
                <w:b w:val="0"/>
                <w:sz w:val="18"/>
              </w:rPr>
              <w:t>35 / 50 / 100% of 2025 utility + private power remaining</w:t>
            </w:r>
          </w:p>
        </w:tc>
        <w:tc>
          <w:tcPr>
            <w:tcW w:type="dxa" w:w="2880"/>
          </w:tcPr>
          <w:p>
            <w:r>
              <w:rPr>
                <w:b w:val="0"/>
                <w:sz w:val="18"/>
              </w:rPr>
              <w:t>Avon peaker load factor 1.4 / 4.5 / 10%; backup generators excluded</w:t>
            </w:r>
          </w:p>
        </w:tc>
      </w:tr>
    </w:tbl>
    <w:p/>
    <w:p>
      <w:pPr>
        <w:pStyle w:val="Heading1"/>
      </w:pPr>
      <w:r>
        <w:t>7. Limitations and points to review</w:t>
      </w:r>
    </w:p>
    <w:p>
      <w:pPr>
        <w:pStyle w:val="ListBullet"/>
      </w:pPr>
      <w:r>
        <w:t>Diesel 'unallocated' (2.9bn L in the area in 2025) is the gap between production + imports - exports and the workbook's sales-based segments. It grows with GDP. If part of 2025 is stock-building, 2025 and all cases are too high (the two-year average 2024-25 would be ~0.7bn L lower nationally).</w:t>
      </w:r>
    </w:p>
    <w:p>
      <w:pPr>
        <w:pStyle w:val="ListBullet"/>
      </w:pPr>
      <w:r>
        <w:t>District shares are fixed at 2022; Secunda and Natref output is held flat at 2025E and assumed to stay in the area.</w:t>
      </w:r>
    </w:p>
    <w:p>
      <w:pPr>
        <w:pStyle w:val="ListBullet"/>
      </w:pPr>
      <w:r>
        <w:t>Petrol elasticities come from 1978-2005 data; no newer SA estimate was found. Diesel has no price response.</w:t>
      </w:r>
    </w:p>
    <w:p>
      <w:pPr>
        <w:pStyle w:val="ListBullet"/>
      </w:pPr>
      <w:r>
        <w:t>Flat GDP of 2.0% in the base case is above Treasury's path for 2026-27 (1.6%, 1.8%); the rail calculation still uses Treasury's path.</w:t>
      </w:r>
    </w:p>
    <w:p>
      <w:pPr>
        <w:pStyle w:val="ListBullet"/>
      </w:pPr>
      <w:r>
        <w:t>EV S-curves give 0.2-0.4% of new sales in 2025 against 3.3% electrified sales in 2025 (mostly hybrids, which the efficiency rate covers); the curves may understate battery-EV take-up.</w:t>
      </w:r>
    </w:p>
    <w:p>
      <w:pPr>
        <w:pStyle w:val="ListBullet"/>
      </w:pPr>
      <w:r>
        <w:t>Avon's contract ends August/September 2030; the cases assume it runs through 2030.</w:t>
      </w:r>
    </w:p>
    <w:p>
      <w:pPr>
        <w:pStyle w:val="ListBullet"/>
      </w:pPr>
      <w:r>
        <w:t>The high-case price path and the 10% peaker load factor are scenario choices, not published figures.</w:t>
      </w:r>
    </w:p>
    <w:p>
      <w:pPr>
        <w:pStyle w:val="ListBullet"/>
      </w:pPr>
      <w:r>
        <w:t>Results are not yet in the repository's lfm model; the scripts read workbook v02 outputs and repository inputs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