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31E28">
      <w:pPr>
        <w:spacing w:after="0"/>
        <w:jc w:val="center"/>
        <w:rPr>
          <w:sz w:val="22"/>
          <w:szCs w:val="22"/>
        </w:rPr>
      </w:pPr>
      <w:r>
        <w:rPr>
          <w:rFonts w:ascii="Times New Roman" w:hAnsi="Times New Roman" w:eastAsia="Times New Roman" w:cs="Times New Roman"/>
          <w:b/>
          <w:bCs/>
          <w:color w:val="000000"/>
          <w:sz w:val="22"/>
          <w:szCs w:val="22"/>
        </w:rPr>
        <w:t>Oluwaseun Emmanuel AKPATA</w:t>
      </w:r>
    </w:p>
    <w:p w14:paraId="601B9F64">
      <w:pPr>
        <w:spacing w:after="240"/>
        <w:jc w:val="center"/>
        <w:rPr>
          <w:sz w:val="22"/>
          <w:szCs w:val="22"/>
        </w:rPr>
      </w:pPr>
      <w:r>
        <w:rPr>
          <w:rFonts w:ascii="Times New Roman" w:hAnsi="Times New Roman" w:eastAsia="Times New Roman" w:cs="Times New Roman"/>
          <w:b/>
          <w:bCs/>
          <w:color w:val="000000"/>
          <w:sz w:val="22"/>
          <w:szCs w:val="22"/>
        </w:rPr>
        <w:t>AFRICAN BRAIN DATA NETWORK FELLOWSHIP</w:t>
      </w:r>
    </w:p>
    <w:p w14:paraId="797C9B31">
      <w:pPr>
        <w:spacing w:after="240"/>
        <w:jc w:val="center"/>
        <w:rPr>
          <w:sz w:val="22"/>
          <w:szCs w:val="22"/>
        </w:rPr>
      </w:pPr>
      <w:r>
        <w:rPr>
          <w:rFonts w:ascii="Times New Roman" w:hAnsi="Times New Roman" w:eastAsia="Times New Roman" w:cs="Times New Roman"/>
          <w:b/>
          <w:bCs/>
          <w:color w:val="000000"/>
          <w:sz w:val="22"/>
          <w:szCs w:val="22"/>
        </w:rPr>
        <w:t>Synthesis Matrix: Emotional Intelligence and Employee Service Delivery in Healthcare</w:t>
      </w:r>
    </w:p>
    <w:p w14:paraId="28E0D7AE">
      <w:pPr>
        <w:spacing w:after="140" w:line="276" w:lineRule="auto"/>
        <w:rPr>
          <w:sz w:val="22"/>
          <w:szCs w:val="22"/>
        </w:rPr>
      </w:pPr>
      <w:r>
        <w:rPr>
          <w:rFonts w:ascii="Times New Roman" w:hAnsi="Times New Roman" w:eastAsia="Times New Roman" w:cs="Times New Roman"/>
          <w:color w:val="000000"/>
          <w:sz w:val="22"/>
          <w:szCs w:val="22"/>
        </w:rPr>
        <w:t>I built this matrix from the reference list of our scoping review, Babalola et al. (2026), published in the West Journal of Medical and Biomedical Sciences. I picked five sources that, for me, best show how the idea has been built up, tested and stretched across settings. Reading them side by side helped me see what the field agrees on and where it is still thin.</w:t>
      </w:r>
    </w:p>
    <w:tbl>
      <w:tblPr>
        <w:tblStyle w:val="9"/>
        <w:tblW w:w="13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2600"/>
        <w:gridCol w:w="3100"/>
        <w:gridCol w:w="2580"/>
        <w:gridCol w:w="2500"/>
      </w:tblGrid>
      <w:tr w14:paraId="36EA2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77133D7">
            <w:pPr>
              <w:rPr>
                <w:sz w:val="22"/>
                <w:szCs w:val="22"/>
              </w:rPr>
            </w:pPr>
            <w:r>
              <w:rPr>
                <w:rFonts w:ascii="Times New Roman" w:hAnsi="Times New Roman" w:eastAsia="Times New Roman" w:cs="Times New Roman"/>
                <w:b/>
                <w:bCs/>
                <w:color w:val="000000"/>
                <w:sz w:val="22"/>
                <w:szCs w:val="22"/>
              </w:rPr>
              <w:t>Source</w:t>
            </w:r>
          </w:p>
        </w:tc>
        <w:tc>
          <w:tcPr>
            <w:tcW w:w="2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2E80264">
            <w:pPr>
              <w:rPr>
                <w:sz w:val="22"/>
                <w:szCs w:val="22"/>
              </w:rPr>
            </w:pPr>
            <w:r>
              <w:rPr>
                <w:rFonts w:ascii="Times New Roman" w:hAnsi="Times New Roman" w:eastAsia="Times New Roman" w:cs="Times New Roman"/>
                <w:b/>
                <w:bCs/>
                <w:color w:val="000000"/>
                <w:sz w:val="22"/>
                <w:szCs w:val="22"/>
              </w:rPr>
              <w:t>Setting and design</w:t>
            </w:r>
          </w:p>
        </w:tc>
        <w:tc>
          <w:tcPr>
            <w:tcW w:w="31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20C8F3B">
            <w:pPr>
              <w:rPr>
                <w:sz w:val="22"/>
                <w:szCs w:val="22"/>
              </w:rPr>
            </w:pPr>
            <w:r>
              <w:rPr>
                <w:rFonts w:ascii="Times New Roman" w:hAnsi="Times New Roman" w:eastAsia="Times New Roman" w:cs="Times New Roman"/>
                <w:b/>
                <w:bCs/>
                <w:color w:val="000000"/>
                <w:sz w:val="22"/>
                <w:szCs w:val="22"/>
              </w:rPr>
              <w:t>Main finding on emotional intelligence</w:t>
            </w:r>
          </w:p>
        </w:tc>
        <w:tc>
          <w:tcPr>
            <w:tcW w:w="25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C34C7FC">
            <w:pPr>
              <w:rPr>
                <w:sz w:val="22"/>
                <w:szCs w:val="22"/>
              </w:rPr>
            </w:pPr>
            <w:r>
              <w:rPr>
                <w:rFonts w:ascii="Times New Roman" w:hAnsi="Times New Roman" w:eastAsia="Times New Roman" w:cs="Times New Roman"/>
                <w:b/>
                <w:bCs/>
                <w:color w:val="000000"/>
                <w:sz w:val="22"/>
                <w:szCs w:val="22"/>
              </w:rPr>
              <w:t>Limitation I noticed</w:t>
            </w:r>
          </w:p>
        </w:tc>
        <w:tc>
          <w:tcPr>
            <w:tcW w:w="2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2431841">
            <w:pPr>
              <w:rPr>
                <w:sz w:val="22"/>
                <w:szCs w:val="22"/>
              </w:rPr>
            </w:pPr>
            <w:r>
              <w:rPr>
                <w:rFonts w:ascii="Times New Roman" w:hAnsi="Times New Roman" w:eastAsia="Times New Roman" w:cs="Times New Roman"/>
                <w:b/>
                <w:bCs/>
                <w:color w:val="000000"/>
                <w:sz w:val="22"/>
                <w:szCs w:val="22"/>
              </w:rPr>
              <w:t>How it connects to my review</w:t>
            </w:r>
          </w:p>
        </w:tc>
      </w:tr>
      <w:tr w14:paraId="26F5B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AED82AC">
            <w:pPr>
              <w:rPr>
                <w:sz w:val="22"/>
                <w:szCs w:val="22"/>
              </w:rPr>
            </w:pPr>
            <w:r>
              <w:rPr>
                <w:rFonts w:ascii="Times New Roman" w:hAnsi="Times New Roman" w:eastAsia="Times New Roman" w:cs="Times New Roman"/>
                <w:b w:val="0"/>
                <w:bCs w:val="0"/>
                <w:color w:val="000000"/>
                <w:sz w:val="22"/>
                <w:szCs w:val="22"/>
              </w:rPr>
              <w:t>1. Goleman D. Emotional intelligence: why it can matter more than IQ. New York: Bantam Books; 1995.</w:t>
            </w:r>
          </w:p>
        </w:tc>
        <w:tc>
          <w:tcPr>
            <w:tcW w:w="2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8846941">
            <w:pPr>
              <w:rPr>
                <w:sz w:val="22"/>
                <w:szCs w:val="22"/>
              </w:rPr>
            </w:pPr>
            <w:r>
              <w:rPr>
                <w:rFonts w:ascii="Times New Roman" w:hAnsi="Times New Roman" w:eastAsia="Times New Roman" w:cs="Times New Roman"/>
                <w:b w:val="0"/>
                <w:bCs w:val="0"/>
                <w:color w:val="000000"/>
                <w:sz w:val="22"/>
                <w:szCs w:val="22"/>
              </w:rPr>
              <w:t>Conceptual and theoretical work on emotional intelligence in the workplace.</w:t>
            </w:r>
          </w:p>
        </w:tc>
        <w:tc>
          <w:tcPr>
            <w:tcW w:w="31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12B637A">
            <w:pPr>
              <w:rPr>
                <w:sz w:val="22"/>
                <w:szCs w:val="22"/>
              </w:rPr>
            </w:pPr>
            <w:r>
              <w:rPr>
                <w:rFonts w:ascii="Times New Roman" w:hAnsi="Times New Roman" w:eastAsia="Times New Roman" w:cs="Times New Roman"/>
                <w:b w:val="0"/>
                <w:bCs w:val="0"/>
                <w:color w:val="000000"/>
                <w:sz w:val="22"/>
                <w:szCs w:val="22"/>
              </w:rPr>
              <w:t>Sets out the five dimensions I rely on: self-awareness, self-regulation, motivation, empathy and social skills.</w:t>
            </w:r>
          </w:p>
        </w:tc>
        <w:tc>
          <w:tcPr>
            <w:tcW w:w="25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F23FCFE">
            <w:pPr>
              <w:rPr>
                <w:sz w:val="22"/>
                <w:szCs w:val="22"/>
              </w:rPr>
            </w:pPr>
            <w:r>
              <w:rPr>
                <w:rFonts w:ascii="Times New Roman" w:hAnsi="Times New Roman" w:eastAsia="Times New Roman" w:cs="Times New Roman"/>
                <w:b w:val="0"/>
                <w:bCs w:val="0"/>
                <w:color w:val="000000"/>
                <w:sz w:val="22"/>
                <w:szCs w:val="22"/>
              </w:rPr>
              <w:t>A framework rather than a healthcare study, so it offers no direct evidence on patient care.</w:t>
            </w:r>
          </w:p>
        </w:tc>
        <w:tc>
          <w:tcPr>
            <w:tcW w:w="2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B21BC55">
            <w:pPr>
              <w:rPr>
                <w:sz w:val="22"/>
                <w:szCs w:val="22"/>
              </w:rPr>
            </w:pPr>
            <w:r>
              <w:rPr>
                <w:rFonts w:ascii="Times New Roman" w:hAnsi="Times New Roman" w:eastAsia="Times New Roman" w:cs="Times New Roman"/>
                <w:b w:val="0"/>
                <w:bCs w:val="0"/>
                <w:color w:val="000000"/>
                <w:sz w:val="22"/>
                <w:szCs w:val="22"/>
              </w:rPr>
              <w:t>It is the backbone of my review and the lens for reading every other source.</w:t>
            </w:r>
          </w:p>
        </w:tc>
      </w:tr>
      <w:tr w14:paraId="1AD96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0E0F981">
            <w:pPr>
              <w:rPr>
                <w:sz w:val="22"/>
                <w:szCs w:val="22"/>
              </w:rPr>
            </w:pPr>
            <w:r>
              <w:rPr>
                <w:rFonts w:ascii="Times New Roman" w:hAnsi="Times New Roman" w:eastAsia="Times New Roman" w:cs="Times New Roman"/>
                <w:b w:val="0"/>
                <w:bCs w:val="0"/>
                <w:color w:val="000000"/>
                <w:sz w:val="22"/>
                <w:szCs w:val="22"/>
              </w:rPr>
              <w:t>2. Arora S, Ashrafian H, Davis R, Athanasiou T, Darzi A, Sevdalis N. Emotional intelligence in medicine: a systematic review. Med Educ. 2010;44(8):749-764.</w:t>
            </w:r>
          </w:p>
        </w:tc>
        <w:tc>
          <w:tcPr>
            <w:tcW w:w="2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5CE0A89">
            <w:pPr>
              <w:rPr>
                <w:sz w:val="22"/>
                <w:szCs w:val="22"/>
              </w:rPr>
            </w:pPr>
            <w:r>
              <w:rPr>
                <w:rFonts w:ascii="Times New Roman" w:hAnsi="Times New Roman" w:eastAsia="Times New Roman" w:cs="Times New Roman"/>
                <w:b w:val="0"/>
                <w:bCs w:val="0"/>
                <w:color w:val="000000"/>
                <w:sz w:val="22"/>
                <w:szCs w:val="22"/>
              </w:rPr>
              <w:t>Systematic review of studies on emotional intelligence among doctors and medical trainees.</w:t>
            </w:r>
          </w:p>
        </w:tc>
        <w:tc>
          <w:tcPr>
            <w:tcW w:w="31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6FCC124">
            <w:pPr>
              <w:rPr>
                <w:sz w:val="22"/>
                <w:szCs w:val="22"/>
              </w:rPr>
            </w:pPr>
            <w:r>
              <w:rPr>
                <w:rFonts w:ascii="Times New Roman" w:hAnsi="Times New Roman" w:eastAsia="Times New Roman" w:cs="Times New Roman"/>
                <w:b w:val="0"/>
                <w:bCs w:val="0"/>
                <w:color w:val="000000"/>
                <w:sz w:val="22"/>
                <w:szCs w:val="22"/>
              </w:rPr>
              <w:t>Links emotional intelligence to communication, teamwork and professional performance in medicine.</w:t>
            </w:r>
          </w:p>
        </w:tc>
        <w:tc>
          <w:tcPr>
            <w:tcW w:w="25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DAAE5A0">
            <w:pPr>
              <w:rPr>
                <w:sz w:val="22"/>
                <w:szCs w:val="22"/>
              </w:rPr>
            </w:pPr>
            <w:r>
              <w:rPr>
                <w:rFonts w:ascii="Times New Roman" w:hAnsi="Times New Roman" w:eastAsia="Times New Roman" w:cs="Times New Roman"/>
                <w:b w:val="0"/>
                <w:bCs w:val="0"/>
                <w:color w:val="000000"/>
                <w:sz w:val="22"/>
                <w:szCs w:val="22"/>
              </w:rPr>
              <w:t>Published before 2020 and drawn largely from high-income settings; measurement tools varied.</w:t>
            </w:r>
          </w:p>
        </w:tc>
        <w:tc>
          <w:tcPr>
            <w:tcW w:w="2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5CE7B67">
            <w:pPr>
              <w:rPr>
                <w:sz w:val="22"/>
                <w:szCs w:val="22"/>
              </w:rPr>
            </w:pPr>
            <w:r>
              <w:rPr>
                <w:rFonts w:ascii="Times New Roman" w:hAnsi="Times New Roman" w:eastAsia="Times New Roman" w:cs="Times New Roman"/>
                <w:b w:val="0"/>
                <w:bCs w:val="0"/>
                <w:color w:val="000000"/>
                <w:sz w:val="22"/>
                <w:szCs w:val="22"/>
              </w:rPr>
              <w:t>It shows me that emotional intelligence is a clinical competency and not an optional soft skill.</w:t>
            </w:r>
          </w:p>
        </w:tc>
      </w:tr>
      <w:tr w14:paraId="3646D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6631980">
            <w:pPr>
              <w:rPr>
                <w:sz w:val="22"/>
                <w:szCs w:val="22"/>
              </w:rPr>
            </w:pPr>
            <w:r>
              <w:rPr>
                <w:rFonts w:ascii="Times New Roman" w:hAnsi="Times New Roman" w:eastAsia="Times New Roman" w:cs="Times New Roman"/>
                <w:b w:val="0"/>
                <w:bCs w:val="0"/>
                <w:color w:val="000000"/>
                <w:sz w:val="22"/>
                <w:szCs w:val="22"/>
              </w:rPr>
              <w:t>3. Nightingale S, Spiby H, Sheen K, Slade P. The impact of emotional intelligence in nursing performance. Nurse Educ Today. 2018;68:144-149. (as listed in the paper)</w:t>
            </w:r>
          </w:p>
        </w:tc>
        <w:tc>
          <w:tcPr>
            <w:tcW w:w="2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F8E162C">
            <w:pPr>
              <w:rPr>
                <w:sz w:val="22"/>
                <w:szCs w:val="22"/>
              </w:rPr>
            </w:pPr>
            <w:r>
              <w:rPr>
                <w:rFonts w:ascii="Times New Roman" w:hAnsi="Times New Roman" w:eastAsia="Times New Roman" w:cs="Times New Roman"/>
                <w:b w:val="0"/>
                <w:bCs w:val="0"/>
                <w:color w:val="000000"/>
                <w:sz w:val="22"/>
                <w:szCs w:val="22"/>
              </w:rPr>
              <w:t>Review of emotional intelligence among nurses and other health professionals, mainly in the United Kingdom.</w:t>
            </w:r>
          </w:p>
        </w:tc>
        <w:tc>
          <w:tcPr>
            <w:tcW w:w="31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04BA993">
            <w:pPr>
              <w:rPr>
                <w:sz w:val="22"/>
                <w:szCs w:val="22"/>
              </w:rPr>
            </w:pPr>
            <w:r>
              <w:rPr>
                <w:rFonts w:ascii="Times New Roman" w:hAnsi="Times New Roman" w:eastAsia="Times New Roman" w:cs="Times New Roman"/>
                <w:b w:val="0"/>
                <w:bCs w:val="0"/>
                <w:color w:val="000000"/>
                <w:sz w:val="22"/>
                <w:szCs w:val="22"/>
              </w:rPr>
              <w:t>Higher emotional intelligence goes with more empathic, caring behaviour towards patients.</w:t>
            </w:r>
          </w:p>
        </w:tc>
        <w:tc>
          <w:tcPr>
            <w:tcW w:w="25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442C683">
            <w:pPr>
              <w:rPr>
                <w:sz w:val="22"/>
                <w:szCs w:val="22"/>
              </w:rPr>
            </w:pPr>
            <w:r>
              <w:rPr>
                <w:rFonts w:ascii="Times New Roman" w:hAnsi="Times New Roman" w:eastAsia="Times New Roman" w:cs="Times New Roman"/>
                <w:b w:val="0"/>
                <w:bCs w:val="0"/>
                <w:color w:val="000000"/>
                <w:sz w:val="22"/>
                <w:szCs w:val="22"/>
              </w:rPr>
              <w:t>Built on studies that were mostly cross-sectional and self-reported.</w:t>
            </w:r>
          </w:p>
        </w:tc>
        <w:tc>
          <w:tcPr>
            <w:tcW w:w="2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9FFBFE3">
            <w:pPr>
              <w:rPr>
                <w:sz w:val="22"/>
                <w:szCs w:val="22"/>
              </w:rPr>
            </w:pPr>
            <w:r>
              <w:rPr>
                <w:rFonts w:ascii="Times New Roman" w:hAnsi="Times New Roman" w:eastAsia="Times New Roman" w:cs="Times New Roman"/>
                <w:b w:val="0"/>
                <w:bCs w:val="0"/>
                <w:color w:val="000000"/>
                <w:sz w:val="22"/>
                <w:szCs w:val="22"/>
              </w:rPr>
              <w:t>It supports my finding that empathy is among the most influential dimensions for patient care.</w:t>
            </w:r>
          </w:p>
        </w:tc>
      </w:tr>
      <w:tr w14:paraId="1FEB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F751D32">
            <w:pPr>
              <w:rPr>
                <w:sz w:val="22"/>
                <w:szCs w:val="22"/>
              </w:rPr>
            </w:pPr>
            <w:r>
              <w:rPr>
                <w:rFonts w:ascii="Times New Roman" w:hAnsi="Times New Roman" w:eastAsia="Times New Roman" w:cs="Times New Roman"/>
                <w:b w:val="0"/>
                <w:bCs w:val="0"/>
                <w:color w:val="000000"/>
                <w:sz w:val="22"/>
                <w:szCs w:val="22"/>
              </w:rPr>
              <w:t>4. Soto-Rubio A, Gimenez-Espert MDC, Prado-Gasco V. Effect of emotional intelligence and psychosocial risks on burnout during COVID-19. Int J Environ Res Public Health. 2020;17(21):7998.</w:t>
            </w:r>
          </w:p>
        </w:tc>
        <w:tc>
          <w:tcPr>
            <w:tcW w:w="2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85342C5">
            <w:pPr>
              <w:rPr>
                <w:sz w:val="22"/>
                <w:szCs w:val="22"/>
              </w:rPr>
            </w:pPr>
            <w:r>
              <w:rPr>
                <w:rFonts w:ascii="Times New Roman" w:hAnsi="Times New Roman" w:eastAsia="Times New Roman" w:cs="Times New Roman"/>
                <w:b w:val="0"/>
                <w:bCs w:val="0"/>
                <w:color w:val="000000"/>
                <w:sz w:val="22"/>
                <w:szCs w:val="22"/>
              </w:rPr>
              <w:t>Survey of health workers in Spain during the COVID-19 pandemic.</w:t>
            </w:r>
          </w:p>
        </w:tc>
        <w:tc>
          <w:tcPr>
            <w:tcW w:w="31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B7FFDD8">
            <w:pPr>
              <w:rPr>
                <w:sz w:val="22"/>
                <w:szCs w:val="22"/>
              </w:rPr>
            </w:pPr>
            <w:r>
              <w:rPr>
                <w:rFonts w:ascii="Times New Roman" w:hAnsi="Times New Roman" w:eastAsia="Times New Roman" w:cs="Times New Roman"/>
                <w:b w:val="0"/>
                <w:bCs w:val="0"/>
                <w:color w:val="000000"/>
                <w:sz w:val="22"/>
                <w:szCs w:val="22"/>
              </w:rPr>
              <w:t>Emotional intelligence acts as a buffer against burnout and supports job satisfaction under pressure.</w:t>
            </w:r>
          </w:p>
        </w:tc>
        <w:tc>
          <w:tcPr>
            <w:tcW w:w="25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00EB33F">
            <w:pPr>
              <w:rPr>
                <w:sz w:val="22"/>
                <w:szCs w:val="22"/>
              </w:rPr>
            </w:pPr>
            <w:r>
              <w:rPr>
                <w:rFonts w:ascii="Times New Roman" w:hAnsi="Times New Roman" w:eastAsia="Times New Roman" w:cs="Times New Roman"/>
                <w:b w:val="0"/>
                <w:bCs w:val="0"/>
                <w:color w:val="000000"/>
                <w:sz w:val="22"/>
                <w:szCs w:val="22"/>
              </w:rPr>
              <w:t>Cross-sectional design, a single country, and data collected in an exceptional pandemic period.</w:t>
            </w:r>
          </w:p>
        </w:tc>
        <w:tc>
          <w:tcPr>
            <w:tcW w:w="2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6DE7F33">
            <w:pPr>
              <w:rPr>
                <w:sz w:val="22"/>
                <w:szCs w:val="22"/>
              </w:rPr>
            </w:pPr>
            <w:r>
              <w:rPr>
                <w:rFonts w:ascii="Times New Roman" w:hAnsi="Times New Roman" w:eastAsia="Times New Roman" w:cs="Times New Roman"/>
                <w:b w:val="0"/>
                <w:bCs w:val="0"/>
                <w:color w:val="000000"/>
                <w:sz w:val="22"/>
                <w:szCs w:val="22"/>
              </w:rPr>
              <w:t>It backs my point that emotional intelligence protects staff from burnout, which in turn affects service delivery.</w:t>
            </w:r>
          </w:p>
        </w:tc>
      </w:tr>
      <w:tr w14:paraId="69211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F8BF09A">
            <w:pPr>
              <w:rPr>
                <w:sz w:val="22"/>
                <w:szCs w:val="22"/>
              </w:rPr>
            </w:pPr>
            <w:r>
              <w:rPr>
                <w:rFonts w:ascii="Times New Roman" w:hAnsi="Times New Roman" w:eastAsia="Times New Roman" w:cs="Times New Roman"/>
                <w:b w:val="0"/>
                <w:bCs w:val="0"/>
                <w:color w:val="000000"/>
                <w:sz w:val="22"/>
                <w:szCs w:val="22"/>
              </w:rPr>
              <w:t>5. Budler LC, Gosak L, Vrbnjak D, Pajnkihar M, Stiglic G. Emotional intelligence among nursing students: findings from a longitudinal study. Healthcare. 2022;10(10):2032.</w:t>
            </w:r>
          </w:p>
        </w:tc>
        <w:tc>
          <w:tcPr>
            <w:tcW w:w="26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FCB0C30">
            <w:pPr>
              <w:rPr>
                <w:sz w:val="22"/>
                <w:szCs w:val="22"/>
              </w:rPr>
            </w:pPr>
            <w:r>
              <w:rPr>
                <w:rFonts w:ascii="Times New Roman" w:hAnsi="Times New Roman" w:eastAsia="Times New Roman" w:cs="Times New Roman"/>
                <w:b w:val="0"/>
                <w:bCs w:val="0"/>
                <w:color w:val="000000"/>
                <w:sz w:val="22"/>
                <w:szCs w:val="22"/>
              </w:rPr>
              <w:t>Longitudinal study of nursing students in a European setting.</w:t>
            </w:r>
          </w:p>
        </w:tc>
        <w:tc>
          <w:tcPr>
            <w:tcW w:w="31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0F46847">
            <w:pPr>
              <w:rPr>
                <w:sz w:val="22"/>
                <w:szCs w:val="22"/>
              </w:rPr>
            </w:pPr>
            <w:r>
              <w:rPr>
                <w:rFonts w:ascii="Times New Roman" w:hAnsi="Times New Roman" w:eastAsia="Times New Roman" w:cs="Times New Roman"/>
                <w:b w:val="0"/>
                <w:bCs w:val="0"/>
                <w:color w:val="000000"/>
                <w:sz w:val="22"/>
                <w:szCs w:val="22"/>
              </w:rPr>
              <w:t>Tracks how emotional intelligence develops over time during nursing training.</w:t>
            </w:r>
          </w:p>
        </w:tc>
        <w:tc>
          <w:tcPr>
            <w:tcW w:w="25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9FEC5B5">
            <w:pPr>
              <w:rPr>
                <w:sz w:val="22"/>
                <w:szCs w:val="22"/>
              </w:rPr>
            </w:pPr>
            <w:r>
              <w:rPr>
                <w:rFonts w:ascii="Times New Roman" w:hAnsi="Times New Roman" w:eastAsia="Times New Roman" w:cs="Times New Roman"/>
                <w:b w:val="0"/>
                <w:bCs w:val="0"/>
                <w:color w:val="000000"/>
                <w:sz w:val="22"/>
                <w:szCs w:val="22"/>
              </w:rPr>
              <w:t>Participants were students, not working staff, and service delivery was not measured.</w:t>
            </w:r>
          </w:p>
        </w:tc>
        <w:tc>
          <w:tcPr>
            <w:tcW w:w="2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3B8234F">
            <w:pPr>
              <w:rPr>
                <w:sz w:val="22"/>
                <w:szCs w:val="22"/>
              </w:rPr>
            </w:pPr>
            <w:r>
              <w:rPr>
                <w:rFonts w:ascii="Times New Roman" w:hAnsi="Times New Roman" w:eastAsia="Times New Roman" w:cs="Times New Roman"/>
                <w:b w:val="0"/>
                <w:bCs w:val="0"/>
                <w:color w:val="000000"/>
                <w:sz w:val="22"/>
                <w:szCs w:val="22"/>
              </w:rPr>
              <w:t>It is one of the few longitudinal designs I found, which makes the gap in my review clearer.</w:t>
            </w:r>
          </w:p>
        </w:tc>
      </w:tr>
    </w:tbl>
    <w:p w14:paraId="66E477BD">
      <w:pPr>
        <w:spacing w:before="280" w:after="140"/>
        <w:rPr>
          <w:sz w:val="22"/>
          <w:szCs w:val="22"/>
        </w:rPr>
      </w:pPr>
      <w:r>
        <w:rPr>
          <w:rFonts w:ascii="Times New Roman" w:hAnsi="Times New Roman" w:eastAsia="Times New Roman" w:cs="Times New Roman"/>
          <w:b/>
          <w:bCs/>
          <w:color w:val="000000"/>
          <w:sz w:val="22"/>
          <w:szCs w:val="22"/>
        </w:rPr>
        <w:t>What the sources say together</w:t>
      </w:r>
    </w:p>
    <w:p w14:paraId="199E3F50">
      <w:pPr>
        <w:spacing w:after="140" w:line="276" w:lineRule="auto"/>
        <w:rPr>
          <w:sz w:val="22"/>
          <w:szCs w:val="22"/>
        </w:rPr>
      </w:pPr>
      <w:r>
        <w:rPr>
          <w:rFonts w:ascii="Times New Roman" w:hAnsi="Times New Roman" w:eastAsia="Times New Roman" w:cs="Times New Roman"/>
          <w:color w:val="000000"/>
          <w:sz w:val="22"/>
          <w:szCs w:val="22"/>
        </w:rPr>
        <w:t>Read together, the five sources tell a fairly consistent story. Goleman gives the framework, and the healthcare studies then show the same pattern in practice: staff with stronger emotional intelligence, especially empathy and self-regulation, communicate better, care more attentively for patients and cope better with stress. Soto-Rubio and colleagues add the burnout angle, which matters because an exhausted worker cannot deliver good service. Where the sources differ is in what they actually measured. Some describe a concept, some review other people's studies, and only a few follow people over time.</w:t>
      </w:r>
    </w:p>
    <w:p w14:paraId="56AB3217">
      <w:pPr>
        <w:spacing w:before="200" w:after="140"/>
        <w:rPr>
          <w:sz w:val="22"/>
          <w:szCs w:val="22"/>
        </w:rPr>
      </w:pPr>
      <w:r>
        <w:rPr>
          <w:rFonts w:ascii="Times New Roman" w:hAnsi="Times New Roman" w:eastAsia="Times New Roman" w:cs="Times New Roman"/>
          <w:b/>
          <w:bCs/>
          <w:color w:val="000000"/>
          <w:sz w:val="22"/>
          <w:szCs w:val="22"/>
        </w:rPr>
        <w:t>Two gaps I identified</w:t>
      </w:r>
    </w:p>
    <w:p w14:paraId="3A4210AE">
      <w:pPr>
        <w:spacing w:after="140" w:line="276" w:lineRule="auto"/>
        <w:rPr>
          <w:sz w:val="22"/>
          <w:szCs w:val="22"/>
        </w:rPr>
      </w:pPr>
      <w:r>
        <w:rPr>
          <w:rFonts w:ascii="Times New Roman" w:hAnsi="Times New Roman" w:eastAsia="Times New Roman" w:cs="Times New Roman"/>
          <w:color w:val="000000"/>
          <w:sz w:val="22"/>
          <w:szCs w:val="22"/>
        </w:rPr>
        <w:t>Gap 1: Context. None of these sources looks at Nigerian public hospitals, and certainly not at general hospitals and state-owned facilities outside the tertiary system. The evidence comes mostly from Europe and other high-income settings, where staffing and resources are very different from what our health workers face daily. I cannot assume the same relationships hold where patient loads are heavy and workforce shortages are severe, so this needs to be tested locally.</w:t>
      </w:r>
    </w:p>
    <w:p w14:paraId="5A7E7263">
      <w:pPr>
        <w:spacing w:after="140" w:line="276" w:lineRule="auto"/>
        <w:rPr>
          <w:sz w:val="22"/>
          <w:szCs w:val="22"/>
        </w:rPr>
      </w:pPr>
      <w:r>
        <w:rPr>
          <w:rFonts w:ascii="Times New Roman" w:hAnsi="Times New Roman" w:eastAsia="Times New Roman" w:cs="Times New Roman"/>
          <w:color w:val="000000"/>
          <w:sz w:val="22"/>
          <w:szCs w:val="22"/>
        </w:rPr>
        <w:t>Gap 2: Design and measurement. Most of the evidence is cross-sectional and based on self-reported emotional intelligence, which tells us about association but not about cause and effect. The one longitudinal study here followed students, not practising staff, and none of the sources measured service delivery through patient feedback or observation. Future work should use longitudinal or mixed-methods designs that combine staff measures with patient-reported outcomes.</w:t>
      </w:r>
    </w:p>
    <w:p w14:paraId="3C23FF11">
      <w:pPr>
        <w:spacing w:before="200"/>
        <w:rPr>
          <w:sz w:val="22"/>
          <w:szCs w:val="22"/>
        </w:rPr>
      </w:pPr>
    </w:p>
    <w:sectPr>
      <w:pgSz w:w="16838" w:h="11906" w:orient="landscape"/>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CB802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729</Words>
  <Characters>4181</Characters>
  <TotalTime>15</TotalTime>
  <ScaleCrop>false</ScaleCrop>
  <LinksUpToDate>false</LinksUpToDate>
  <CharactersWithSpaces>4870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2026-10-05T11:54:00Z</dcterms:created>
  <dc:creator>Un-named</dc:creator>
  <cp:lastModifiedBy>akpata oluwaseun</cp:lastModifiedBy>
  <dcterms:modified xsi:type="dcterms:W3CDTF">2026-10-05T12:36:03Z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eyJoZGlkIjoiMTM4YWIyZWU5ZWJmYjMyNWNhNDUwMGQwNmJhN2EzNWMiLCJ1c2VySWQiOiIxNjY2NzQ3ODUyMzMyIn0=</vt:lpwstr>
  </property>
  <property fmtid="{D5CDD505-2E9C-101B-9397-08002B2CF9AE}" pid="3" name="KSOProductBuildVer">
    <vt:lpwstr>1033-12.1.0.28032</vt:lpwstr>
  </property>
  <property fmtid="{D5CDD505-2E9C-101B-9397-08002B2CF9AE}" pid="4" name="ICV">
    <vt:lpwstr>9C46C0DCC7004E3FBDCACAB5C8DFDCA8_13</vt:lpwstr>
  </property>
</Properties>
</file>