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with other players so that I can play with my friends.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game UI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game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to play the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user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