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52ECB" w14:textId="77777777" w:rsidR="00925EAD" w:rsidRDefault="00000000">
      <w:pPr>
        <w:spacing w:before="1200" w:after="40"/>
        <w:jc w:val="center"/>
      </w:pPr>
      <w:r>
        <w:rPr>
          <w:b/>
          <w:bCs/>
          <w:color w:val="1F4E79"/>
          <w:sz w:val="52"/>
          <w:szCs w:val="52"/>
        </w:rPr>
        <w:t>NovaCrest Financial Services Ltd</w:t>
      </w:r>
    </w:p>
    <w:p w14:paraId="3F50E76E" w14:textId="77777777" w:rsidR="00925EAD" w:rsidRDefault="00000000">
      <w:pPr>
        <w:spacing w:after="80"/>
        <w:jc w:val="center"/>
      </w:pPr>
      <w:r>
        <w:rPr>
          <w:b/>
          <w:bCs/>
          <w:color w:val="1F3864"/>
          <w:sz w:val="32"/>
          <w:szCs w:val="32"/>
        </w:rPr>
        <w:t>Incident Response Policy</w:t>
      </w:r>
    </w:p>
    <w:p w14:paraId="1DCB3DF5" w14:textId="77777777" w:rsidR="00925EAD" w:rsidRDefault="00000000">
      <w:pPr>
        <w:spacing w:after="60"/>
        <w:jc w:val="center"/>
      </w:pPr>
      <w:r>
        <w:rPr>
          <w:i/>
          <w:iCs/>
          <w:color w:val="555555"/>
          <w:sz w:val="19"/>
          <w:szCs w:val="19"/>
        </w:rPr>
        <w:t>ISO 27001:2022 — Annex A 5.24–5.28 | FCA Operational Resilience Framework</w:t>
      </w:r>
    </w:p>
    <w:p w14:paraId="19148F10" w14:textId="546A21CC" w:rsidR="00925EAD" w:rsidRDefault="00000000">
      <w:pPr>
        <w:spacing w:after="60"/>
        <w:jc w:val="center"/>
      </w:pPr>
      <w:r>
        <w:rPr>
          <w:color w:val="555555"/>
          <w:sz w:val="18"/>
          <w:szCs w:val="18"/>
        </w:rPr>
        <w:t xml:space="preserve">Organisation: NovaCrest Financial Services </w:t>
      </w:r>
      <w:r w:rsidR="00F22A64">
        <w:rPr>
          <w:color w:val="555555"/>
          <w:sz w:val="18"/>
          <w:szCs w:val="18"/>
        </w:rPr>
        <w:t>Ltd | Classification</w:t>
      </w:r>
      <w:r>
        <w:rPr>
          <w:color w:val="555555"/>
          <w:sz w:val="18"/>
          <w:szCs w:val="18"/>
        </w:rPr>
        <w:t>: CONFIDENTIAL</w:t>
      </w:r>
    </w:p>
    <w:p w14:paraId="44C10EFC" w14:textId="14D2BA57" w:rsidR="00925EAD" w:rsidRDefault="00000000">
      <w:pPr>
        <w:spacing w:after="60"/>
        <w:jc w:val="center"/>
      </w:pPr>
      <w:r>
        <w:rPr>
          <w:color w:val="555555"/>
          <w:sz w:val="18"/>
          <w:szCs w:val="18"/>
        </w:rPr>
        <w:t xml:space="preserve">Document Owner: </w:t>
      </w:r>
      <w:r w:rsidR="00F22A64">
        <w:rPr>
          <w:color w:val="555555"/>
          <w:sz w:val="18"/>
          <w:szCs w:val="18"/>
        </w:rPr>
        <w:t>Afrid Shaik</w:t>
      </w:r>
      <w:r>
        <w:rPr>
          <w:color w:val="555555"/>
          <w:sz w:val="18"/>
          <w:szCs w:val="18"/>
        </w:rPr>
        <w:t xml:space="preserve"> </w:t>
      </w:r>
      <w:r w:rsidR="00F22A64">
        <w:rPr>
          <w:color w:val="555555"/>
          <w:sz w:val="18"/>
          <w:szCs w:val="18"/>
        </w:rPr>
        <w:t>| Version</w:t>
      </w:r>
      <w:r>
        <w:rPr>
          <w:color w:val="555555"/>
          <w:sz w:val="18"/>
          <w:szCs w:val="18"/>
        </w:rPr>
        <w:t xml:space="preserve">: 1.0  |  Date: </w:t>
      </w:r>
      <w:r w:rsidR="00F22A64">
        <w:rPr>
          <w:color w:val="555555"/>
          <w:sz w:val="18"/>
          <w:szCs w:val="18"/>
        </w:rPr>
        <w:t xml:space="preserve">5 </w:t>
      </w:r>
      <w:r>
        <w:rPr>
          <w:color w:val="555555"/>
          <w:sz w:val="18"/>
          <w:szCs w:val="18"/>
        </w:rPr>
        <w:t>April 2026</w:t>
      </w:r>
    </w:p>
    <w:p w14:paraId="3D68BFE6" w14:textId="77777777" w:rsidR="00925EAD" w:rsidRDefault="00000000">
      <w:r>
        <w:br/>
      </w:r>
    </w:p>
    <w:p w14:paraId="7696B909" w14:textId="77777777" w:rsidR="00925EAD" w:rsidRDefault="00000000">
      <w:pPr>
        <w:pBdr>
          <w:bottom w:val="single" w:sz="10" w:space="2" w:color="2E75B6"/>
        </w:pBdr>
        <w:spacing w:before="200" w:after="60"/>
      </w:pPr>
      <w:r>
        <w:rPr>
          <w:b/>
          <w:bCs/>
          <w:color w:val="1F4E79"/>
          <w:sz w:val="22"/>
          <w:szCs w:val="22"/>
        </w:rPr>
        <w:t>1. PURPOSE &amp; SCOPE</w:t>
      </w:r>
    </w:p>
    <w:p w14:paraId="0F459059" w14:textId="77777777" w:rsidR="00925EAD" w:rsidRDefault="00000000">
      <w:pPr>
        <w:spacing w:after="50"/>
      </w:pPr>
      <w:r>
        <w:rPr>
          <w:color w:val="1A1A1A"/>
        </w:rPr>
        <w:t>This Incident Response Policy defines NovaCrest Financial Services Ltd's structured approach to identifying, managing, containing, eradicating and recovering from information security incidents. It ensures that all incidents are handled consistently, that regulatory notification obligations are met within required timescales, and that lessons learned are systematically captured to improve the organisation's security posture.</w:t>
      </w:r>
    </w:p>
    <w:p w14:paraId="7ABF6664" w14:textId="77777777" w:rsidR="00925EAD" w:rsidRDefault="00000000">
      <w:pPr>
        <w:spacing w:after="50"/>
      </w:pPr>
      <w:r>
        <w:rPr>
          <w:color w:val="1A1A1A"/>
        </w:rPr>
        <w:t>This policy applies to all employees, contractors and third parties who use, operate or support NovaCrest information assets and systems. It covers all information security incidents regardless of their origin (technical, human, physical or environmental).</w:t>
      </w:r>
    </w:p>
    <w:p w14:paraId="1BC81626" w14:textId="77777777" w:rsidR="00925EAD" w:rsidRDefault="00000000">
      <w:pPr>
        <w:pBdr>
          <w:bottom w:val="single" w:sz="10" w:space="2" w:color="2E75B6"/>
        </w:pBdr>
        <w:spacing w:before="200" w:after="60"/>
      </w:pPr>
      <w:r>
        <w:rPr>
          <w:b/>
          <w:bCs/>
          <w:color w:val="1F4E79"/>
          <w:sz w:val="22"/>
          <w:szCs w:val="22"/>
        </w:rPr>
        <w:t>2. POLICY STATEMENT</w:t>
      </w:r>
    </w:p>
    <w:p w14:paraId="66066108" w14:textId="77777777" w:rsidR="00925EAD" w:rsidRDefault="00000000">
      <w:pPr>
        <w:spacing w:after="50"/>
      </w:pPr>
      <w:r>
        <w:rPr>
          <w:color w:val="1A1A1A"/>
        </w:rPr>
        <w:t>NovaCrest is committed to responding to information security incidents in a timely, controlled and coordinated manner. The organisation will maintain documented incident response procedures, clearly defined roles and responsibilities, and tested communication plans to minimise the impact of incidents on customers, operations and regulatory standing.</w:t>
      </w:r>
    </w:p>
    <w:p w14:paraId="1DC556B6" w14:textId="77777777" w:rsidR="00925EAD" w:rsidRDefault="00000000">
      <w:pPr>
        <w:pBdr>
          <w:bottom w:val="single" w:sz="10" w:space="2" w:color="2E75B6"/>
        </w:pBdr>
        <w:spacing w:before="200" w:after="60"/>
      </w:pPr>
      <w:r>
        <w:rPr>
          <w:b/>
          <w:bCs/>
          <w:color w:val="1F4E79"/>
          <w:sz w:val="22"/>
          <w:szCs w:val="22"/>
        </w:rPr>
        <w:t>3. DEFINITIONS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925EAD" w14:paraId="03A4176A"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69C3FB0" w14:textId="77777777" w:rsidR="00925EAD" w:rsidRDefault="00000000">
            <w:pPr>
              <w:spacing w:after="60"/>
            </w:pPr>
            <w:r>
              <w:rPr>
                <w:b/>
                <w:bCs/>
                <w:color w:val="FFFFFF"/>
                <w:sz w:val="18"/>
                <w:szCs w:val="18"/>
              </w:rPr>
              <w:t>Term</w:t>
            </w:r>
          </w:p>
        </w:tc>
        <w:tc>
          <w:tcPr>
            <w:tcW w:w="73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234405ED" w14:textId="77777777" w:rsidR="00925EAD" w:rsidRDefault="00000000">
            <w:pPr>
              <w:spacing w:after="60"/>
            </w:pPr>
            <w:r>
              <w:rPr>
                <w:b/>
                <w:bCs/>
                <w:color w:val="FFFFFF"/>
                <w:sz w:val="18"/>
                <w:szCs w:val="18"/>
              </w:rPr>
              <w:t>Definition</w:t>
            </w:r>
          </w:p>
        </w:tc>
      </w:tr>
      <w:tr w:rsidR="00925EAD" w14:paraId="1143469F"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4922E778" w14:textId="77777777" w:rsidR="00925EAD" w:rsidRDefault="00000000">
            <w:pPr>
              <w:spacing w:after="60"/>
            </w:pPr>
            <w:r>
              <w:rPr>
                <w:color w:val="1A1A1A"/>
                <w:sz w:val="18"/>
                <w:szCs w:val="18"/>
              </w:rPr>
              <w:t>Security Event</w:t>
            </w:r>
          </w:p>
        </w:tc>
        <w:tc>
          <w:tcPr>
            <w:tcW w:w="73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B16B5A4" w14:textId="77777777" w:rsidR="00925EAD" w:rsidRDefault="00000000">
            <w:pPr>
              <w:spacing w:after="60"/>
            </w:pPr>
            <w:r>
              <w:rPr>
                <w:color w:val="1A1A1A"/>
                <w:sz w:val="18"/>
                <w:szCs w:val="18"/>
              </w:rPr>
              <w:t>Any observable occurrence that may be relevant to information security — not all events are incidents.</w:t>
            </w:r>
          </w:p>
        </w:tc>
      </w:tr>
      <w:tr w:rsidR="00925EAD" w14:paraId="183AED30"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CF906C5" w14:textId="77777777" w:rsidR="00925EAD" w:rsidRDefault="00000000">
            <w:pPr>
              <w:spacing w:after="60"/>
            </w:pPr>
            <w:r>
              <w:rPr>
                <w:color w:val="1A1A1A"/>
                <w:sz w:val="18"/>
                <w:szCs w:val="18"/>
              </w:rPr>
              <w:t>Security Incident</w:t>
            </w:r>
          </w:p>
        </w:tc>
        <w:tc>
          <w:tcPr>
            <w:tcW w:w="73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8859892" w14:textId="77777777" w:rsidR="00925EAD" w:rsidRDefault="00000000">
            <w:pPr>
              <w:spacing w:after="60"/>
            </w:pPr>
            <w:r>
              <w:rPr>
                <w:color w:val="1A1A1A"/>
                <w:sz w:val="18"/>
                <w:szCs w:val="18"/>
              </w:rPr>
              <w:t>A single or series of events that have a significant probability of compromising operations, confidentiality, integrity or availability of NovaCrest information assets.</w:t>
            </w:r>
          </w:p>
        </w:tc>
      </w:tr>
      <w:tr w:rsidR="00925EAD" w14:paraId="1DDEF296"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27A9FD3E" w14:textId="77777777" w:rsidR="00925EAD" w:rsidRDefault="00000000">
            <w:pPr>
              <w:spacing w:after="60"/>
            </w:pPr>
            <w:r>
              <w:rPr>
                <w:color w:val="1A1A1A"/>
                <w:sz w:val="18"/>
                <w:szCs w:val="18"/>
              </w:rPr>
              <w:t>Major Incident</w:t>
            </w:r>
          </w:p>
        </w:tc>
        <w:tc>
          <w:tcPr>
            <w:tcW w:w="73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F64ECD8" w14:textId="77777777" w:rsidR="00925EAD" w:rsidRDefault="00000000">
            <w:pPr>
              <w:spacing w:after="60"/>
            </w:pPr>
            <w:r>
              <w:rPr>
                <w:color w:val="1A1A1A"/>
                <w:sz w:val="18"/>
                <w:szCs w:val="18"/>
              </w:rPr>
              <w:t>An incident that causes or is likely to cause significant disruption to NovaCrest's services, triggers regulatory notification obligations, or results in confirmed data breach.</w:t>
            </w:r>
          </w:p>
        </w:tc>
      </w:tr>
      <w:tr w:rsidR="00925EAD" w14:paraId="5FA7847A"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D0D2F59" w14:textId="77777777" w:rsidR="00925EAD" w:rsidRDefault="00000000">
            <w:pPr>
              <w:spacing w:after="60"/>
            </w:pPr>
            <w:r>
              <w:rPr>
                <w:color w:val="1A1A1A"/>
                <w:sz w:val="18"/>
                <w:szCs w:val="18"/>
              </w:rPr>
              <w:t>Data Breach</w:t>
            </w:r>
          </w:p>
        </w:tc>
        <w:tc>
          <w:tcPr>
            <w:tcW w:w="73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DDE2E6A" w14:textId="77777777" w:rsidR="00925EAD" w:rsidRDefault="00000000">
            <w:pPr>
              <w:spacing w:after="60"/>
            </w:pPr>
            <w:r>
              <w:rPr>
                <w:color w:val="1A1A1A"/>
                <w:sz w:val="18"/>
                <w:szCs w:val="18"/>
              </w:rPr>
              <w:t>A security incident leading to the accidental or unlawful destruction, loss, alteration, unauthorised disclosure of, or access to, personal data — triggering UK GDPR notification obligations.</w:t>
            </w:r>
          </w:p>
        </w:tc>
      </w:tr>
      <w:tr w:rsidR="00925EAD" w14:paraId="0F46D069"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89232B5" w14:textId="77777777" w:rsidR="00925EAD" w:rsidRDefault="00000000">
            <w:pPr>
              <w:spacing w:after="60"/>
            </w:pPr>
            <w:r>
              <w:rPr>
                <w:color w:val="1A1A1A"/>
                <w:sz w:val="18"/>
                <w:szCs w:val="18"/>
              </w:rPr>
              <w:t>CISO</w:t>
            </w:r>
          </w:p>
        </w:tc>
        <w:tc>
          <w:tcPr>
            <w:tcW w:w="73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BB0234B" w14:textId="77777777" w:rsidR="00925EAD" w:rsidRDefault="00000000">
            <w:pPr>
              <w:spacing w:after="60"/>
            </w:pPr>
            <w:r>
              <w:rPr>
                <w:color w:val="1A1A1A"/>
                <w:sz w:val="18"/>
                <w:szCs w:val="18"/>
              </w:rPr>
              <w:t>Chief Information Security Officer — primary owner of the incident response programme.</w:t>
            </w:r>
          </w:p>
        </w:tc>
      </w:tr>
    </w:tbl>
    <w:p w14:paraId="2AB60FA8" w14:textId="77777777" w:rsidR="00925EAD" w:rsidRDefault="00000000">
      <w:pPr>
        <w:pBdr>
          <w:bottom w:val="single" w:sz="10" w:space="2" w:color="2E75B6"/>
        </w:pBdr>
        <w:spacing w:before="200" w:after="60"/>
      </w:pPr>
      <w:r>
        <w:rPr>
          <w:b/>
          <w:bCs/>
          <w:color w:val="1F4E79"/>
          <w:sz w:val="22"/>
          <w:szCs w:val="22"/>
        </w:rPr>
        <w:t>4. INCIDENT SEVERITY CLASSIFICATION</w:t>
      </w:r>
    </w:p>
    <w:p w14:paraId="25836CC2" w14:textId="77777777" w:rsidR="00925EAD" w:rsidRDefault="00000000">
      <w:pPr>
        <w:spacing w:after="50"/>
      </w:pPr>
      <w:r>
        <w:rPr>
          <w:color w:val="1A1A1A"/>
        </w:rPr>
        <w:t>All confirmed incidents must be classified using the following severity matrix to determine escalation path and response timescales: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200"/>
        <w:gridCol w:w="3946"/>
      </w:tblGrid>
      <w:tr w:rsidR="00925EAD" w14:paraId="1C3DCFD4" w14:textId="77777777">
        <w:tblPrEx>
          <w:tblCellMar>
            <w:top w:w="0" w:type="dxa"/>
            <w:bottom w:w="0" w:type="dxa"/>
          </w:tblCellMar>
        </w:tblPrEx>
        <w:trPr>
          <w:tblHeader/>
        </w:trPr>
        <w:tc>
          <w:tcPr>
            <w:tcW w:w="12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DF02851" w14:textId="77777777" w:rsidR="00925EAD" w:rsidRDefault="00000000">
            <w:pPr>
              <w:spacing w:after="60"/>
            </w:pPr>
            <w:r>
              <w:rPr>
                <w:b/>
                <w:bCs/>
                <w:color w:val="FFFFFF"/>
                <w:sz w:val="18"/>
                <w:szCs w:val="18"/>
              </w:rPr>
              <w:t>Severity</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1477D19" w14:textId="77777777" w:rsidR="00925EAD" w:rsidRDefault="00000000">
            <w:pPr>
              <w:spacing w:after="60"/>
            </w:pPr>
            <w:r>
              <w:rPr>
                <w:b/>
                <w:bCs/>
                <w:color w:val="FFFFFF"/>
                <w:sz w:val="18"/>
                <w:szCs w:val="18"/>
              </w:rPr>
              <w:t>Classification</w:t>
            </w:r>
          </w:p>
        </w:tc>
        <w:tc>
          <w:tcPr>
            <w:tcW w:w="22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6E970178" w14:textId="77777777" w:rsidR="00925EAD" w:rsidRDefault="00000000">
            <w:pPr>
              <w:spacing w:after="60"/>
            </w:pPr>
            <w:r>
              <w:rPr>
                <w:b/>
                <w:bCs/>
                <w:color w:val="FFFFFF"/>
                <w:sz w:val="18"/>
                <w:szCs w:val="18"/>
              </w:rPr>
              <w:t>Response Time</w:t>
            </w:r>
          </w:p>
        </w:tc>
        <w:tc>
          <w:tcPr>
            <w:tcW w:w="3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2204D2F" w14:textId="77777777" w:rsidR="00925EAD" w:rsidRDefault="00000000">
            <w:pPr>
              <w:spacing w:after="60"/>
            </w:pPr>
            <w:r>
              <w:rPr>
                <w:b/>
                <w:bCs/>
                <w:color w:val="FFFFFF"/>
                <w:sz w:val="18"/>
                <w:szCs w:val="18"/>
              </w:rPr>
              <w:t>Example</w:t>
            </w:r>
          </w:p>
        </w:tc>
      </w:tr>
      <w:tr w:rsidR="00925EAD" w14:paraId="058D1C3B" w14:textId="77777777">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C7CE"/>
            <w:tcMar>
              <w:top w:w="80" w:type="dxa"/>
              <w:left w:w="120" w:type="dxa"/>
              <w:bottom w:w="80" w:type="dxa"/>
              <w:right w:w="120" w:type="dxa"/>
            </w:tcMar>
          </w:tcPr>
          <w:p w14:paraId="0A5AC3FF" w14:textId="77777777" w:rsidR="00925EAD" w:rsidRDefault="00000000">
            <w:pPr>
              <w:spacing w:after="60"/>
            </w:pPr>
            <w:r>
              <w:rPr>
                <w:b/>
                <w:bCs/>
                <w:color w:val="9C0006"/>
                <w:sz w:val="18"/>
                <w:szCs w:val="18"/>
              </w:rPr>
              <w:t>P1 — Critical</w:t>
            </w:r>
          </w:p>
        </w:tc>
        <w:tc>
          <w:tcPr>
            <w:tcW w:w="24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71DC828" w14:textId="77777777" w:rsidR="00925EAD" w:rsidRDefault="00000000">
            <w:pPr>
              <w:spacing w:after="60"/>
            </w:pPr>
            <w:r>
              <w:rPr>
                <w:color w:val="1A1A1A"/>
                <w:sz w:val="18"/>
                <w:szCs w:val="18"/>
              </w:rPr>
              <w:t>Major incident — active breach, ransomware, regulatory impact</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2C947B0D" w14:textId="77777777" w:rsidR="00925EAD" w:rsidRDefault="00000000">
            <w:pPr>
              <w:spacing w:after="60"/>
            </w:pPr>
            <w:r>
              <w:rPr>
                <w:color w:val="1A1A1A"/>
                <w:sz w:val="18"/>
                <w:szCs w:val="18"/>
              </w:rPr>
              <w:t>Immediate — within 1 hour</w:t>
            </w:r>
          </w:p>
        </w:tc>
        <w:tc>
          <w:tcPr>
            <w:tcW w:w="3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5741775D" w14:textId="77777777" w:rsidR="00925EAD" w:rsidRDefault="00000000">
            <w:pPr>
              <w:spacing w:after="60"/>
            </w:pPr>
            <w:r>
              <w:rPr>
                <w:color w:val="1A1A1A"/>
                <w:sz w:val="18"/>
                <w:szCs w:val="18"/>
              </w:rPr>
              <w:t>Ransomware attack on core banking platform; confirmed customer data breach</w:t>
            </w:r>
          </w:p>
        </w:tc>
      </w:tr>
      <w:tr w:rsidR="00925EAD" w14:paraId="6AE310A8" w14:textId="77777777">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1180B710" w14:textId="77777777" w:rsidR="00925EAD" w:rsidRDefault="00000000">
            <w:pPr>
              <w:spacing w:after="60"/>
            </w:pPr>
            <w:r>
              <w:rPr>
                <w:b/>
                <w:bCs/>
                <w:color w:val="9C5700"/>
                <w:sz w:val="18"/>
                <w:szCs w:val="18"/>
              </w:rPr>
              <w:lastRenderedPageBreak/>
              <w:t>P2 — High</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1FB9A10" w14:textId="77777777" w:rsidR="00925EAD" w:rsidRDefault="00000000">
            <w:pPr>
              <w:spacing w:after="60"/>
            </w:pPr>
            <w:r>
              <w:rPr>
                <w:color w:val="1A1A1A"/>
                <w:sz w:val="18"/>
                <w:szCs w:val="18"/>
              </w:rPr>
              <w:t>Significant threat to systems or data — business impact likely</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C520298" w14:textId="77777777" w:rsidR="00925EAD" w:rsidRDefault="00000000">
            <w:pPr>
              <w:spacing w:after="60"/>
            </w:pPr>
            <w:r>
              <w:rPr>
                <w:color w:val="1A1A1A"/>
                <w:sz w:val="18"/>
                <w:szCs w:val="18"/>
              </w:rPr>
              <w:t>Within 4 hours</w:t>
            </w:r>
          </w:p>
        </w:tc>
        <w:tc>
          <w:tcPr>
            <w:tcW w:w="3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13A768E" w14:textId="77777777" w:rsidR="00925EAD" w:rsidRDefault="00000000">
            <w:pPr>
              <w:spacing w:after="60"/>
            </w:pPr>
            <w:r>
              <w:rPr>
                <w:color w:val="1A1A1A"/>
                <w:sz w:val="18"/>
                <w:szCs w:val="18"/>
              </w:rPr>
              <w:t>Unauthorised access to customer account database; malware infection on production server</w:t>
            </w:r>
          </w:p>
        </w:tc>
      </w:tr>
      <w:tr w:rsidR="00925EAD" w14:paraId="63F9BCF7" w14:textId="77777777">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FFEB9C"/>
            <w:tcMar>
              <w:top w:w="80" w:type="dxa"/>
              <w:left w:w="120" w:type="dxa"/>
              <w:bottom w:w="80" w:type="dxa"/>
              <w:right w:w="120" w:type="dxa"/>
            </w:tcMar>
          </w:tcPr>
          <w:p w14:paraId="2402EC9A" w14:textId="77777777" w:rsidR="00925EAD" w:rsidRDefault="00000000">
            <w:pPr>
              <w:spacing w:after="60"/>
            </w:pPr>
            <w:r>
              <w:rPr>
                <w:b/>
                <w:bCs/>
                <w:color w:val="9C5700"/>
                <w:sz w:val="18"/>
                <w:szCs w:val="18"/>
              </w:rPr>
              <w:t>P3 — Medium</w:t>
            </w:r>
          </w:p>
        </w:tc>
        <w:tc>
          <w:tcPr>
            <w:tcW w:w="24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1F3B9542" w14:textId="77777777" w:rsidR="00925EAD" w:rsidRDefault="00000000">
            <w:pPr>
              <w:spacing w:after="60"/>
            </w:pPr>
            <w:r>
              <w:rPr>
                <w:color w:val="1A1A1A"/>
                <w:sz w:val="18"/>
                <w:szCs w:val="18"/>
              </w:rPr>
              <w:t>Contained threat or policy violation — limited business impact</w:t>
            </w:r>
          </w:p>
        </w:tc>
        <w:tc>
          <w:tcPr>
            <w:tcW w:w="2200"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4BD9B920" w14:textId="77777777" w:rsidR="00925EAD" w:rsidRDefault="00000000">
            <w:pPr>
              <w:spacing w:after="60"/>
            </w:pPr>
            <w:r>
              <w:rPr>
                <w:color w:val="1A1A1A"/>
                <w:sz w:val="18"/>
                <w:szCs w:val="18"/>
              </w:rPr>
              <w:t>Within 24 hours</w:t>
            </w:r>
          </w:p>
        </w:tc>
        <w:tc>
          <w:tcPr>
            <w:tcW w:w="3946" w:type="dxa"/>
            <w:tcBorders>
              <w:top w:val="single" w:sz="3" w:space="0" w:color="CCCCCC"/>
              <w:left w:val="single" w:sz="3" w:space="0" w:color="CCCCCC"/>
              <w:bottom w:val="single" w:sz="3" w:space="0" w:color="CCCCCC"/>
              <w:right w:val="single" w:sz="3" w:space="0" w:color="CCCCCC"/>
            </w:tcBorders>
            <w:tcMar>
              <w:top w:w="80" w:type="dxa"/>
              <w:left w:w="120" w:type="dxa"/>
              <w:bottom w:w="80" w:type="dxa"/>
              <w:right w:w="120" w:type="dxa"/>
            </w:tcMar>
          </w:tcPr>
          <w:p w14:paraId="7A9FEAA5" w14:textId="77777777" w:rsidR="00925EAD" w:rsidRDefault="00000000">
            <w:pPr>
              <w:spacing w:after="60"/>
            </w:pPr>
            <w:r>
              <w:rPr>
                <w:color w:val="1A1A1A"/>
                <w:sz w:val="18"/>
                <w:szCs w:val="18"/>
              </w:rPr>
              <w:t>Phishing email opened but credentials not compromised; lost unencrypted USB device</w:t>
            </w:r>
          </w:p>
        </w:tc>
      </w:tr>
      <w:tr w:rsidR="00925EAD" w14:paraId="34452F3B" w14:textId="77777777">
        <w:tblPrEx>
          <w:tblCellMar>
            <w:top w:w="0" w:type="dxa"/>
            <w:bottom w:w="0" w:type="dxa"/>
          </w:tblCellMar>
        </w:tblPrEx>
        <w:tc>
          <w:tcPr>
            <w:tcW w:w="1200" w:type="dxa"/>
            <w:tcBorders>
              <w:top w:val="single" w:sz="3" w:space="0" w:color="CCCCCC"/>
              <w:left w:val="single" w:sz="3" w:space="0" w:color="CCCCCC"/>
              <w:bottom w:val="single" w:sz="3" w:space="0" w:color="CCCCCC"/>
              <w:right w:val="single" w:sz="3" w:space="0" w:color="CCCCCC"/>
            </w:tcBorders>
            <w:shd w:val="clear" w:color="auto" w:fill="C6EFCE"/>
            <w:tcMar>
              <w:top w:w="80" w:type="dxa"/>
              <w:left w:w="120" w:type="dxa"/>
              <w:bottom w:w="80" w:type="dxa"/>
              <w:right w:w="120" w:type="dxa"/>
            </w:tcMar>
          </w:tcPr>
          <w:p w14:paraId="7ED347B0" w14:textId="77777777" w:rsidR="00925EAD" w:rsidRDefault="00000000">
            <w:pPr>
              <w:spacing w:after="60"/>
            </w:pPr>
            <w:r>
              <w:rPr>
                <w:b/>
                <w:bCs/>
                <w:color w:val="276221"/>
                <w:sz w:val="18"/>
                <w:szCs w:val="18"/>
              </w:rPr>
              <w:t>P4 — Low</w:t>
            </w:r>
          </w:p>
        </w:tc>
        <w:tc>
          <w:tcPr>
            <w:tcW w:w="24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0A7223BA" w14:textId="77777777" w:rsidR="00925EAD" w:rsidRDefault="00000000">
            <w:pPr>
              <w:spacing w:after="60"/>
            </w:pPr>
            <w:r>
              <w:rPr>
                <w:color w:val="1A1A1A"/>
                <w:sz w:val="18"/>
                <w:szCs w:val="18"/>
              </w:rPr>
              <w:t>Minimal impact — no customer or data risk</w:t>
            </w:r>
          </w:p>
        </w:tc>
        <w:tc>
          <w:tcPr>
            <w:tcW w:w="22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7D1428D" w14:textId="77777777" w:rsidR="00925EAD" w:rsidRDefault="00000000">
            <w:pPr>
              <w:spacing w:after="60"/>
            </w:pPr>
            <w:r>
              <w:rPr>
                <w:color w:val="1A1A1A"/>
                <w:sz w:val="18"/>
                <w:szCs w:val="18"/>
              </w:rPr>
              <w:t>Within 72 hours</w:t>
            </w:r>
          </w:p>
        </w:tc>
        <w:tc>
          <w:tcPr>
            <w:tcW w:w="3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11F30CF8" w14:textId="77777777" w:rsidR="00925EAD" w:rsidRDefault="00000000">
            <w:pPr>
              <w:spacing w:after="60"/>
            </w:pPr>
            <w:r>
              <w:rPr>
                <w:color w:val="1A1A1A"/>
                <w:sz w:val="18"/>
                <w:szCs w:val="18"/>
              </w:rPr>
              <w:t>Repeated failed login attempts (no breach); minor policy violation with no data exposure</w:t>
            </w:r>
          </w:p>
        </w:tc>
      </w:tr>
    </w:tbl>
    <w:p w14:paraId="5D31B98E" w14:textId="77777777" w:rsidR="00925EAD" w:rsidRDefault="00000000">
      <w:pPr>
        <w:pBdr>
          <w:bottom w:val="single" w:sz="10" w:space="2" w:color="2E75B6"/>
        </w:pBdr>
        <w:spacing w:before="200" w:after="60"/>
      </w:pPr>
      <w:r>
        <w:rPr>
          <w:b/>
          <w:bCs/>
          <w:color w:val="1F4E79"/>
          <w:sz w:val="22"/>
          <w:szCs w:val="22"/>
        </w:rPr>
        <w:t>5. INCIDENT RESPONSE LIFECYCLE</w:t>
      </w:r>
    </w:p>
    <w:p w14:paraId="57A87598" w14:textId="77777777" w:rsidR="00925EAD" w:rsidRDefault="00000000">
      <w:pPr>
        <w:spacing w:before="160" w:after="40"/>
      </w:pPr>
      <w:r>
        <w:rPr>
          <w:b/>
          <w:bCs/>
          <w:color w:val="1F3864"/>
          <w:sz w:val="21"/>
          <w:szCs w:val="21"/>
        </w:rPr>
        <w:t>5.1 — Identification &amp; Reporting</w:t>
      </w:r>
    </w:p>
    <w:p w14:paraId="74B42F78" w14:textId="77777777" w:rsidR="00925EAD" w:rsidRDefault="00000000">
      <w:pPr>
        <w:spacing w:after="50"/>
      </w:pPr>
      <w:r>
        <w:rPr>
          <w:color w:val="1A1A1A"/>
        </w:rPr>
        <w:t>All staff must report suspected security incidents immediately to the Information Security Team via the dedicated incident reporting channel (security@novacrest.co.uk or the IS helpdesk). The IS Team will triage and confirm whether the event constitutes a security incident within 2 hours of report receipt.</w:t>
      </w:r>
    </w:p>
    <w:p w14:paraId="3F8DF3F9" w14:textId="77777777" w:rsidR="00925EAD" w:rsidRDefault="00000000">
      <w:pPr>
        <w:pStyle w:val="ListParagraph"/>
        <w:numPr>
          <w:ilvl w:val="0"/>
          <w:numId w:val="2"/>
        </w:numPr>
        <w:spacing w:before="28" w:after="28"/>
      </w:pPr>
      <w:r>
        <w:rPr>
          <w:color w:val="1A1A1A"/>
          <w:sz w:val="19"/>
          <w:szCs w:val="19"/>
        </w:rPr>
        <w:t>Any employee who discovers or suspects an incident must report it immediately — do not attempt to investigate or remediate independently.</w:t>
      </w:r>
    </w:p>
    <w:p w14:paraId="43D56828" w14:textId="77777777" w:rsidR="00925EAD" w:rsidRDefault="00000000">
      <w:pPr>
        <w:pStyle w:val="ListParagraph"/>
        <w:numPr>
          <w:ilvl w:val="0"/>
          <w:numId w:val="2"/>
        </w:numPr>
        <w:spacing w:before="28" w:after="28"/>
      </w:pPr>
      <w:r>
        <w:rPr>
          <w:color w:val="1A1A1A"/>
          <w:sz w:val="19"/>
          <w:szCs w:val="19"/>
        </w:rPr>
        <w:t>The IS Team will log all reported events in the Incident Register, assign a reference number and perform initial triage.</w:t>
      </w:r>
    </w:p>
    <w:p w14:paraId="6D09920E" w14:textId="77777777" w:rsidR="00925EAD" w:rsidRDefault="00000000">
      <w:pPr>
        <w:pStyle w:val="ListParagraph"/>
        <w:numPr>
          <w:ilvl w:val="0"/>
          <w:numId w:val="2"/>
        </w:numPr>
        <w:spacing w:before="28" w:after="28"/>
      </w:pPr>
      <w:r>
        <w:rPr>
          <w:color w:val="1A1A1A"/>
          <w:sz w:val="19"/>
          <w:szCs w:val="19"/>
        </w:rPr>
        <w:t xml:space="preserve">Triage will </w:t>
      </w:r>
      <w:proofErr w:type="gramStart"/>
      <w:r>
        <w:rPr>
          <w:color w:val="1A1A1A"/>
          <w:sz w:val="19"/>
          <w:szCs w:val="19"/>
        </w:rPr>
        <w:t>determine:</w:t>
      </w:r>
      <w:proofErr w:type="gramEnd"/>
      <w:r>
        <w:rPr>
          <w:color w:val="1A1A1A"/>
          <w:sz w:val="19"/>
          <w:szCs w:val="19"/>
        </w:rPr>
        <w:t xml:space="preserve"> severity classification (P1–P4), initial containment actions required, and whether regulatory notification obligations may apply.</w:t>
      </w:r>
    </w:p>
    <w:p w14:paraId="233526E3" w14:textId="77777777" w:rsidR="00925EAD" w:rsidRDefault="00000000">
      <w:pPr>
        <w:spacing w:before="160" w:after="40"/>
      </w:pPr>
      <w:r>
        <w:rPr>
          <w:b/>
          <w:bCs/>
          <w:color w:val="1F3864"/>
          <w:sz w:val="21"/>
          <w:szCs w:val="21"/>
        </w:rPr>
        <w:t>5.2 — Containment</w:t>
      </w:r>
    </w:p>
    <w:p w14:paraId="4921996C" w14:textId="77777777" w:rsidR="00925EAD" w:rsidRDefault="00000000">
      <w:pPr>
        <w:spacing w:after="50"/>
      </w:pPr>
      <w:r>
        <w:rPr>
          <w:color w:val="1A1A1A"/>
        </w:rPr>
        <w:t>Immediate containment actions will be taken to limit the spread and impact of the incident. Containment strategy will be proportionate to the severity classification and nature of the incident.</w:t>
      </w:r>
    </w:p>
    <w:p w14:paraId="29079E9A" w14:textId="77777777" w:rsidR="00925EAD" w:rsidRDefault="00000000">
      <w:pPr>
        <w:pStyle w:val="ListParagraph"/>
        <w:numPr>
          <w:ilvl w:val="0"/>
          <w:numId w:val="2"/>
        </w:numPr>
        <w:spacing w:before="28" w:after="28"/>
      </w:pPr>
      <w:r>
        <w:rPr>
          <w:color w:val="1A1A1A"/>
          <w:sz w:val="19"/>
          <w:szCs w:val="19"/>
        </w:rPr>
        <w:t>Short-term containment: isolate affected systems, disable compromised accounts, block malicious IP addresses or domains.</w:t>
      </w:r>
    </w:p>
    <w:p w14:paraId="245C2FAC" w14:textId="77777777" w:rsidR="00925EAD" w:rsidRDefault="00000000">
      <w:pPr>
        <w:pStyle w:val="ListParagraph"/>
        <w:numPr>
          <w:ilvl w:val="0"/>
          <w:numId w:val="2"/>
        </w:numPr>
        <w:spacing w:before="28" w:after="28"/>
      </w:pPr>
      <w:r>
        <w:rPr>
          <w:color w:val="1A1A1A"/>
          <w:sz w:val="19"/>
          <w:szCs w:val="19"/>
        </w:rPr>
        <w:t>Long-term containment: patch vulnerable systems, restore from clean backup where required, implement temporary compensating controls.</w:t>
      </w:r>
    </w:p>
    <w:p w14:paraId="7F9D9606" w14:textId="77777777" w:rsidR="00925EAD" w:rsidRDefault="00000000">
      <w:pPr>
        <w:pStyle w:val="ListParagraph"/>
        <w:numPr>
          <w:ilvl w:val="0"/>
          <w:numId w:val="2"/>
        </w:numPr>
        <w:spacing w:before="28" w:after="28"/>
      </w:pPr>
      <w:r>
        <w:rPr>
          <w:color w:val="1A1A1A"/>
          <w:sz w:val="19"/>
          <w:szCs w:val="19"/>
        </w:rPr>
        <w:t>All containment actions will be documented in the Incident Log with timestamps.</w:t>
      </w:r>
    </w:p>
    <w:p w14:paraId="5B915B64" w14:textId="77777777" w:rsidR="00925EAD" w:rsidRDefault="00000000">
      <w:pPr>
        <w:spacing w:before="160" w:after="40"/>
      </w:pPr>
      <w:r>
        <w:rPr>
          <w:b/>
          <w:bCs/>
          <w:color w:val="1F3864"/>
          <w:sz w:val="21"/>
          <w:szCs w:val="21"/>
        </w:rPr>
        <w:t>5.3 — Eradication</w:t>
      </w:r>
    </w:p>
    <w:p w14:paraId="726BE4DD" w14:textId="77777777" w:rsidR="00925EAD" w:rsidRDefault="00000000">
      <w:pPr>
        <w:spacing w:after="50"/>
      </w:pPr>
      <w:r>
        <w:rPr>
          <w:color w:val="1A1A1A"/>
        </w:rPr>
        <w:t>Following containment, the root cause of the incident must be identified and eliminated. The IS Team will conduct a technical investigation to determine how the incident occurred and ensure all malicious artefacts are removed before systems are returned to production.</w:t>
      </w:r>
    </w:p>
    <w:p w14:paraId="3037F4D0" w14:textId="77777777" w:rsidR="00925EAD" w:rsidRDefault="00000000">
      <w:pPr>
        <w:spacing w:before="160" w:after="40"/>
      </w:pPr>
      <w:r>
        <w:rPr>
          <w:b/>
          <w:bCs/>
          <w:color w:val="1F3864"/>
          <w:sz w:val="21"/>
          <w:szCs w:val="21"/>
        </w:rPr>
        <w:t>5.4 — Recovery</w:t>
      </w:r>
    </w:p>
    <w:p w14:paraId="6DB79312" w14:textId="77777777" w:rsidR="00925EAD" w:rsidRDefault="00000000">
      <w:pPr>
        <w:spacing w:after="50"/>
      </w:pPr>
      <w:r>
        <w:rPr>
          <w:color w:val="1A1A1A"/>
        </w:rPr>
        <w:t>Systems and services will be restored to normal operation in a controlled manner. Recovery actions will be validated against the organisation's Business Continuity Plan and tested prior to full restoration. The CISO must approve return to production for all P1 and P2 incidents.</w:t>
      </w:r>
    </w:p>
    <w:p w14:paraId="36920CA1" w14:textId="77777777" w:rsidR="00925EAD" w:rsidRDefault="00000000">
      <w:pPr>
        <w:spacing w:before="160" w:after="40"/>
      </w:pPr>
      <w:r>
        <w:rPr>
          <w:b/>
          <w:bCs/>
          <w:color w:val="1F3864"/>
          <w:sz w:val="21"/>
          <w:szCs w:val="21"/>
        </w:rPr>
        <w:t>5.5 — Post-Incident Review</w:t>
      </w:r>
    </w:p>
    <w:p w14:paraId="1BFB5654" w14:textId="77777777" w:rsidR="00925EAD" w:rsidRDefault="00000000">
      <w:pPr>
        <w:spacing w:after="50"/>
      </w:pPr>
      <w:r>
        <w:rPr>
          <w:color w:val="1A1A1A"/>
        </w:rPr>
        <w:t xml:space="preserve">A formal post-incident review (PIR) will be conducted for all P1 and P2 incidents within 5 business days of resolution. The PIR will </w:t>
      </w:r>
      <w:proofErr w:type="gramStart"/>
      <w:r>
        <w:rPr>
          <w:color w:val="1A1A1A"/>
        </w:rPr>
        <w:t>document:</w:t>
      </w:r>
      <w:proofErr w:type="gramEnd"/>
      <w:r>
        <w:rPr>
          <w:color w:val="1A1A1A"/>
        </w:rPr>
        <w:t xml:space="preserve"> timeline of events, root cause analysis, effectiveness of response, lessons learned, and recommended improvements. PIR findings will be presented to senior management and tracked through the risk register.</w:t>
      </w:r>
    </w:p>
    <w:p w14:paraId="142BA631" w14:textId="77777777" w:rsidR="00925EAD" w:rsidRDefault="00000000">
      <w:pPr>
        <w:pBdr>
          <w:bottom w:val="single" w:sz="10" w:space="2" w:color="2E75B6"/>
        </w:pBdr>
        <w:spacing w:before="200" w:after="60"/>
      </w:pPr>
      <w:r>
        <w:rPr>
          <w:b/>
          <w:bCs/>
          <w:color w:val="1F4E79"/>
          <w:sz w:val="22"/>
          <w:szCs w:val="22"/>
        </w:rPr>
        <w:t>6. REGULATORY NOTIFICATION OBLIGATIONS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925EAD" w14:paraId="6CC19546" w14:textId="77777777">
        <w:tblPrEx>
          <w:tblCellMar>
            <w:top w:w="0" w:type="dxa"/>
            <w:bottom w:w="0" w:type="dxa"/>
          </w:tblCellMar>
        </w:tblPrEx>
        <w:trPr>
          <w:tblHeader/>
        </w:trPr>
        <w:tc>
          <w:tcPr>
            <w:tcW w:w="30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699358D3" w14:textId="77777777" w:rsidR="00925EAD" w:rsidRDefault="00000000">
            <w:pPr>
              <w:spacing w:after="60"/>
            </w:pPr>
            <w:r>
              <w:rPr>
                <w:b/>
                <w:bCs/>
                <w:color w:val="FFFFFF"/>
                <w:sz w:val="18"/>
                <w:szCs w:val="18"/>
              </w:rPr>
              <w:t>Regulatory Body</w:t>
            </w:r>
          </w:p>
        </w:tc>
        <w:tc>
          <w:tcPr>
            <w:tcW w:w="67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54C38B3D" w14:textId="77777777" w:rsidR="00925EAD" w:rsidRDefault="00000000">
            <w:pPr>
              <w:spacing w:after="60"/>
            </w:pPr>
            <w:r>
              <w:rPr>
                <w:b/>
                <w:bCs/>
                <w:color w:val="FFFFFF"/>
                <w:sz w:val="18"/>
                <w:szCs w:val="18"/>
              </w:rPr>
              <w:t>Notification Requirement</w:t>
            </w:r>
          </w:p>
        </w:tc>
      </w:tr>
      <w:tr w:rsidR="00925EAD" w14:paraId="53322E4C"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98890C5" w14:textId="77777777" w:rsidR="00925EAD" w:rsidRDefault="00000000">
            <w:pPr>
              <w:spacing w:after="60"/>
            </w:pPr>
            <w:r>
              <w:rPr>
                <w:color w:val="1A1A1A"/>
                <w:sz w:val="18"/>
                <w:szCs w:val="18"/>
              </w:rPr>
              <w:t>ICO (Information Commissioner's Office)</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726B672" w14:textId="77777777" w:rsidR="00925EAD" w:rsidRDefault="00000000">
            <w:pPr>
              <w:spacing w:after="60"/>
            </w:pPr>
            <w:r>
              <w:rPr>
                <w:color w:val="1A1A1A"/>
                <w:sz w:val="18"/>
                <w:szCs w:val="18"/>
              </w:rPr>
              <w:t>UK GDPR Article 33: Personal data breaches must be notified within 72 hours of becoming aware. If notification is delayed, the reason must be documented.</w:t>
            </w:r>
          </w:p>
        </w:tc>
      </w:tr>
      <w:tr w:rsidR="00925EAD" w14:paraId="378B6F4A"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726EF41" w14:textId="77777777" w:rsidR="00925EAD" w:rsidRDefault="00000000">
            <w:pPr>
              <w:spacing w:after="60"/>
            </w:pPr>
            <w:r>
              <w:rPr>
                <w:color w:val="1A1A1A"/>
                <w:sz w:val="18"/>
                <w:szCs w:val="18"/>
              </w:rPr>
              <w:t>FCA (Financial Conduct Authority)</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BB55BB1" w14:textId="77777777" w:rsidR="00925EAD" w:rsidRDefault="00000000">
            <w:pPr>
              <w:spacing w:after="60"/>
            </w:pPr>
            <w:r>
              <w:rPr>
                <w:color w:val="1A1A1A"/>
                <w:sz w:val="18"/>
                <w:szCs w:val="18"/>
              </w:rPr>
              <w:t>Material operational incidents impacting NovaCrest's ability to deliver regulated services must be reported. Initial notification within 4 hours for major incidents; full report within 24–72 hours depending on severity.</w:t>
            </w:r>
          </w:p>
        </w:tc>
      </w:tr>
      <w:tr w:rsidR="00925EAD" w14:paraId="2BFF27C9"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B39497D" w14:textId="77777777" w:rsidR="00925EAD" w:rsidRDefault="00000000">
            <w:pPr>
              <w:spacing w:after="60"/>
            </w:pPr>
            <w:r>
              <w:rPr>
                <w:color w:val="1A1A1A"/>
                <w:sz w:val="18"/>
                <w:szCs w:val="18"/>
              </w:rPr>
              <w:lastRenderedPageBreak/>
              <w:t>Payment Card Brands (Visa / Mastercard)</w:t>
            </w:r>
          </w:p>
        </w:tc>
        <w:tc>
          <w:tcPr>
            <w:tcW w:w="67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FC537EB" w14:textId="77777777" w:rsidR="00925EAD" w:rsidRDefault="00000000">
            <w:pPr>
              <w:spacing w:after="60"/>
            </w:pPr>
            <w:r>
              <w:rPr>
                <w:color w:val="1A1A1A"/>
                <w:sz w:val="18"/>
                <w:szCs w:val="18"/>
              </w:rPr>
              <w:t>Suspected or confirmed compromise of cardholder data must be reported to the relevant card brand and acquiring bank immediately — and to the PCI Forensic Investigator (PFI) within 24 hours.</w:t>
            </w:r>
          </w:p>
        </w:tc>
      </w:tr>
      <w:tr w:rsidR="00925EAD" w14:paraId="49E7F359" w14:textId="77777777">
        <w:tblPrEx>
          <w:tblCellMar>
            <w:top w:w="0" w:type="dxa"/>
            <w:bottom w:w="0" w:type="dxa"/>
          </w:tblCellMar>
        </w:tblPrEx>
        <w:tc>
          <w:tcPr>
            <w:tcW w:w="30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6A615B2" w14:textId="77777777" w:rsidR="00925EAD" w:rsidRDefault="00000000">
            <w:pPr>
              <w:spacing w:after="60"/>
            </w:pPr>
            <w:r>
              <w:rPr>
                <w:color w:val="1A1A1A"/>
                <w:sz w:val="18"/>
                <w:szCs w:val="18"/>
              </w:rPr>
              <w:t>NCSC</w:t>
            </w:r>
          </w:p>
        </w:tc>
        <w:tc>
          <w:tcPr>
            <w:tcW w:w="67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C9B3909" w14:textId="77777777" w:rsidR="00925EAD" w:rsidRDefault="00000000">
            <w:pPr>
              <w:spacing w:after="60"/>
            </w:pPr>
            <w:r>
              <w:rPr>
                <w:color w:val="1A1A1A"/>
                <w:sz w:val="18"/>
                <w:szCs w:val="18"/>
              </w:rPr>
              <w:t>Significant cyber incidents affecting NCI (National Critical Infrastructure) or where NCSC assistance is sought should be reported via the NCSC's incident reporting service.</w:t>
            </w:r>
          </w:p>
        </w:tc>
      </w:tr>
    </w:tbl>
    <w:p w14:paraId="626F7871" w14:textId="77777777" w:rsidR="00925EAD" w:rsidRDefault="00000000">
      <w:pPr>
        <w:pBdr>
          <w:bottom w:val="single" w:sz="10" w:space="2" w:color="2E75B6"/>
        </w:pBdr>
        <w:spacing w:before="200" w:after="60"/>
      </w:pPr>
      <w:r>
        <w:rPr>
          <w:b/>
          <w:bCs/>
          <w:color w:val="1F4E79"/>
          <w:sz w:val="22"/>
          <w:szCs w:val="22"/>
        </w:rPr>
        <w:t>7. ROLES &amp; RESPONSIBILITIES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925EAD" w14:paraId="58CA42E8" w14:textId="77777777">
        <w:tblPrEx>
          <w:tblCellMar>
            <w:top w:w="0" w:type="dxa"/>
            <w:bottom w:w="0" w:type="dxa"/>
          </w:tblCellMar>
        </w:tblPrEx>
        <w:trPr>
          <w:tblHeader/>
        </w:trPr>
        <w:tc>
          <w:tcPr>
            <w:tcW w:w="28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696C8275" w14:textId="77777777" w:rsidR="00925EAD" w:rsidRDefault="00000000">
            <w:pPr>
              <w:spacing w:after="60"/>
            </w:pPr>
            <w:r>
              <w:rPr>
                <w:b/>
                <w:bCs/>
                <w:color w:val="FFFFFF"/>
                <w:sz w:val="18"/>
                <w:szCs w:val="18"/>
              </w:rPr>
              <w:t>Role</w:t>
            </w:r>
          </w:p>
        </w:tc>
        <w:tc>
          <w:tcPr>
            <w:tcW w:w="69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02D5A291" w14:textId="77777777" w:rsidR="00925EAD" w:rsidRDefault="00000000">
            <w:pPr>
              <w:spacing w:after="60"/>
            </w:pPr>
            <w:r>
              <w:rPr>
                <w:b/>
                <w:bCs/>
                <w:color w:val="FFFFFF"/>
                <w:sz w:val="18"/>
                <w:szCs w:val="18"/>
              </w:rPr>
              <w:t>Incident Response Responsibilities</w:t>
            </w:r>
          </w:p>
        </w:tc>
      </w:tr>
      <w:tr w:rsidR="00925EAD" w14:paraId="0338A678"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2759AE5" w14:textId="77777777" w:rsidR="00925EAD" w:rsidRDefault="00000000">
            <w:pPr>
              <w:spacing w:after="60"/>
            </w:pPr>
            <w:r>
              <w:rPr>
                <w:color w:val="1A1A1A"/>
                <w:sz w:val="18"/>
                <w:szCs w:val="18"/>
              </w:rPr>
              <w:t>CISO</w:t>
            </w:r>
          </w:p>
        </w:tc>
        <w:tc>
          <w:tcPr>
            <w:tcW w:w="6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54C42127" w14:textId="77777777" w:rsidR="00925EAD" w:rsidRDefault="00000000">
            <w:pPr>
              <w:spacing w:after="60"/>
            </w:pPr>
            <w:r>
              <w:rPr>
                <w:color w:val="1A1A1A"/>
                <w:sz w:val="18"/>
                <w:szCs w:val="18"/>
              </w:rPr>
              <w:t>Incident Response programme owner. Approves P1/P2 escalation decisions. Leads regulatory notification. Chairs post-incident review.</w:t>
            </w:r>
          </w:p>
        </w:tc>
      </w:tr>
      <w:tr w:rsidR="00925EAD" w14:paraId="0DAC9688"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2F570025" w14:textId="77777777" w:rsidR="00925EAD" w:rsidRDefault="00000000">
            <w:pPr>
              <w:spacing w:after="60"/>
            </w:pPr>
            <w:r>
              <w:rPr>
                <w:color w:val="1A1A1A"/>
                <w:sz w:val="18"/>
                <w:szCs w:val="18"/>
              </w:rPr>
              <w:t>IS Team (Incident Responders)</w:t>
            </w:r>
          </w:p>
        </w:tc>
        <w:tc>
          <w:tcPr>
            <w:tcW w:w="6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37AD47E9" w14:textId="77777777" w:rsidR="00925EAD" w:rsidRDefault="00000000">
            <w:pPr>
              <w:spacing w:after="60"/>
            </w:pPr>
            <w:r>
              <w:rPr>
                <w:color w:val="1A1A1A"/>
                <w:sz w:val="18"/>
                <w:szCs w:val="18"/>
              </w:rPr>
              <w:t>Triage, investigate, contain and eradicate incidents. Maintain incident log. Produce PIR reports.</w:t>
            </w:r>
          </w:p>
        </w:tc>
      </w:tr>
      <w:tr w:rsidR="00925EAD" w14:paraId="33DE5C15"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1178D90" w14:textId="77777777" w:rsidR="00925EAD" w:rsidRDefault="00000000">
            <w:pPr>
              <w:spacing w:after="60"/>
            </w:pPr>
            <w:r>
              <w:rPr>
                <w:color w:val="1A1A1A"/>
                <w:sz w:val="18"/>
                <w:szCs w:val="18"/>
              </w:rPr>
              <w:t>IT Director</w:t>
            </w:r>
          </w:p>
        </w:tc>
        <w:tc>
          <w:tcPr>
            <w:tcW w:w="6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F9EA2F4" w14:textId="77777777" w:rsidR="00925EAD" w:rsidRDefault="00000000">
            <w:pPr>
              <w:spacing w:after="60"/>
            </w:pPr>
            <w:r>
              <w:rPr>
                <w:color w:val="1A1A1A"/>
                <w:sz w:val="18"/>
                <w:szCs w:val="18"/>
              </w:rPr>
              <w:t>Technical containment and recovery. System isolation and restoration. Technical investigation support.</w:t>
            </w:r>
          </w:p>
        </w:tc>
      </w:tr>
      <w:tr w:rsidR="00925EAD" w14:paraId="434C59E0"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47F6B9D" w14:textId="77777777" w:rsidR="00925EAD" w:rsidRDefault="00000000">
            <w:pPr>
              <w:spacing w:after="60"/>
            </w:pPr>
            <w:r>
              <w:rPr>
                <w:color w:val="1A1A1A"/>
                <w:sz w:val="18"/>
                <w:szCs w:val="18"/>
              </w:rPr>
              <w:t>Data Protection Officer (DPO)</w:t>
            </w:r>
          </w:p>
        </w:tc>
        <w:tc>
          <w:tcPr>
            <w:tcW w:w="6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57506C01" w14:textId="77777777" w:rsidR="00925EAD" w:rsidRDefault="00000000">
            <w:pPr>
              <w:spacing w:after="60"/>
            </w:pPr>
            <w:r>
              <w:rPr>
                <w:color w:val="1A1A1A"/>
                <w:sz w:val="18"/>
                <w:szCs w:val="18"/>
              </w:rPr>
              <w:t>Assess data breach notification obligations. Coordinate ICO notification. Maintain data breach log.</w:t>
            </w:r>
          </w:p>
        </w:tc>
      </w:tr>
      <w:tr w:rsidR="00925EAD" w14:paraId="5E9B18E9"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320B559" w14:textId="77777777" w:rsidR="00925EAD" w:rsidRDefault="00000000">
            <w:pPr>
              <w:spacing w:after="60"/>
            </w:pPr>
            <w:r>
              <w:rPr>
                <w:color w:val="1A1A1A"/>
                <w:sz w:val="18"/>
                <w:szCs w:val="18"/>
              </w:rPr>
              <w:t>Legal Counsel</w:t>
            </w:r>
          </w:p>
        </w:tc>
        <w:tc>
          <w:tcPr>
            <w:tcW w:w="69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78DA0267" w14:textId="77777777" w:rsidR="00925EAD" w:rsidRDefault="00000000">
            <w:pPr>
              <w:spacing w:after="60"/>
            </w:pPr>
            <w:r>
              <w:rPr>
                <w:color w:val="1A1A1A"/>
                <w:sz w:val="18"/>
                <w:szCs w:val="18"/>
              </w:rPr>
              <w:t>Advise on regulatory obligations. Review external communications. Manage legal privilege over investigation.</w:t>
            </w:r>
          </w:p>
        </w:tc>
      </w:tr>
      <w:tr w:rsidR="00925EAD" w14:paraId="4A4C667D" w14:textId="77777777">
        <w:tblPrEx>
          <w:tblCellMar>
            <w:top w:w="0" w:type="dxa"/>
            <w:bottom w:w="0" w:type="dxa"/>
          </w:tblCellMar>
        </w:tblPrEx>
        <w:tc>
          <w:tcPr>
            <w:tcW w:w="2800"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7F178745" w14:textId="77777777" w:rsidR="00925EAD" w:rsidRDefault="00000000">
            <w:pPr>
              <w:spacing w:after="60"/>
            </w:pPr>
            <w:r>
              <w:rPr>
                <w:color w:val="1A1A1A"/>
                <w:sz w:val="18"/>
                <w:szCs w:val="18"/>
              </w:rPr>
              <w:t>All Employees</w:t>
            </w:r>
          </w:p>
        </w:tc>
        <w:tc>
          <w:tcPr>
            <w:tcW w:w="6946" w:type="dxa"/>
            <w:tcBorders>
              <w:top w:val="single" w:sz="3" w:space="0" w:color="CCCCCC"/>
              <w:left w:val="single" w:sz="3" w:space="0" w:color="CCCCCC"/>
              <w:bottom w:val="single" w:sz="3" w:space="0" w:color="CCCCCC"/>
              <w:right w:val="single" w:sz="3" w:space="0" w:color="CCCCCC"/>
            </w:tcBorders>
            <w:shd w:val="clear" w:color="auto" w:fill="F5F8FC"/>
            <w:tcMar>
              <w:top w:w="80" w:type="dxa"/>
              <w:left w:w="120" w:type="dxa"/>
              <w:bottom w:w="80" w:type="dxa"/>
              <w:right w:w="120" w:type="dxa"/>
            </w:tcMar>
          </w:tcPr>
          <w:p w14:paraId="44AD6019" w14:textId="77777777" w:rsidR="00925EAD" w:rsidRDefault="00000000">
            <w:pPr>
              <w:spacing w:after="60"/>
            </w:pPr>
            <w:r>
              <w:rPr>
                <w:color w:val="1A1A1A"/>
                <w:sz w:val="18"/>
                <w:szCs w:val="18"/>
              </w:rPr>
              <w:t>Report suspected incidents immediately. Do not attempt independent investigation. Preserve evidence.</w:t>
            </w:r>
          </w:p>
        </w:tc>
      </w:tr>
    </w:tbl>
    <w:p w14:paraId="7004A738" w14:textId="77777777" w:rsidR="00925EAD" w:rsidRDefault="00000000">
      <w:pPr>
        <w:pBdr>
          <w:bottom w:val="single" w:sz="10" w:space="2" w:color="2E75B6"/>
        </w:pBdr>
        <w:spacing w:before="200" w:after="60"/>
      </w:pPr>
      <w:r>
        <w:rPr>
          <w:b/>
          <w:bCs/>
          <w:color w:val="1F4E79"/>
          <w:sz w:val="22"/>
          <w:szCs w:val="22"/>
        </w:rPr>
        <w:t>8. EVIDENCE PRESERVATION</w:t>
      </w:r>
    </w:p>
    <w:p w14:paraId="7D8FF910" w14:textId="77777777" w:rsidR="00925EAD" w:rsidRDefault="00000000">
      <w:pPr>
        <w:spacing w:after="50"/>
      </w:pPr>
      <w:r>
        <w:rPr>
          <w:color w:val="1A1A1A"/>
        </w:rPr>
        <w:t>All evidence related to a security incident must be preserved in a forensically sound manner. No affected systems should be wiped, reimaged or shut down without prior authorisation from the CISO, unless required for immediate safety reasons. Evidence must be collected, documented and stored securely with chain of custody records maintained throughout.</w:t>
      </w:r>
    </w:p>
    <w:p w14:paraId="1752E668" w14:textId="77777777" w:rsidR="00925EAD" w:rsidRDefault="00000000">
      <w:pPr>
        <w:pBdr>
          <w:bottom w:val="single" w:sz="10" w:space="2" w:color="2E75B6"/>
        </w:pBdr>
        <w:spacing w:before="200" w:after="60"/>
      </w:pPr>
      <w:r>
        <w:rPr>
          <w:b/>
          <w:bCs/>
          <w:color w:val="1F4E79"/>
          <w:sz w:val="22"/>
          <w:szCs w:val="22"/>
        </w:rPr>
        <w:t>9. TESTING &amp; REVIEW</w:t>
      </w:r>
    </w:p>
    <w:p w14:paraId="625DE68A" w14:textId="77777777" w:rsidR="00925EAD" w:rsidRDefault="00000000">
      <w:pPr>
        <w:spacing w:after="50"/>
      </w:pPr>
      <w:r>
        <w:rPr>
          <w:color w:val="1A1A1A"/>
        </w:rPr>
        <w:t>The Incident Response Plan and supporting procedures will be tested at least annually through tabletop exercises. The CISO is responsible for ensuring the plan remains current. This policy will be reviewed annually and following any significant security incident or change to the regulatory environment.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546"/>
      </w:tblGrid>
      <w:tr w:rsidR="00925EAD" w14:paraId="1AAA0606" w14:textId="77777777">
        <w:tblPrEx>
          <w:tblCellMar>
            <w:top w:w="0" w:type="dxa"/>
            <w:bottom w:w="0" w:type="dxa"/>
          </w:tblCellMar>
        </w:tblPrEx>
        <w:trPr>
          <w:tblHeader/>
        </w:trPr>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47623644" w14:textId="77777777" w:rsidR="00925EAD" w:rsidRDefault="00000000">
            <w:pPr>
              <w:spacing w:after="60"/>
            </w:pPr>
            <w:r>
              <w:rPr>
                <w:b/>
                <w:bCs/>
                <w:color w:val="FFFFFF"/>
                <w:sz w:val="18"/>
                <w:szCs w:val="18"/>
              </w:rPr>
              <w:t>Version</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1DC8AB64" w14:textId="77777777" w:rsidR="00925EAD" w:rsidRDefault="00000000">
            <w:pPr>
              <w:spacing w:after="60"/>
            </w:pPr>
            <w:r>
              <w:rPr>
                <w:b/>
                <w:bCs/>
                <w:color w:val="FFFFFF"/>
                <w:sz w:val="18"/>
                <w:szCs w:val="18"/>
              </w:rPr>
              <w:t>Date</w:t>
            </w:r>
          </w:p>
        </w:tc>
        <w:tc>
          <w:tcPr>
            <w:tcW w:w="2400"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663E941" w14:textId="77777777" w:rsidR="00925EAD" w:rsidRDefault="00000000">
            <w:pPr>
              <w:spacing w:after="60"/>
            </w:pPr>
            <w:r>
              <w:rPr>
                <w:b/>
                <w:bCs/>
                <w:color w:val="FFFFFF"/>
                <w:sz w:val="18"/>
                <w:szCs w:val="18"/>
              </w:rPr>
              <w:t>Approved By</w:t>
            </w:r>
          </w:p>
        </w:tc>
        <w:tc>
          <w:tcPr>
            <w:tcW w:w="2546" w:type="dxa"/>
            <w:tcBorders>
              <w:top w:val="single" w:sz="3" w:space="0" w:color="2E75B6"/>
              <w:left w:val="single" w:sz="3" w:space="0" w:color="2E75B6"/>
              <w:bottom w:val="single" w:sz="3" w:space="0" w:color="2E75B6"/>
              <w:right w:val="single" w:sz="3" w:space="0" w:color="2E75B6"/>
            </w:tcBorders>
            <w:shd w:val="clear" w:color="auto" w:fill="1F4E79"/>
            <w:tcMar>
              <w:top w:w="80" w:type="dxa"/>
              <w:left w:w="120" w:type="dxa"/>
              <w:bottom w:w="80" w:type="dxa"/>
              <w:right w:w="120" w:type="dxa"/>
            </w:tcMar>
          </w:tcPr>
          <w:p w14:paraId="31F838DB" w14:textId="77777777" w:rsidR="00925EAD" w:rsidRDefault="00000000">
            <w:pPr>
              <w:spacing w:after="60"/>
            </w:pPr>
            <w:r>
              <w:rPr>
                <w:b/>
                <w:bCs/>
                <w:color w:val="FFFFFF"/>
                <w:sz w:val="18"/>
                <w:szCs w:val="18"/>
              </w:rPr>
              <w:t>Changes</w:t>
            </w:r>
          </w:p>
        </w:tc>
      </w:tr>
      <w:tr w:rsidR="00925EAD" w14:paraId="028F282A" w14:textId="77777777">
        <w:tblPrEx>
          <w:tblCellMar>
            <w:top w:w="0" w:type="dxa"/>
            <w:bottom w:w="0" w:type="dxa"/>
          </w:tblCellMar>
        </w:tblPrEx>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07B5CD34" w14:textId="77777777" w:rsidR="00925EAD" w:rsidRDefault="00000000">
            <w:pPr>
              <w:spacing w:after="60"/>
            </w:pPr>
            <w:r>
              <w:rPr>
                <w:color w:val="1A1A1A"/>
                <w:sz w:val="18"/>
                <w:szCs w:val="18"/>
              </w:rPr>
              <w:t>1.0</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48E0022" w14:textId="2FC01EF7" w:rsidR="00925EAD" w:rsidRDefault="00F22A64">
            <w:pPr>
              <w:spacing w:after="60"/>
            </w:pPr>
            <w:r>
              <w:rPr>
                <w:color w:val="1A1A1A"/>
                <w:sz w:val="18"/>
                <w:szCs w:val="18"/>
              </w:rPr>
              <w:t xml:space="preserve">5 </w:t>
            </w:r>
            <w:r w:rsidR="00000000">
              <w:rPr>
                <w:color w:val="1A1A1A"/>
                <w:sz w:val="18"/>
                <w:szCs w:val="18"/>
              </w:rPr>
              <w:t>April 2026</w:t>
            </w:r>
          </w:p>
        </w:tc>
        <w:tc>
          <w:tcPr>
            <w:tcW w:w="2400"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36A7F3B1" w14:textId="77777777" w:rsidR="00925EAD" w:rsidRDefault="00000000">
            <w:pPr>
              <w:spacing w:after="60"/>
            </w:pPr>
            <w:r>
              <w:rPr>
                <w:color w:val="1A1A1A"/>
                <w:sz w:val="18"/>
                <w:szCs w:val="18"/>
              </w:rPr>
              <w:t>Board of Directors</w:t>
            </w:r>
          </w:p>
        </w:tc>
        <w:tc>
          <w:tcPr>
            <w:tcW w:w="2546" w:type="dxa"/>
            <w:tcBorders>
              <w:top w:val="single" w:sz="3" w:space="0" w:color="CCCCCC"/>
              <w:left w:val="single" w:sz="3" w:space="0" w:color="CCCCCC"/>
              <w:bottom w:val="single" w:sz="3" w:space="0" w:color="CCCCCC"/>
              <w:right w:val="single" w:sz="3" w:space="0" w:color="CCCCCC"/>
            </w:tcBorders>
            <w:shd w:val="clear" w:color="auto" w:fill="FFFFFF"/>
            <w:tcMar>
              <w:top w:w="80" w:type="dxa"/>
              <w:left w:w="120" w:type="dxa"/>
              <w:bottom w:w="80" w:type="dxa"/>
              <w:right w:w="120" w:type="dxa"/>
            </w:tcMar>
          </w:tcPr>
          <w:p w14:paraId="643C90E2" w14:textId="77777777" w:rsidR="00925EAD" w:rsidRDefault="00000000">
            <w:pPr>
              <w:spacing w:after="60"/>
            </w:pPr>
            <w:r>
              <w:rPr>
                <w:color w:val="1A1A1A"/>
                <w:sz w:val="18"/>
                <w:szCs w:val="18"/>
              </w:rPr>
              <w:t>Initial policy — approved for publication</w:t>
            </w:r>
          </w:p>
        </w:tc>
      </w:tr>
    </w:tbl>
    <w:p w14:paraId="4904829D" w14:textId="77777777" w:rsidR="004F72B5" w:rsidRDefault="004F72B5"/>
    <w:sectPr w:rsidR="004F72B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DC5EF6"/>
    <w:multiLevelType w:val="hybridMultilevel"/>
    <w:tmpl w:val="968E72B6"/>
    <w:lvl w:ilvl="0" w:tplc="14A43FEC">
      <w:start w:val="1"/>
      <w:numFmt w:val="bullet"/>
      <w:lvlText w:val="●"/>
      <w:lvlJc w:val="left"/>
      <w:pPr>
        <w:ind w:left="720" w:hanging="360"/>
      </w:pPr>
    </w:lvl>
    <w:lvl w:ilvl="1" w:tplc="9318A710">
      <w:start w:val="1"/>
      <w:numFmt w:val="bullet"/>
      <w:lvlText w:val="○"/>
      <w:lvlJc w:val="left"/>
      <w:pPr>
        <w:ind w:left="1440" w:hanging="360"/>
      </w:pPr>
    </w:lvl>
    <w:lvl w:ilvl="2" w:tplc="C4BE5E42">
      <w:start w:val="1"/>
      <w:numFmt w:val="bullet"/>
      <w:lvlText w:val="■"/>
      <w:lvlJc w:val="left"/>
      <w:pPr>
        <w:ind w:left="2160" w:hanging="360"/>
      </w:pPr>
    </w:lvl>
    <w:lvl w:ilvl="3" w:tplc="9D1489D2">
      <w:start w:val="1"/>
      <w:numFmt w:val="bullet"/>
      <w:lvlText w:val="●"/>
      <w:lvlJc w:val="left"/>
      <w:pPr>
        <w:ind w:left="2880" w:hanging="360"/>
      </w:pPr>
    </w:lvl>
    <w:lvl w:ilvl="4" w:tplc="A692D25C">
      <w:start w:val="1"/>
      <w:numFmt w:val="bullet"/>
      <w:lvlText w:val="○"/>
      <w:lvlJc w:val="left"/>
      <w:pPr>
        <w:ind w:left="3600" w:hanging="360"/>
      </w:pPr>
    </w:lvl>
    <w:lvl w:ilvl="5" w:tplc="8F60D8D6">
      <w:start w:val="1"/>
      <w:numFmt w:val="bullet"/>
      <w:lvlText w:val="■"/>
      <w:lvlJc w:val="left"/>
      <w:pPr>
        <w:ind w:left="4320" w:hanging="360"/>
      </w:pPr>
    </w:lvl>
    <w:lvl w:ilvl="6" w:tplc="207C7C2C">
      <w:start w:val="1"/>
      <w:numFmt w:val="bullet"/>
      <w:lvlText w:val="●"/>
      <w:lvlJc w:val="left"/>
      <w:pPr>
        <w:ind w:left="5040" w:hanging="360"/>
      </w:pPr>
    </w:lvl>
    <w:lvl w:ilvl="7" w:tplc="2084DE14">
      <w:start w:val="1"/>
      <w:numFmt w:val="bullet"/>
      <w:lvlText w:val="●"/>
      <w:lvlJc w:val="left"/>
      <w:pPr>
        <w:ind w:left="5760" w:hanging="360"/>
      </w:pPr>
    </w:lvl>
    <w:lvl w:ilvl="8" w:tplc="5DC49000">
      <w:start w:val="1"/>
      <w:numFmt w:val="bullet"/>
      <w:lvlText w:val="●"/>
      <w:lvlJc w:val="left"/>
      <w:pPr>
        <w:ind w:left="6480" w:hanging="360"/>
      </w:pPr>
    </w:lvl>
  </w:abstractNum>
  <w:abstractNum w:abstractNumId="1" w15:restartNumberingAfterBreak="0">
    <w:nsid w:val="34D22891"/>
    <w:multiLevelType w:val="hybridMultilevel"/>
    <w:tmpl w:val="05CE1B6E"/>
    <w:lvl w:ilvl="0" w:tplc="A66C1D64">
      <w:start w:val="1"/>
      <w:numFmt w:val="bullet"/>
      <w:lvlText w:val="•"/>
      <w:lvlJc w:val="left"/>
      <w:pPr>
        <w:ind w:left="640" w:hanging="320"/>
      </w:pPr>
    </w:lvl>
    <w:lvl w:ilvl="1" w:tplc="F39A1E08">
      <w:numFmt w:val="decimal"/>
      <w:lvlText w:val=""/>
      <w:lvlJc w:val="left"/>
    </w:lvl>
    <w:lvl w:ilvl="2" w:tplc="780CE76A">
      <w:numFmt w:val="decimal"/>
      <w:lvlText w:val=""/>
      <w:lvlJc w:val="left"/>
    </w:lvl>
    <w:lvl w:ilvl="3" w:tplc="4EA818B2">
      <w:numFmt w:val="decimal"/>
      <w:lvlText w:val=""/>
      <w:lvlJc w:val="left"/>
    </w:lvl>
    <w:lvl w:ilvl="4" w:tplc="EB7EE3F8">
      <w:numFmt w:val="decimal"/>
      <w:lvlText w:val=""/>
      <w:lvlJc w:val="left"/>
    </w:lvl>
    <w:lvl w:ilvl="5" w:tplc="299818DC">
      <w:numFmt w:val="decimal"/>
      <w:lvlText w:val=""/>
      <w:lvlJc w:val="left"/>
    </w:lvl>
    <w:lvl w:ilvl="6" w:tplc="1144A46E">
      <w:numFmt w:val="decimal"/>
      <w:lvlText w:val=""/>
      <w:lvlJc w:val="left"/>
    </w:lvl>
    <w:lvl w:ilvl="7" w:tplc="A4666572">
      <w:numFmt w:val="decimal"/>
      <w:lvlText w:val=""/>
      <w:lvlJc w:val="left"/>
    </w:lvl>
    <w:lvl w:ilvl="8" w:tplc="225A616A">
      <w:numFmt w:val="decimal"/>
      <w:lvlText w:val=""/>
      <w:lvlJc w:val="left"/>
    </w:lvl>
  </w:abstractNum>
  <w:num w:numId="1" w16cid:durableId="1969161437">
    <w:abstractNumId w:val="0"/>
    <w:lvlOverride w:ilvl="0">
      <w:startOverride w:val="1"/>
    </w:lvlOverride>
  </w:num>
  <w:num w:numId="2" w16cid:durableId="1691947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EAD"/>
    <w:rsid w:val="00250FC3"/>
    <w:rsid w:val="002F1330"/>
    <w:rsid w:val="004F72B5"/>
    <w:rsid w:val="00925EAD"/>
    <w:rsid w:val="00F22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7FA6A"/>
  <w15:docId w15:val="{5B91C938-D56B-0342-85AA-C528240F9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1187</Words>
  <Characters>6772</Characters>
  <Application>Microsoft Office Word</Application>
  <DocSecurity>0</DocSecurity>
  <Lines>56</Lines>
  <Paragraphs>15</Paragraphs>
  <ScaleCrop>false</ScaleCrop>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Afrid Shaik [Student-PECS]</cp:lastModifiedBy>
  <cp:revision>7</cp:revision>
  <dcterms:created xsi:type="dcterms:W3CDTF">2026-04-05T11:12:00Z</dcterms:created>
  <dcterms:modified xsi:type="dcterms:W3CDTF">2026-04-05T11:22:00Z</dcterms:modified>
</cp:coreProperties>
</file>