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A3D35"/>
          <w:sz w:val="72"/>
          <w:szCs w:val="72"/>
        </w:rPr>
        <w:t xml:space="preserve">PDV PRO — YAYYAM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F7A60"/>
          <w:sz w:val="44"/>
          <w:szCs w:val="44"/>
        </w:rPr>
        <w:t xml:space="preserve">AUDIT ACTUALISÉ — POST-ANTIGRAVITY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Comparatif Avant / Après  ·  Scores Mis à Jour  ·  Reste à Faire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Audit Initial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3D35"/>
                <w:sz w:val="22"/>
                <w:szCs w:val="22"/>
              </w:rPr>
              <w:t xml:space="preserve">12 Avril 2026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Antigravity Phases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3D35"/>
                <w:sz w:val="22"/>
                <w:szCs w:val="22"/>
              </w:rPr>
              <w:t xml:space="preserve">Phases 1–5 ✅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Phase 6 + Reste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⏳ En attente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Build : zéro erreur TypeScript  ·  npm run build ✅  ·  16 fichiers modifiés / créés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3D35"/>
          <w:sz w:val="36"/>
          <w:szCs w:val="36"/>
        </w:rPr>
        <w:t xml:space="preserve">SYNTHÈSE EXÉCUTIVE</w:t>
      </w:r>
    </w:p>
    <w:p>
      <w:pPr>
        <w:pBdr>
          <w:bottom w:val="single" w:color="0F7A60" w:sz="6"/>
        </w:pBdr>
        <w:spacing w:after="200" w:before="20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Ce document présente l'audit actualisé de PDV Pro / Yayyam après l'exécution des Phases 1 à 5 de la refonte mobile-native par Antigravity. Il compare l'état initial (J+1 post-lancement, 12 avril 2026) à l'état actuel post-corrections, identifie ce qui reste à faire (Phase 6 + gaps non couverts), et recalcule les scores par dimension.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Progression par dimension — Avant / Après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UX — Inscription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4/10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0F7A60"/>
          <w:sz w:val="22"/>
          <w:szCs w:val="22"/>
        </w:rPr>
        <w:t xml:space="preserve">8/10</w:t>
      </w:r>
      <w:r>
        <w:rPr>
          <w:rFonts w:ascii="Arial" w:cs="Arial" w:eastAsia="Arial" w:hAnsi="Arial"/>
          <w:b/>
          <w:bCs/>
          <w:color w:val="0F7A60"/>
          <w:sz w:val="20"/>
          <w:szCs w:val="20"/>
        </w:rPr>
        <w:t xml:space="preserve">  (+4)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UX — Connexion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E67E22"/>
          <w:sz w:val="22"/>
          <w:szCs w:val="22"/>
        </w:rPr>
        <w:t xml:space="preserve">6/10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0F7A60"/>
          <w:sz w:val="22"/>
          <w:szCs w:val="22"/>
        </w:rPr>
        <w:t xml:space="preserve">8/10</w:t>
      </w:r>
      <w:r>
        <w:rPr>
          <w:rFonts w:ascii="Arial" w:cs="Arial" w:eastAsia="Arial" w:hAnsi="Arial"/>
          <w:b/>
          <w:bCs/>
          <w:color w:val="0F7A60"/>
          <w:sz w:val="20"/>
          <w:szCs w:val="20"/>
        </w:rPr>
        <w:t xml:space="preserve">  (+2)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UX — Navigation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4/10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0F7A60"/>
          <w:sz w:val="22"/>
          <w:szCs w:val="22"/>
        </w:rPr>
        <w:t xml:space="preserve">9/10</w:t>
      </w:r>
      <w:r>
        <w:rPr>
          <w:rFonts w:ascii="Arial" w:cs="Arial" w:eastAsia="Arial" w:hAnsi="Arial"/>
          <w:b/>
          <w:bCs/>
          <w:color w:val="0F7A60"/>
          <w:sz w:val="20"/>
          <w:szCs w:val="20"/>
        </w:rPr>
        <w:t xml:space="preserve">  (+5)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UX — Paiement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3/10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0F7A60"/>
          <w:sz w:val="22"/>
          <w:szCs w:val="22"/>
        </w:rPr>
        <w:t xml:space="preserve">8/10</w:t>
      </w:r>
      <w:r>
        <w:rPr>
          <w:rFonts w:ascii="Arial" w:cs="Arial" w:eastAsia="Arial" w:hAnsi="Arial"/>
          <w:b/>
          <w:bCs/>
          <w:color w:val="0F7A60"/>
          <w:sz w:val="20"/>
          <w:szCs w:val="20"/>
        </w:rPr>
        <w:t xml:space="preserve">  (+5)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UX — Onboarding / Dashboard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E67E22"/>
          <w:sz w:val="22"/>
          <w:szCs w:val="22"/>
        </w:rPr>
        <w:t xml:space="preserve">5/10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6/10</w:t>
      </w:r>
      <w:r>
        <w:rPr>
          <w:rFonts w:ascii="Arial" w:cs="Arial" w:eastAsia="Arial" w:hAnsi="Arial"/>
          <w:b/>
          <w:bCs/>
          <w:color w:val="0F7A60"/>
          <w:sz w:val="20"/>
          <w:szCs w:val="20"/>
        </w:rPr>
        <w:t xml:space="preserve">  (+1)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UX — Checkout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E67E22"/>
          <w:sz w:val="22"/>
          <w:szCs w:val="22"/>
        </w:rPr>
        <w:t xml:space="preserve">5/10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5/10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(0)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7A60"/>
          <w:sz w:val="22"/>
          <w:szCs w:val="22"/>
        </w:rPr>
        <w:t xml:space="preserve">→ UX Score global : 27/60 → 44/60  (+17 pts)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UI — Cohérence design system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E67E22"/>
          <w:sz w:val="22"/>
          <w:szCs w:val="22"/>
        </w:rPr>
        <w:t xml:space="preserve">6/10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6/10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(0)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UI — Typographie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E67E22"/>
          <w:sz w:val="22"/>
          <w:szCs w:val="22"/>
        </w:rPr>
        <w:t xml:space="preserve">5/10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5/10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(0)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UI — Palette &amp; contraste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0F7A60"/>
          <w:sz w:val="22"/>
          <w:szCs w:val="22"/>
        </w:rPr>
        <w:t xml:space="preserve">8/10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0F7A60"/>
          <w:sz w:val="22"/>
          <w:szCs w:val="22"/>
        </w:rPr>
        <w:t xml:space="preserve">8/10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(0)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UI — Espacement mobile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4/10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5/10</w:t>
      </w:r>
      <w:r>
        <w:rPr>
          <w:rFonts w:ascii="Arial" w:cs="Arial" w:eastAsia="Arial" w:hAnsi="Arial"/>
          <w:b/>
          <w:bCs/>
          <w:color w:val="0F7A60"/>
          <w:sz w:val="20"/>
          <w:szCs w:val="20"/>
        </w:rPr>
        <w:t xml:space="preserve">  (+1)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UI — Composants &amp; feedback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E67E22"/>
          <w:sz w:val="22"/>
          <w:szCs w:val="22"/>
        </w:rPr>
        <w:t xml:space="preserve">6/10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0F7A60"/>
          <w:sz w:val="22"/>
          <w:szCs w:val="22"/>
        </w:rPr>
        <w:t xml:space="preserve">8/10</w:t>
      </w:r>
      <w:r>
        <w:rPr>
          <w:rFonts w:ascii="Arial" w:cs="Arial" w:eastAsia="Arial" w:hAnsi="Arial"/>
          <w:b/>
          <w:bCs/>
          <w:color w:val="0F7A60"/>
          <w:sz w:val="20"/>
          <w:szCs w:val="20"/>
        </w:rPr>
        <w:t xml:space="preserve">  (+2)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7A60"/>
          <w:sz w:val="22"/>
          <w:szCs w:val="22"/>
        </w:rPr>
        <w:t xml:space="preserve">→ UI Score global : 29/50 → 32/50  (+3 pts)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Mobile — Breakpoints &amp; Responsive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E67E22"/>
          <w:sz w:val="22"/>
          <w:szCs w:val="22"/>
        </w:rPr>
        <w:t xml:space="preserve">6/10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6/10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(0)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Mobile — Touch Targets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4/10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6/10</w:t>
      </w:r>
      <w:r>
        <w:rPr>
          <w:rFonts w:ascii="Arial" w:cs="Arial" w:eastAsia="Arial" w:hAnsi="Arial"/>
          <w:b/>
          <w:bCs/>
          <w:color w:val="0F7A60"/>
          <w:sz w:val="20"/>
          <w:szCs w:val="20"/>
        </w:rPr>
        <w:t xml:space="preserve">  (+2)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Mobile — Navigation Mobile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3/10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0F7A60"/>
          <w:sz w:val="22"/>
          <w:szCs w:val="22"/>
        </w:rPr>
        <w:t xml:space="preserve">9/10</w:t>
      </w:r>
      <w:r>
        <w:rPr>
          <w:rFonts w:ascii="Arial" w:cs="Arial" w:eastAsia="Arial" w:hAnsi="Arial"/>
          <w:b/>
          <w:bCs/>
          <w:color w:val="0F7A60"/>
          <w:sz w:val="20"/>
          <w:szCs w:val="20"/>
        </w:rPr>
        <w:t xml:space="preserve">  (+6)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Mobile — Densité de contenu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4/10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5/10</w:t>
      </w:r>
      <w:r>
        <w:rPr>
          <w:rFonts w:ascii="Arial" w:cs="Arial" w:eastAsia="Arial" w:hAnsi="Arial"/>
          <w:b/>
          <w:bCs/>
          <w:color w:val="0F7A60"/>
          <w:sz w:val="20"/>
          <w:szCs w:val="20"/>
        </w:rPr>
        <w:t xml:space="preserve">  (+1)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Mobile — Performance perçue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4/10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0F7A60"/>
          <w:sz w:val="22"/>
          <w:szCs w:val="22"/>
        </w:rPr>
        <w:t xml:space="preserve">7/10</w:t>
      </w:r>
      <w:r>
        <w:rPr>
          <w:rFonts w:ascii="Arial" w:cs="Arial" w:eastAsia="Arial" w:hAnsi="Arial"/>
          <w:b/>
          <w:bCs/>
          <w:color w:val="0F7A60"/>
          <w:sz w:val="20"/>
          <w:szCs w:val="20"/>
        </w:rPr>
        <w:t xml:space="preserve">  (+3)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Mobile — Lisibilité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E67E22"/>
          <w:sz w:val="22"/>
          <w:szCs w:val="22"/>
        </w:rPr>
        <w:t xml:space="preserve">5/10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5/10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(0)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Mobile — PWA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0F7A60"/>
          <w:sz w:val="22"/>
          <w:szCs w:val="22"/>
        </w:rPr>
        <w:t xml:space="preserve">7/10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0F7A60"/>
          <w:sz w:val="22"/>
          <w:szCs w:val="22"/>
        </w:rPr>
        <w:t xml:space="preserve">7/10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(0)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7A60"/>
          <w:sz w:val="22"/>
          <w:szCs w:val="22"/>
        </w:rPr>
        <w:t xml:space="preserve">→ Mobile Score global : 33/70 → 45/70  (+12 pts)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A60" w:sz="8"/>
              <w:left w:val="single" w:color="0F7A60" w:sz="20"/>
              <w:bottom w:val="single" w:color="0F7A60" w:sz="4"/>
              <w:right w:val="single" w:color="0F7A60" w:sz="4"/>
            </w:tcBorders>
            <w:shd w:fill="E8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A60"/>
                <w:sz w:val="22"/>
                <w:szCs w:val="22"/>
              </w:rPr>
              <w:t xml:space="preserve">📈  Progression totale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Score global initial : 89/200  →  Score post-Antigravity Phases 1–5 : 121/200  (+32 pts, +36%). Amélioration majeure sur les axes critiques : Navigation (+6), Paiement (+5), Inscription (+4). Phase 6 + gaps restants représentent environ +20 pts additionnels potentiels.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Fichiers créés / modifiés par Antigravity (Phases 1–5)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16 fichiers touchés, build TypeScript zéro erreur, npm run build réussi.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234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MobileBottomNav.tsx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🆕 CRÉÉ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Sidebar.tsx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MODIFIÉ — top bar h-12, plus de hamburger mobile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dashboard/layout.tsx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MODIFIÉ — pb-24, px-3, MobileBottomNav intégré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app/loading.tsx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MODIFIÉ — logo Y pulsing brandé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dashboard/loading.tsx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MODIFIÉ — skeleton 2 cols mobile fidèle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login/page.tsx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MODIFIÉ — useTransition + spinner + disabled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WhatsAppFloatingButton.tsx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MODIFIÉ — 40px mobile, no ping, above tab bar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GlobalHomeButton.tsx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MODIFIÉ — hidden lg:flex (masqué mobile)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api/payments/available/route.ts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🆕 CRÉÉ — endpoint processeurs dynamiques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PaymentMethodSelector.tsx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♻️ REFONDU — dynamique, Apple Pay style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payment-service.ts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MODIFIÉ — types wave|bictorys|cinetpay|moneroo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api/payments/initiate/route.ts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MODIFIÉ — VALID_METHODS nettoyé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lib/validation.ts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MODIFIÉ — schemas checkout + paiement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RegisterForm.tsx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5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♻️ MODIFIÉ — 4 champs, email optionnel, CTA simplifié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app/auth/actions.ts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5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MODIFIÉ — email proxy @yayyam.local, validation relâchée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app/globals.css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9"/>
                <w:szCs w:val="19"/>
              </w:rPr>
              <w:t xml:space="preserve">Phase 1–3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MODIFIÉ — animations slide-up, fade-slice-down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3D35"/>
          <w:sz w:val="36"/>
          <w:szCs w:val="36"/>
        </w:rPr>
        <w:t xml:space="preserve">AUDIT UX — ÉTAT ACTUALISÉ</w:t>
      </w:r>
    </w:p>
    <w:p>
      <w:pPr>
        <w:pBdr>
          <w:bottom w:val="single" w:color="0F7A60" w:sz="6"/>
        </w:pBdr>
        <w:spacing w:after="200" w:before="2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1. Inscription — Phase 5 ✅ EXÉCUTÉE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80"/>
        <w:gridCol w:w="2580"/>
        <w:gridCol w:w="1000"/>
      </w:tblGrid>
      <w:tr>
        <w:tc>
          <w:tcPr>
            <w:tcW w:type="dxa" w:w="32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258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tcW w:type="dxa" w:w="258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 Antigravity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 champs visibles simultanément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7 interactions avant envoi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4 champs : Nom, WhatsApp, Mdp, (Email optionnel)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requis (friction Afrique de l'Ouest)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Bloquait la conversion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Email optionnel — proxy @yayyam.local auto-généré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CTA "Déployer Cloud Store" — jargon incompréhensible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Abandon à la dernière étape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"Créer mon compte" (universel, simple)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Confirmation mot de passe (redondant)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Champ superflu = friction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Supprimée — PasswordInput avec toggle 👁 suffit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 rôles en grille sans hiérarchie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Paralysie de choix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Grille 2×2 conservée — vendeur présélectionné</w:t>
            </w:r>
          </w:p>
        </w:tc>
        <w:tc>
          <w:tcPr>
            <w:tcW w:type="dxa" w:w="1000"/>
            <w:tcBorders>
              <w:top w:val="single" w:color="F39C12" w:sz="6"/>
              <w:left w:val="single" w:color="F39C12" w:sz="6"/>
              <w:bottom w:val="single" w:color="F39C12" w:sz="6"/>
              <w:right w:val="single" w:color="F39C12" w:sz="6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PARTIEL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Placeholder "••••••••" pour le mdp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Aucune guidance sur la complexité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"8 caractères minimum" — guidant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20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🔵  Observation audit — Inscription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 correction est substantielle : de 7 à 4 champs effectifs (email passé optionnel, confirm_password supprimé). Le CTA "Créer mon compte" est universel. Point partiel : les 4 rôles en grille 2×2 sont conservés sans toggle Vendeur/Acheteur dominant. Dans le plan original, Antigravity proposait un toggle binaire (Vendeur par défaut visible). La grille complète reste plus confuse pour les nouveaux utilisateurs — à surveiller sur les prochains tests utilisateurs.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2. Connexion — Phase 2 ✅ EXÉCUTÉE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80"/>
        <w:gridCol w:w="2580"/>
        <w:gridCol w:w="1000"/>
      </w:tblGrid>
      <w:tr>
        <w:tc>
          <w:tcPr>
            <w:tcW w:type="dxa" w:w="32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258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tcW w:type="dxa" w:w="258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 Antigravity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Zéro feedback pendant signIn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Bouton muet pendant 2–5s réseau africain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useTransition + spinner + "Connexion en cours…"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Inputs actifs pendant le loading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L'utilisateur peut modifier mid-requête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fieldset disabled={isPending}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CTA "Accéder au système" — trop technique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Jargon système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"Se connecter" — simple et direct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A60" w:sz="8"/>
              <w:left w:val="single" w:color="0F7A60" w:sz="20"/>
              <w:bottom w:val="single" w:color="0F7A60" w:sz="4"/>
              <w:right w:val="single" w:color="0F7A60" w:sz="4"/>
            </w:tcBorders>
            <w:shd w:fill="E8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A60"/>
                <w:sz w:val="22"/>
                <w:szCs w:val="22"/>
              </w:rPr>
              <w:t xml:space="preserve">✅  Connexion — Correction exemplaire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useTransition correctement wrappé autour de signIn. Le bouton affiche le spinner Loader2 + "Connexion en cours…" et se grise. Le fieldset disabled bloque tous les champs. C'est le pattern recommandé pour les Server Actions Next.js 14.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3. Navigation — Phase 1 ✅ EXÉCUTÉE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80"/>
        <w:gridCol w:w="2580"/>
        <w:gridCol w:w="1000"/>
      </w:tblGrid>
      <w:tr>
        <w:tc>
          <w:tcPr>
            <w:tcW w:type="dxa" w:w="32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258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tcW w:type="dxa" w:w="258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 Antigravity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Hamburger menu → drawer 30+ liens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Paralysie de choix, zéro repère spatial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Bottom Tab Bar 5 onglets permanents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Aucune bottom nav permanente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Utilisateur perdu dans l'app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Tab Bar avec dot indicateur page active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Top bar h-14 trop haute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Espace vertical gaspillé mobile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Top bar h-12 compacte (logo + notifications)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Globe "Vitrine" superposé sur WhatsApp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Collision touch targets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GlobalHomeButton hidden lg:flex — masqué mobile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Sheet Profil — accès aux liens secondaires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Tout dans le drawer principal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Sheet slide-up depuis tab Profil avec 9 liens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A60" w:sz="8"/>
              <w:left w:val="single" w:color="0F7A60" w:sz="20"/>
              <w:bottom w:val="single" w:color="0F7A60" w:sz="4"/>
              <w:right w:val="single" w:color="0F7A60" w:sz="4"/>
            </w:tcBorders>
            <w:shd w:fill="E8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A60"/>
                <w:sz w:val="22"/>
                <w:szCs w:val="22"/>
              </w:rPr>
              <w:t xml:space="preserve">✅  Navigation — Transformation majeure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 refonte est la plus impactante : passage d'un hamburger/drawer daté à une Bottom Tab Bar native iOS/Android style. Safe area iOS avec env(safe-area-inset-bottom). Dot indicateur page active. Sheet Profil avec animations slide-up et fade backdrop. Position WhatsApp ajustée à bottom-[72px] pour rester au-dessus de la tab bar. C'est le changement qui aura le plus d'impact immédiat sur la rétention.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4. Paiement — Phase 4 ✅ EXÉCUTÉE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80"/>
        <w:gridCol w:w="2580"/>
        <w:gridCol w:w="1000"/>
      </w:tblGrid>
      <w:tr>
        <w:tc>
          <w:tcPr>
            <w:tcW w:type="dxa" w:w="32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258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tcW w:type="dxa" w:w="258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 Antigravity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 processeurs hardcodés (dont OM + KKiaPay non fonctionnels)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Ventes perdues sur ces options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Endpoint /api/payments/available lit IntegrationKey dynamiquement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Orange Money et KKiaPay affichés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Erreurs techniques à l'acheteur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Supprimés — seuls Wave + Bictorys actifs affichés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Frais affichés côté acheteur (1% / 3%)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Méfiance, friction, questionnement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Frais masqués — badge "Paiement sécurisé" uniquement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Radio buttons basiques mobile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Trop petit, pas de feedback sélection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Cards Apple Pay style — full width, border verte sélectionnée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 de skeleton pendant le chargement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Blanc pendant fetch des méthodes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Skeleton animate-pulse pendant loadingMethods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 de feedback de redirection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L'utilisateur ne sait pas si ça charge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"Redirection vers Wave…" avec spinner centré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PayLink — formulaire custom incohérent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Interface différente du checkout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PaymentMethodSelector partagé (à vérifier intégration)</w:t>
            </w:r>
          </w:p>
        </w:tc>
        <w:tc>
          <w:tcPr>
            <w:tcW w:type="dxa" w:w="1000"/>
            <w:tcBorders>
              <w:top w:val="single" w:color="F39C12" w:sz="6"/>
              <w:left w:val="single" w:color="F39C12" w:sz="6"/>
              <w:bottom w:val="single" w:color="F39C12" w:sz="6"/>
              <w:right w:val="single" w:color="F39C12" w:sz="6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PARTIEL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A60" w:sz="8"/>
              <w:left w:val="single" w:color="0F7A60" w:sz="20"/>
              <w:bottom w:val="single" w:color="0F7A60" w:sz="4"/>
              <w:right w:val="single" w:color="0F7A60" w:sz="4"/>
            </w:tcBorders>
            <w:shd w:fill="E8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A60"/>
                <w:sz w:val="22"/>
                <w:szCs w:val="22"/>
              </w:rPr>
              <w:t xml:space="preserve">✅  Paiement — Correction Critique Exécutée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 point le plus urgent est résolu. L'endpoint /api/payments/available lit la table IntegrationKey pour ne retourner que les processeurs configurés et actifs. Le composant est désormais entièrement dynamique. Le type PaymentMethod est propre : wave | bictorys | paytech | cinetpay | moneroo. Orange Money et KKiaPay définitivement retirés du codebase.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5. Onboarding / Dashboard — Phase 6 ⏳ NON EXÉCUTÉE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80"/>
        <w:gridCol w:w="2580"/>
        <w:gridCol w:w="1000"/>
      </w:tblGrid>
      <w:tr>
        <w:tc>
          <w:tcPr>
            <w:tcW w:type="dxa" w:w="32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258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tcW w:type="dxa" w:w="258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 Antigravity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padding p-6 lg:p-10 identique mobile/desktop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24px horizontal mobile — trop dense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p-3 lg:p-10 prévu en Phase 6 — PAS ENCORE FAIT</w:t>
            </w:r>
          </w:p>
        </w:tc>
        <w:tc>
          <w:tcPr>
            <w:tcW w:type="dxa" w:w="100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EN ATTENTE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KPI text-3xl déborde mobile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Chiffres tronqués ou illisibles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text-xl lg:text-3xl prévu Phase 6 — PAS ENCORE FAIT</w:t>
            </w:r>
          </w:p>
        </w:tc>
        <w:tc>
          <w:tcPr>
            <w:tcW w:type="dxa" w:w="100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EN ATTENTE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GettingStartedChecklist p-8 trop grande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50% écran consommé by onboarding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p-4 + SVG 72px prévu Phase 6 — PAS ENCORE FAIT</w:t>
            </w:r>
          </w:p>
        </w:tc>
        <w:tc>
          <w:tcPr>
            <w:tcW w:type="dxa" w:w="100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EN ATTENTE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space-y-8 entre sections — trop d'espace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Scroll excessif mobile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space-y-4 lg:space-y-8 prévu Phase 6 — PAS ENCORE FAIT</w:t>
            </w:r>
          </w:p>
        </w:tc>
        <w:tc>
          <w:tcPr>
            <w:tcW w:type="dxa" w:w="100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EN ATTENTE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loading skeleton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2–4s d'écran blanc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skeleton 2 cols mobile FAIT en Phase 2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18"/>
                <w:szCs w:val="18"/>
              </w:rPr>
              <w:t xml:space="preserve">CORRIGE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20"/>
              <w:bottom w:val="single" w:color="C0392B" w:sz="4"/>
              <w:right w:val="single" w:color="C0392B" w:sz="4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 Phase 6 — Priorité Immédiate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Les corrections de densité visuelle du dashboard (paddings, tailles de texte, espacement) sont la prochaine urgence. Ce sont 4 fichiers à modifier : dashboard/page.tsx, GettingStartedChecklist.tsx, ProductsHeaderImport.tsx, admin/users/page.tsx.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6. Checkout — Non couvert par Antigravity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80"/>
        <w:gridCol w:w="2580"/>
        <w:gridCol w:w="1000"/>
      </w:tblGrid>
      <w:tr>
        <w:tc>
          <w:tcPr>
            <w:tcW w:type="dxa" w:w="32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258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tcW w:type="dxa" w:w="258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 Antigravity</w:t>
            </w:r>
          </w:p>
        </w:tc>
        <w:tc>
          <w:tcPr>
            <w:tcW w:type="dxa" w:w="10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Boutons quantité +/- de 32px (w-8 h-8)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Erreurs de tap fréquentes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Non modifié — reste à 32px</w:t>
            </w:r>
          </w:p>
        </w:tc>
        <w:tc>
          <w:tcPr>
            <w:tcW w:type="dxa" w:w="100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EN ATTENTE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Récap commande sous le fold mobile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Bouton "Payer" invisible sans scroller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Non modifié</w:t>
            </w:r>
          </w:p>
        </w:tc>
        <w:tc>
          <w:tcPr>
            <w:tcW w:type="dxa" w:w="100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EN ATTENTE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12+ champs visibles d'un bloc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Complexité maximum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Non modifié</w:t>
            </w:r>
          </w:p>
        </w:tc>
        <w:tc>
          <w:tcPr>
            <w:tcW w:type="dxa" w:w="100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EN ATTENTE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Transition slide étape 1→2 absente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Changement brutal d'écran</w:t>
            </w:r>
          </w:p>
        </w:tc>
        <w:tc>
          <w:tcPr>
            <w:tcW w:type="dxa" w:w="25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A60"/>
                <w:sz w:val="19"/>
                <w:szCs w:val="19"/>
              </w:rPr>
              <w:t xml:space="preserve">Non modifié</w:t>
            </w:r>
          </w:p>
        </w:tc>
        <w:tc>
          <w:tcPr>
            <w:tcW w:type="dxa" w:w="100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EN ATTENTE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3D35"/>
          <w:sz w:val="36"/>
          <w:szCs w:val="36"/>
        </w:rPr>
        <w:t xml:space="preserve">AUDIT UI — ÉTAT ACTUALISÉ</w:t>
      </w:r>
    </w:p>
    <w:p>
      <w:pPr>
        <w:pBdr>
          <w:bottom w:val="single" w:color="0F7A60" w:sz="6"/>
        </w:pBdr>
        <w:spacing w:after="200" w:before="2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1. Composants refondus — Qualité UI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MobileBottomNav.tsx — Nouveau composant [CRÉÉ]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Active state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text-[#0F7A60] + dot indicateur + strokeWidth 2.5 vs 1.8 (actif vs inactif). Distinction visuelle claire.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Touch target tab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min-w-[56px] h-16 (64px) — dépasse le minimum 44px recommandé.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Backdrop blur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bg-white/95 backdrop-blur-xl — élégant et cohérent avec l'esthétique glassmorphism de la app.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Animation Profile Sheet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slide-up + fade backdrop + handle bar iOS (w-10 h-1 rounded-full bg-gray-300). Natif et familier.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Safe area iOS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env(safe-area-inset-bottom) appliqué sur la nav et la sheet.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⚠️ Observation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La tab "Notifs" pointe vers /dashboard/notifications. Vérifier que cette route existe — sinon elle redirigera vers 404.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PaymentMethodSelector.tsx — Refonte complète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Cards Apple Pay style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full-width, icône 44px, label + subtitle, radio check circle. Jaune de confiance remplacé par vert émeraude actif.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Skeleton loading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animate-pulse 3 rectangles pendant le fetch /api/payments/available.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État "Redirection"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Loader2 centré + "Redirection vers Wave…" + "Ne fermez pas cette page." — rassurant.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Badge "Recommandé"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Premier processeur retourné par l'API automatiquement badgé.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Badge sécurité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Shield + "Paiement sécurisé" — remplace l'affichage des frais qui créait de la méfiance.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⚠️ Observation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L'animation fade-slice-down pour le champ numéro Wave n'est probablement pas définie dans globals.css par défaut. À vérifier que cette keyframe est bien présente.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Login page.tsx — Feedback visuel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CTA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"Se connecter" remplace "Accéder au système" — langue naturelle, pas du jargon.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État pending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Bouton grisé (bg-white/5 text-white/30 cursor-wait) + Loader2 + "Connexion en cours…"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fieldset disabled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Tous les inputs portent disabled:opacity-50 pendant le loading.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WhatsAppFloatingButton.tsx — Bruit visuel réduit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Mobile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w-10 h-10 (40px), icône w-5 h-5, position bottom-[72px] right-3 (au-dessus de la tab bar).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Desktop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w-14 h-14 (56px) conservé avec ping animation.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Tooltip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hidden lg:block — masqué mobile.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⚠️ Numéro hardcodé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221776581741 toujours présent dans le code source (DEFAULT_AGENTS). Ce point n'est pas couvert par les 6 phases. Risque support non résolu.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2. Points UI non couverts (restants)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🔴 Dashboard densité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p-6 sur le dashboard, text-3xl sur les KPIs, p-8 sur GettingStartedChecklist non modifiés (Phase 6 en attente).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🟡 Double définition couleurs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#0F7A60 toujours hardcodé dans PaymentMethodSelector (new), WhatsAppFloatingButton, etc. Les nouvelles modifications reproduisent le même pattern. Pas de régression mais pas d'amélioration non plus.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🟡 text-[10px] encore présent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Dans le badge "Recommandé" de PaymentMethodSelector (text-[9px]), dans les labels des tabs MobileBottomNav (text-[10px]). Valeurs sous le minimum de lisibilité recommandé.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🟡 Tables admin non responsives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/admin/users table HTML non modifiée — Phase 6 non exécutée.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🟡 Accessibilité ARIA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aria-live, aria-describedby, aria-expanded non ajoutés dans cette passe. Hors scope Antigravity Phases 1–5.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3D35"/>
          <w:sz w:val="36"/>
          <w:szCs w:val="36"/>
        </w:rPr>
        <w:t xml:space="preserve">AUDIT MOBILE — ÉTAT ACTUALISÉ</w:t>
      </w:r>
    </w:p>
    <w:p>
      <w:pPr>
        <w:pBdr>
          <w:bottom w:val="single" w:color="0F7A60" w:sz="6"/>
        </w:pBdr>
        <w:spacing w:after="200" w:before="2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Résultats par viewport — Avant / Après Phases 1–5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1800"/>
        <w:gridCol w:w="1800"/>
        <w:gridCol w:w="1860"/>
      </w:tblGrid>
      <w:tr>
        <w:tc>
          <w:tcPr>
            <w:tcW w:type="dxa" w:w="156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Viewport</w:t>
            </w:r>
          </w:p>
        </w:tc>
        <w:tc>
          <w:tcPr>
            <w:tcW w:type="dxa" w:w="234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Appareil</w:t>
            </w:r>
          </w:p>
        </w:tc>
        <w:tc>
          <w:tcPr>
            <w:tcW w:type="dxa" w:w="18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tcW w:type="dxa" w:w="180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</w:t>
            </w:r>
          </w:p>
        </w:tc>
        <w:tc>
          <w:tcPr>
            <w:tcW w:type="dxa" w:w="1860"/>
            <w:tcBorders>
              <w:top w:val="single" w:color="0F7A60" w:sz="6"/>
              <w:left w:val="single" w:color="0F7A60" w:sz="6"/>
              <w:bottom w:val="single" w:color="0F7A60" w:sz="6"/>
              <w:right w:val="single" w:color="0F7A60" w:sz="6"/>
            </w:tcBorders>
            <w:shd w:fill="0A3D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Problèmes restants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360×800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Itel A56, Tecno Pop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3/10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20"/>
                <w:szCs w:val="20"/>
              </w:rPr>
              <w:t xml:space="preserve">5/10</w:t>
            </w:r>
          </w:p>
        </w:tc>
        <w:tc>
          <w:tcPr>
            <w:tcW w:type="dxa" w:w="1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Dashboard trop dense, KPI overflow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375×812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iPhone SE / 12 mini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4/10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20"/>
                <w:szCs w:val="20"/>
              </w:rPr>
              <w:t xml:space="preserve">6/10</w:t>
            </w:r>
          </w:p>
        </w:tc>
        <w:tc>
          <w:tcPr>
            <w:tcW w:type="dxa" w:w="1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Padding p-6 dashboard, scroll checklist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390×844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iPhone 14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5/10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20"/>
                <w:szCs w:val="20"/>
              </w:rPr>
              <w:t xml:space="preserve">7/10</w:t>
            </w:r>
          </w:p>
        </w:tc>
        <w:tc>
          <w:tcPr>
            <w:tcW w:type="dxa" w:w="1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Checkout récap sous fold, qty buttons petits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412×915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Samsung A54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5/10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20"/>
                <w:szCs w:val="20"/>
              </w:rPr>
              <w:t xml:space="preserve">7/10</w:t>
            </w:r>
          </w:p>
        </w:tc>
        <w:tc>
          <w:tcPr>
            <w:tcW w:type="dxa" w:w="1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Correct sur pages simples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430×932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iPhone 14 Pro Max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6/10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20"/>
                <w:szCs w:val="20"/>
              </w:rPr>
              <w:t xml:space="preserve">8/10</w:t>
            </w:r>
          </w:p>
        </w:tc>
        <w:tc>
          <w:tcPr>
            <w:tcW w:type="dxa" w:w="1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Quasi-natif sur la plupart des pages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768×1024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iPad / Tablette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6/10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20"/>
                <w:szCs w:val="20"/>
              </w:rPr>
              <w:t xml:space="preserve">7/10</w:t>
            </w:r>
          </w:p>
        </w:tc>
        <w:tc>
          <w:tcPr>
            <w:tcW w:type="dxa" w:w="1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Sidebar toujours desktop, ok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1280×800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Desktop laptop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7/10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60"/>
                <w:sz w:val="20"/>
                <w:szCs w:val="20"/>
              </w:rPr>
              <w:t xml:space="preserve">8/10</w:t>
            </w:r>
          </w:p>
        </w:tc>
        <w:tc>
          <w:tcPr>
            <w:tcW w:type="dxa" w:w="1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Sidebar collapsible amélioré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Points mobiles corrigés — Détails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Navigation ✅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La Bottom Tab Bar est un changement paradigmatique. Sur 375px (iPhone SE), l'utilisateur a maintenant 5 destinations permanentes visibles d'un regard, avec un indicateur visuel de la page active. C'est le pattern le plus efficace prouvé pour la rétention mobile.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La Sheet Profil remplace le drawer surchargé pour les liens secondaires (Portefeuille, Commissions, CRM, App Store, etc.). Slide-up animé, overlay sombre, handle bar iOS — natif et familier pour tous les utilisateurs iOS et Android.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Position WhatsApp ajustée à bottom-[72px] pour ne jamais masquer la Bottom Tab Bar. Taille réduite à 40px mobile pour ne pas obstruer le contenu.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Performance perçue ✅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loading.tsx : Le "Y" Yayyam en pulsing vert est une expérience branded — l'utilisateur identifie l'application même pendant le chargement. Bien meilleur qu'un spinner générique.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dashboard/loading.tsx : Skeleton en 2 colonnes pour les KPIs (grille réelle), placeholder pour banner et chart. L'utilisateur reconnaît la structure avant que le contenu n'arrive.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login/page.tsx : Le spinner "Connexion en cours…" élimine le doute sur 3G/4G africain. Le fieldset disabled empêche les double-soumissions.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Points mobiles non corrigés (Phase 6 + gaps)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🔴 Dashboard densité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p-6 sur le dashboard principal toujours en place. Sur 375px, 48px de padding horizontal total laisse 327px utiles. Phase 6 doit passer à p-3 mobile.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🔴 Checkout récap sous le fold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CheckoutForm étape 2 — le récap commande occupe tout l'écran avant le bouton Payer. Non couvert par Antigravity.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🟡 Quantité +/- 32px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Boutons w-8 h-8 dans CheckoutForm non modifiés. En dessous des 44px minimum recommandés.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🟡 Tables admin non responsives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/admin/users table HTML sur mobile toujours illisible. Phase 6 prévoit des cards empilées.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3D35"/>
          <w:sz w:val="36"/>
          <w:szCs w:val="36"/>
        </w:rPr>
        <w:t xml:space="preserve">RESTE À FAIRE — PRIORITÉS</w:t>
      </w:r>
    </w:p>
    <w:p>
      <w:pPr>
        <w:pBdr>
          <w:bottom w:val="single" w:color="0F7A60" w:sz="6"/>
        </w:pBdr>
        <w:spacing w:after="200" w:before="20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Antigravity a exécuté 5 phases sur 6, couvrant les 3 urgences critiques identifiées dans l'audit initial. Voici le backlog priorisé pour atteindre une expérience 8+/10 sur tous les axes.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Phase 6 — Dashboard &amp; Pages Compacts (Antigravity, prêt à exécuter)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0"/>
              <w:bottom w:val="single" w:color="E67E22" w:sz="4"/>
              <w:right w:val="single" w:color="E67E22" w:sz="4"/>
            </w:tcBorders>
            <w:shd w:fill="FEF0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⚡  4 fichiers — Impact direct sur la densité mobile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app/dashboard/page.tsx | GettingStartedChecklist.tsx | ProductsHeaderImport.tsx | app/admin/users/page.tsx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 dashboard/page.tsx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p-3 lg:p-10, space-y-4 lg:space-y-8, text-xl lg:text-3xl pour les KPIs, rounded-2xl lg:rounded-[32px] pour les cards.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 GettingStartedChecklist.tsx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p-4 lg:p-10, SVG 72px mobile, title text-lg lg:text-3xl.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3. ProductsHeaderImport.tsx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Icône w-10 lg:w-14, texte text-xl, boutons icône-seule mobile.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 admin/users/page.tsx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Table hidden lg:block + Cards empilées mobile + KPIs scrollable + filtres pills.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Gaps non couverts par Antigravity — À planifier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🔴 CRITIQUE — Numéro WhatsApp hardcodé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Problème : 221776581741 hardcodé dans DEFAULT_AGENTS de WhatsAppFloatingButton.tsx. Chaque vitrine vendeur pointe vers le support Yayyam au lieu du vendeur concerné.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Solution : Ajouter un champ whatsapp_number dans la table Store. Lire la valeur côté serveur dans le layout dashboard et passer en prop. Sur les storefronts publics ([slug]/page.tsx), lire le numéro du vendeur.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Priorité : Haute — Impact sur l'expérience acheteur de toutes les boutiques.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🟡 MOYEN — Checkout Form (non dans le scope Antigravity)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Boutons quantité +/- : w-8 h-8 (32px) → w-11 h-11 (44px minimum). Modifier CheckoutForm.tsx.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Récap commande collapsible : Ajouter un accordéon "Voir le récap" pour libérer l'espace vertical avant le bouton Payer.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Transition slide étape 1→2 : animate-slide-left CSS entre les étapes du checkout.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Email optionnel dans checkout : En cohérence avec l'inscription, l'email ne devrait pas être bloquant dans le checkout.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🟡 MOYEN — PayLink non unifié (partiel)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PayLinkClient.tsx utilise encore son propre formulaire de paiement au lieu du PaymentMethodSelector partagé. L'acheteur passant par PayLink voit une interface différente du checkout standard.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Refondre PayLinkClient.tsx pour intégrer PaymentMethodSelector comme dans le plan Antigravity Phase 4 (PayLink section non exécutée dans ce walkthrough).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🟡 MOYEN — Accessibilité (hors scope)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aria-live="polite" sur les zones de validation dynamique (code ambassadeur, erreurs checkout).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aria-describedby associant les messages d'erreur aux champs de formulaire.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aria-expanded sur les accordéons (code promo, email optionnel dans checkout).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Contraste placeholder:text-gray-300 : ratio 1.9:1 insuffisant — minimum 3:1 pour les placeholders (WCAG 1.4.3 Level AA).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🔵 SÉCURITÉ — À auditer séparément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Supabase RLS (Row Level Security) : Non vérifiée dans cet audit. Couche critique empêchant un vendeur d'accéder aux données d'un autre. Audit spécifique requis.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Rate limiting /api/payments/initiate : Aucun rate limiting détecté. Risque de spam de tentatives de paiement. Ajouter une limitation par IP / par commande.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Validation montant côté serveur : Vérifier que le montant envoyé dans la requête est recalculé depuis la base de données et non simplement accepté du client.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Validation Terrain Recommandée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Test 1 — Inscription complète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Sur iPhone SE 375×812, chronométrer le temps d'inscription à partir de la page /register. Objectif : &lt; 45 secondes avec 4 champs. Tester inscription SANS email.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Test 2 — Connexion avec feedback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Sur connexion 3G simulée (DevTools throttling), vérifier que le spinner "Connexion en cours…" apparaît bien avant la redirection.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Test 3 — Navigation Tab Bar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Vérifier les 5 onglets sur Safari iOS et Chrome Android. La route /dashboard/notifications doit exister ou être redirigée.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Test 4 — Paiement Wave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Créer une commande test → sélectionner Wave → entrer numéro → vérifier "Redirection vers Wave…" → vérifier redirection effective vers Wave.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Test 5 — Paiement Bictorys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Même flow avec Bictorys. Vérifier que c'est le seul autre processeur affiché (pas CinetPay, PayTech, Moneroo si non configurés).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Test 6 — PayLink 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Ouvrir un PayLink en incognito. Vérifier si PaymentMethodSelector est utilisé ou si l'ancien formulaire est toujours là.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7A60"/>
          <w:sz w:val="28"/>
          <w:szCs w:val="28"/>
        </w:rPr>
        <w:t xml:space="preserve">Conclusion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Les Phases 1 à 5 d'Antigravity ont corrigé les 3 urgences critiques identifiées dans l'audit initial : navigation mobile (Bottom Tab Bar), feedback de chargement (skeleton + spinner login), et paiement dynamique (endpoint /api/payments/available). Le score global passe de 89/200 à 121/200 (+36%).</w:t>
      </w:r>
    </w:p>
    <w:p>
      <w:pPr>
        <w:spacing w:after="60" w:before="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La Phase 6 (densité dashboard mobile) est la prochaine étape logique et la plus rapide à exécuter (4 fichiers, pas de logique métier). Ensuite, le numéro WhatsApp dynamique est le seul point avec un impact business direct sur toutes les boutiques vendeurs.</w:t>
      </w:r>
    </w:p>
    <w:p>
      <w:pPr>
        <w:spacing w:after="60" w:before="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L'objectif 8+/10 sur tous les axes est atteignable d'ici 2 semaines avec la Phase 6 + les gaps checkout et WhatsApp.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Audit actualisé PDV Pro / Yayyam — Post-Antigravity Phases 1–5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7A60" w:sz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A60" w:sz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PDV Pro / Yayyam — Audit Post-Antigravity Phases 1–5</w:t>
    </w:r>
    <w:r>
      <w:rPr>
        <w:rFonts w:ascii="Arial" w:cs="Arial" w:eastAsia="Arial" w:hAnsi="Arial"/>
        <w:color w:val="6B7280"/>
        <w:sz w:val="18"/>
        <w:szCs w:val="18"/>
      </w:rPr>
      <w:t xml:space="preserve">   ·   Build ✅ Zéro erreur   ·   12 Avril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A3D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F7A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2026-04-12T20:43:49.162Z</dcterms:created>
  <dcterms:modified xsi:type="dcterms:W3CDTF">2026-04-12T20:43:49.163Z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