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C12AE" w14:textId="768D849E" w:rsidR="009B502D" w:rsidRDefault="009B502D">
      <w:pPr>
        <w:rPr>
          <w:rFonts w:eastAsiaTheme="minorEastAsia"/>
        </w:rPr>
      </w:pPr>
      <w:r>
        <w:rPr>
          <w:rFonts w:eastAsiaTheme="minorEastAsia"/>
        </w:rPr>
        <w:t xml:space="preserve">Ans to the Que no </w:t>
      </w:r>
      <w:proofErr w:type="gramStart"/>
      <w:r>
        <w:rPr>
          <w:rFonts w:eastAsiaTheme="minorEastAsia"/>
        </w:rPr>
        <w:t>1  (</w:t>
      </w:r>
      <w:proofErr w:type="gramEnd"/>
      <w:r>
        <w:rPr>
          <w:rFonts w:eastAsiaTheme="minorEastAsia"/>
        </w:rPr>
        <w:t>A.1)</w:t>
      </w:r>
    </w:p>
    <w:p w14:paraId="04590B51" w14:textId="400262CA" w:rsidR="006F2B5C" w:rsidRPr="006F2B5C" w:rsidRDefault="006F2B5C" w:rsidP="009B502D">
      <w:pPr>
        <w:rPr>
          <w:rFonts w:eastAsiaTheme="minorEastAsia"/>
          <w:b/>
          <w:bCs/>
        </w:rPr>
      </w:pPr>
      <w:r w:rsidRPr="006F2B5C">
        <w:rPr>
          <w:rFonts w:eastAsiaTheme="minorEastAsia"/>
          <w:b/>
          <w:bCs/>
          <w:sz w:val="28"/>
          <w:szCs w:val="28"/>
        </w:rPr>
        <w:t xml:space="preserve">Tea is an aromatic beverage prepared by pouring hot or boiling water over </w:t>
      </w:r>
      <w:proofErr w:type="gramStart"/>
      <w:r w:rsidRPr="006F2B5C">
        <w:rPr>
          <w:rFonts w:eastAsiaTheme="minorEastAsia"/>
          <w:b/>
          <w:bCs/>
          <w:sz w:val="28"/>
          <w:szCs w:val="28"/>
        </w:rPr>
        <w:t xml:space="preserve">cured </w:t>
      </w:r>
      <w:r w:rsidRPr="006F2B5C">
        <w:rPr>
          <w:rFonts w:eastAsiaTheme="minorEastAsia"/>
          <w:b/>
          <w:bCs/>
        </w:rPr>
        <w:t>.</w:t>
      </w:r>
      <w:proofErr w:type="gramEnd"/>
    </w:p>
    <w:p w14:paraId="7F860AA3" w14:textId="77777777" w:rsidR="006F2B5C" w:rsidRDefault="006F2B5C" w:rsidP="009B502D">
      <w:pPr>
        <w:rPr>
          <w:rFonts w:eastAsiaTheme="minorEastAsia"/>
        </w:rPr>
      </w:pPr>
    </w:p>
    <w:p w14:paraId="144826AF" w14:textId="2EB914C6" w:rsidR="006F2B5C" w:rsidRDefault="006F2B5C" w:rsidP="009B502D">
      <w:pPr>
        <w:rPr>
          <w:rFonts w:eastAsiaTheme="minorEastAsia"/>
        </w:rPr>
        <w:sectPr w:rsidR="006F2B5C">
          <w:pgSz w:w="12240" w:h="15840"/>
          <w:pgMar w:top="1440" w:right="1440" w:bottom="1440" w:left="1440" w:header="720" w:footer="720" w:gutter="0"/>
          <w:cols w:space="720"/>
          <w:docGrid w:linePitch="360"/>
        </w:sectPr>
      </w:pPr>
    </w:p>
    <w:p w14:paraId="235C59C6" w14:textId="2EA0ED12" w:rsidR="009B502D" w:rsidRPr="009B502D" w:rsidRDefault="009B502D" w:rsidP="006F2B5C">
      <w:pPr>
        <w:jc w:val="both"/>
        <w:rPr>
          <w:rFonts w:eastAsiaTheme="minorEastAsia"/>
        </w:rPr>
      </w:pPr>
      <w:r w:rsidRPr="009B502D">
        <w:rPr>
          <w:rFonts w:eastAsiaTheme="minorEastAsia"/>
        </w:rPr>
        <w:t xml:space="preserve">Tea is an aromatic beverage prepared by pouring hot or boiling water over cured or fresh leaves of Camellia sinensis, an evergreen shrub native to East Asia which probably originated in the borderlands of south-western China and northern Myanmar. Tea is also made, but rarely, from the leaves of Camellia </w:t>
      </w:r>
      <w:proofErr w:type="spellStart"/>
      <w:r w:rsidRPr="009B502D">
        <w:rPr>
          <w:rFonts w:eastAsiaTheme="minorEastAsia"/>
        </w:rPr>
        <w:t>taliensis</w:t>
      </w:r>
      <w:proofErr w:type="spellEnd"/>
      <w:r w:rsidRPr="009B502D">
        <w:rPr>
          <w:rFonts w:eastAsiaTheme="minorEastAsia"/>
        </w:rPr>
        <w:t>.</w:t>
      </w:r>
      <w:r>
        <w:rPr>
          <w:rFonts w:eastAsiaTheme="minorEastAsia"/>
        </w:rPr>
        <w:t xml:space="preserve"> </w:t>
      </w:r>
      <w:r w:rsidRPr="009B502D">
        <w:rPr>
          <w:rFonts w:eastAsiaTheme="minorEastAsia"/>
        </w:rPr>
        <w:t xml:space="preserve">An early credible record of tea drinking dates to the third century AD, in a medical text written by Chinese </w:t>
      </w:r>
      <w:r w:rsidRPr="009B502D">
        <w:rPr>
          <w:rFonts w:eastAsiaTheme="minorEastAsia"/>
        </w:rPr>
        <w:t xml:space="preserve">physician Hua Tuo.[12] It was </w:t>
      </w:r>
      <w:proofErr w:type="spellStart"/>
      <w:r w:rsidRPr="009B502D">
        <w:rPr>
          <w:rFonts w:eastAsiaTheme="minorEastAsia"/>
        </w:rPr>
        <w:t>popularised</w:t>
      </w:r>
      <w:proofErr w:type="spellEnd"/>
      <w:r w:rsidRPr="009B502D">
        <w:rPr>
          <w:rFonts w:eastAsiaTheme="minorEastAsia"/>
        </w:rPr>
        <w:t xml:space="preserve"> as a recreational drink during the Chinese Tang dynasty, and tea drinking subsequently spread to other East Asian countries. Portuguese priests and merchants introduced it to Europe during the 16th century.[13] During the 17th century, drinking tea became fashionable among the English, who started to plant tea on a large scale in British India.</w:t>
      </w:r>
    </w:p>
    <w:p w14:paraId="2F00C158" w14:textId="77777777" w:rsidR="009B502D" w:rsidRDefault="009B502D" w:rsidP="009B502D">
      <w:pPr>
        <w:rPr>
          <w:rFonts w:eastAsiaTheme="minorEastAsia"/>
        </w:rPr>
        <w:sectPr w:rsidR="009B502D" w:rsidSect="006F2B5C">
          <w:type w:val="continuous"/>
          <w:pgSz w:w="12240" w:h="15840"/>
          <w:pgMar w:top="1440" w:right="1440" w:bottom="1440" w:left="1440" w:header="720" w:footer="720" w:gutter="0"/>
          <w:cols w:num="2" w:space="720"/>
          <w:docGrid w:linePitch="360"/>
        </w:sectPr>
      </w:pPr>
    </w:p>
    <w:p w14:paraId="28ECD33D" w14:textId="77777777" w:rsidR="009B502D" w:rsidRPr="009B502D" w:rsidRDefault="009B502D" w:rsidP="009B502D">
      <w:pPr>
        <w:rPr>
          <w:rFonts w:eastAsiaTheme="minorEastAsia"/>
        </w:rPr>
      </w:pPr>
    </w:p>
    <w:p w14:paraId="3694C4C3" w14:textId="77777777" w:rsidR="006F2B5C" w:rsidRDefault="006F2B5C" w:rsidP="009B502D">
      <w:pPr>
        <w:rPr>
          <w:rFonts w:eastAsiaTheme="minorEastAsia"/>
        </w:rPr>
        <w:sectPr w:rsidR="006F2B5C" w:rsidSect="006F2B5C">
          <w:type w:val="continuous"/>
          <w:pgSz w:w="12240" w:h="15840"/>
          <w:pgMar w:top="1440" w:right="1440" w:bottom="1440" w:left="1440" w:header="720" w:footer="720" w:gutter="0"/>
          <w:cols w:num="2" w:space="720"/>
          <w:docGrid w:linePitch="360"/>
        </w:sectPr>
      </w:pPr>
    </w:p>
    <w:p w14:paraId="32425D91" w14:textId="453549E0" w:rsidR="009B502D" w:rsidRDefault="009B502D" w:rsidP="006F2B5C">
      <w:pPr>
        <w:jc w:val="both"/>
        <w:rPr>
          <w:rFonts w:eastAsiaTheme="minorEastAsia"/>
        </w:rPr>
      </w:pPr>
      <w:r w:rsidRPr="009B502D">
        <w:rPr>
          <w:rFonts w:eastAsiaTheme="minorEastAsia"/>
        </w:rPr>
        <w:t>The term herbal tea refers to drinks not made from Camellia sinensis. They are the infusions of fruit, leaves, or other plant parts, such as steeps of rosehip, chamomile, or rooibos. These may be called tisanes or herbal infusions to prevent confusion with tea made from the tea plant.</w:t>
      </w:r>
      <w:r w:rsidR="006F2B5C" w:rsidRPr="006F2B5C">
        <w:t xml:space="preserve"> </w:t>
      </w:r>
      <w:r w:rsidR="006F2B5C" w:rsidRPr="006F2B5C">
        <w:rPr>
          <w:rFonts w:eastAsiaTheme="minorEastAsia"/>
        </w:rPr>
        <w:t>During the 17th century, drinking tea became fashionable among the English, who started to plant tea on a large scale in British India.</w:t>
      </w:r>
    </w:p>
    <w:p w14:paraId="6BD79763" w14:textId="77777777" w:rsidR="009B502D" w:rsidRDefault="009B502D" w:rsidP="006F2B5C">
      <w:pPr>
        <w:jc w:val="both"/>
        <w:rPr>
          <w:rFonts w:eastAsiaTheme="minorEastAsia"/>
        </w:rPr>
      </w:pPr>
    </w:p>
    <w:p w14:paraId="044D3D77" w14:textId="77777777" w:rsidR="006F2B5C" w:rsidRDefault="006F2B5C" w:rsidP="006F2B5C">
      <w:pPr>
        <w:jc w:val="both"/>
        <w:rPr>
          <w:rFonts w:eastAsiaTheme="minorEastAsia"/>
        </w:rPr>
        <w:sectPr w:rsidR="006F2B5C" w:rsidSect="006F2B5C">
          <w:type w:val="continuous"/>
          <w:pgSz w:w="12240" w:h="15840"/>
          <w:pgMar w:top="1440" w:right="1440" w:bottom="1440" w:left="1440" w:header="720" w:footer="720" w:gutter="0"/>
          <w:cols w:num="2" w:space="720"/>
          <w:docGrid w:linePitch="360"/>
        </w:sectPr>
      </w:pPr>
    </w:p>
    <w:p w14:paraId="14A65C87" w14:textId="77777777" w:rsidR="009B502D" w:rsidRDefault="009B502D" w:rsidP="006F2B5C">
      <w:pPr>
        <w:jc w:val="both"/>
        <w:rPr>
          <w:rFonts w:eastAsiaTheme="minorEastAsia"/>
        </w:rPr>
      </w:pPr>
    </w:p>
    <w:p w14:paraId="223BC2CB" w14:textId="77777777" w:rsidR="006F2B5C" w:rsidRDefault="006F2B5C">
      <w:pPr>
        <w:rPr>
          <w:rFonts w:eastAsiaTheme="minorEastAsia"/>
        </w:rPr>
        <w:sectPr w:rsidR="006F2B5C" w:rsidSect="006F2B5C">
          <w:type w:val="continuous"/>
          <w:pgSz w:w="12240" w:h="15840"/>
          <w:pgMar w:top="1440" w:right="1440" w:bottom="1440" w:left="1440" w:header="720" w:footer="720" w:gutter="0"/>
          <w:cols w:space="720"/>
          <w:docGrid w:linePitch="360"/>
        </w:sectPr>
      </w:pPr>
    </w:p>
    <w:p w14:paraId="077F4046" w14:textId="77777777" w:rsidR="009B502D" w:rsidRDefault="009B502D">
      <w:pPr>
        <w:rPr>
          <w:rFonts w:eastAsiaTheme="minorEastAsia"/>
        </w:rPr>
      </w:pPr>
    </w:p>
    <w:p w14:paraId="237B5239" w14:textId="77777777" w:rsidR="009B502D" w:rsidRDefault="009B502D">
      <w:pPr>
        <w:rPr>
          <w:rFonts w:eastAsiaTheme="minorEastAsia"/>
        </w:rPr>
      </w:pPr>
    </w:p>
    <w:p w14:paraId="2F8A972B" w14:textId="2E25AA5E" w:rsidR="009B502D" w:rsidRDefault="009B502D">
      <w:pPr>
        <w:rPr>
          <w:rFonts w:eastAsiaTheme="minorEastAsia"/>
        </w:rPr>
      </w:pPr>
      <w:r w:rsidRPr="009B502D">
        <w:rPr>
          <w:rFonts w:eastAsiaTheme="minorEastAsia"/>
        </w:rPr>
        <w:t xml:space="preserve">Ans to the Que no </w:t>
      </w:r>
      <w:proofErr w:type="gramStart"/>
      <w:r w:rsidRPr="009B502D">
        <w:rPr>
          <w:rFonts w:eastAsiaTheme="minorEastAsia"/>
        </w:rPr>
        <w:t>1  (</w:t>
      </w:r>
      <w:proofErr w:type="gramEnd"/>
      <w:r w:rsidRPr="009B502D">
        <w:rPr>
          <w:rFonts w:eastAsiaTheme="minorEastAsia"/>
        </w:rPr>
        <w:t>A.</w:t>
      </w:r>
      <w:r>
        <w:rPr>
          <w:rFonts w:eastAsiaTheme="minorEastAsia"/>
        </w:rPr>
        <w:t>2</w:t>
      </w:r>
      <w:r w:rsidRPr="009B502D">
        <w:rPr>
          <w:rFonts w:eastAsiaTheme="minorEastAsia"/>
        </w:rPr>
        <w:t>)</w:t>
      </w:r>
    </w:p>
    <w:p w14:paraId="08672A55" w14:textId="201F2711" w:rsidR="009B502D" w:rsidRDefault="009B502D">
      <w:pPr>
        <w:rPr>
          <w:rFonts w:eastAsiaTheme="minorEastAsia"/>
        </w:rPr>
      </w:pPr>
    </w:p>
    <w:p w14:paraId="0E0FD1FC" w14:textId="143909EB" w:rsidR="000713CD" w:rsidRDefault="009B502D">
      <w:r>
        <w:rPr>
          <w:rFonts w:eastAsiaTheme="minorEastAsia"/>
        </w:rPr>
        <w:t xml:space="preserve">                              </w:t>
      </w:r>
      <m:oMath>
        <m:nary>
          <m:naryPr>
            <m:ctrlPr>
              <w:rPr>
                <w:rFonts w:ascii="Cambria Math" w:hAnsi="Cambria Math"/>
                <w:i/>
              </w:rPr>
            </m:ctrlPr>
          </m:naryPr>
          <m:sub>
            <m:r>
              <w:rPr>
                <w:rFonts w:ascii="Cambria Math" w:hAnsi="Cambria Math"/>
              </w:rPr>
              <m:t>0</m:t>
            </m:r>
          </m:sub>
          <m:sup>
            <m:r>
              <w:rPr>
                <w:rFonts w:ascii="Cambria Math" w:hAnsi="Cambria Math" w:cs="Cambria Math" w:hint="cs"/>
                <w:cs/>
                <w:lang w:bidi="en-US"/>
              </w:rPr>
              <m:t>π</m:t>
            </m:r>
            <m:r>
              <w:rPr>
                <w:rFonts w:ascii="Cambria Math" w:hAnsi="Cambria Math" w:cs="Cambria Math"/>
                <w:lang w:bidi="en-US"/>
              </w:rPr>
              <m:t>/2</m:t>
            </m:r>
          </m:sup>
          <m:e>
            <m:f>
              <m:fPr>
                <m:ctrlPr>
                  <w:rPr>
                    <w:rFonts w:ascii="Cambria Math" w:hAnsi="Cambria Math"/>
                    <w:i/>
                  </w:rPr>
                </m:ctrlPr>
              </m:fPr>
              <m:num>
                <m:rad>
                  <m:radPr>
                    <m:degHide m:val="1"/>
                    <m:ctrlPr>
                      <w:rPr>
                        <w:rFonts w:ascii="Cambria Math" w:hAnsi="Cambria Math"/>
                        <w:i/>
                      </w:rPr>
                    </m:ctrlPr>
                  </m:radPr>
                  <m:deg/>
                  <m:e>
                    <m:sPre>
                      <m:sPrePr>
                        <m:ctrlPr>
                          <w:rPr>
                            <w:rFonts w:ascii="Cambria Math" w:hAnsi="Cambria Math"/>
                            <w:i/>
                          </w:rPr>
                        </m:ctrlPr>
                      </m:sPrePr>
                      <m:sub>
                        <m:r>
                          <w:rPr>
                            <w:rFonts w:ascii="Cambria Math" w:hAnsi="Cambria Math"/>
                          </w:rPr>
                          <m:t>1</m:t>
                        </m:r>
                      </m:sub>
                      <m:sup>
                        <m:r>
                          <w:rPr>
                            <w:rFonts w:ascii="Cambria Math" w:hAnsi="Cambria Math"/>
                          </w:rPr>
                          <m:t>n</m:t>
                        </m:r>
                      </m:sup>
                      <m:e>
                        <m:r>
                          <w:rPr>
                            <w:rFonts w:ascii="Cambria Math" w:hAnsi="Cambria Math"/>
                          </w:rPr>
                          <m:t>Y</m:t>
                        </m:r>
                      </m:e>
                    </m:sPre>
                  </m:e>
                </m:ra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r>
                      <w:rPr>
                        <w:rFonts w:ascii="Cambria Math" w:hAnsi="Cambria Math"/>
                      </w:rPr>
                      <m:t>x</m:t>
                    </m:r>
                  </m:e>
                </m:func>
                <m:r>
                  <w:rPr>
                    <w:rFonts w:ascii="Cambria Math" w:hAnsi="Cambria Math"/>
                  </w:rPr>
                  <m:t>dx</m:t>
                </m:r>
                <m:ctrlPr>
                  <w:rPr>
                    <w:rFonts w:ascii="Cambria Math" w:hAnsi="Cambria Math" w:cs="Cambria Math" w:hint="cs"/>
                    <w:i/>
                    <w:cs/>
                    <w:lang w:bidi="en-US"/>
                  </w:rPr>
                </m:ctrlPr>
              </m:num>
              <m:den>
                <m:rad>
                  <m:radPr>
                    <m:degHide m:val="1"/>
                    <m:ctrlPr>
                      <w:rPr>
                        <w:rFonts w:ascii="Cambria Math" w:hAnsi="Cambria Math" w:cs="Cambria Math"/>
                        <w:i/>
                        <w:lang w:bidi="en-US"/>
                      </w:rPr>
                    </m:ctrlPr>
                  </m:radPr>
                  <m:deg/>
                  <m:e>
                    <m:sSup>
                      <m:sSupPr>
                        <m:ctrlPr>
                          <w:rPr>
                            <w:rFonts w:ascii="Cambria Math" w:hAnsi="Cambria Math" w:cs="Cambria Math"/>
                            <w:i/>
                            <w:lang w:bidi="en-US"/>
                          </w:rPr>
                        </m:ctrlPr>
                      </m:sSupPr>
                      <m:e>
                        <m:r>
                          <w:rPr>
                            <w:rFonts w:ascii="Cambria Math" w:hAnsi="Cambria Math" w:cs="Cambria Math"/>
                            <w:lang w:bidi="en-US"/>
                          </w:rPr>
                          <m:t>e</m:t>
                        </m:r>
                      </m:e>
                      <m:sup>
                        <m:r>
                          <w:rPr>
                            <w:rFonts w:ascii="Cambria Math" w:hAnsi="Cambria Math" w:cs="Cambria Math"/>
                            <w:lang w:bidi="en-US"/>
                          </w:rPr>
                          <m:t>-iωt</m:t>
                        </m:r>
                      </m:sup>
                    </m:sSup>
                  </m:e>
                </m:rad>
              </m:den>
            </m:f>
            <m:ctrlPr>
              <w:rPr>
                <w:rFonts w:ascii="Cambria Math" w:hAnsi="Cambria Math"/>
                <w:i/>
                <w:lang w:bidi="en-US"/>
              </w:rPr>
            </m:ctrlPr>
          </m:e>
        </m:nary>
      </m:oMath>
    </w:p>
    <w:p w14:paraId="28751BB7" w14:textId="16E6A29D" w:rsidR="0077752F" w:rsidRDefault="0077752F">
      <w:pPr>
        <w:rPr>
          <w:rFonts w:ascii="Times New Roman" w:hAnsi="Times New Roman" w:cs="Times New Roman"/>
          <w:sz w:val="24"/>
          <w:szCs w:val="24"/>
        </w:rPr>
      </w:pPr>
    </w:p>
    <w:p w14:paraId="0055DA98" w14:textId="77777777" w:rsidR="006F2B5C" w:rsidRDefault="006F2B5C">
      <w:pPr>
        <w:rPr>
          <w:rFonts w:ascii="Times New Roman" w:hAnsi="Times New Roman" w:cs="Times New Roman"/>
          <w:sz w:val="24"/>
          <w:szCs w:val="24"/>
        </w:rPr>
      </w:pPr>
    </w:p>
    <w:p w14:paraId="04929096" w14:textId="612B947D" w:rsidR="006F2B5C" w:rsidRDefault="006F2B5C">
      <w:pPr>
        <w:rPr>
          <w:rFonts w:ascii="Times New Roman" w:hAnsi="Times New Roman" w:cs="Times New Roman"/>
          <w:sz w:val="24"/>
          <w:szCs w:val="24"/>
        </w:rPr>
      </w:pPr>
      <w:r w:rsidRPr="006F2B5C">
        <w:rPr>
          <w:rFonts w:ascii="Times New Roman" w:hAnsi="Times New Roman" w:cs="Times New Roman"/>
          <w:sz w:val="24"/>
          <w:szCs w:val="24"/>
        </w:rPr>
        <w:t xml:space="preserve">Ans to the Que no </w:t>
      </w:r>
      <w:proofErr w:type="gramStart"/>
      <w:r w:rsidRPr="006F2B5C">
        <w:rPr>
          <w:rFonts w:ascii="Times New Roman" w:hAnsi="Times New Roman" w:cs="Times New Roman"/>
          <w:sz w:val="24"/>
          <w:szCs w:val="24"/>
        </w:rPr>
        <w:t>1  (</w:t>
      </w:r>
      <w:proofErr w:type="gramEnd"/>
      <w:r>
        <w:rPr>
          <w:rFonts w:ascii="Times New Roman" w:hAnsi="Times New Roman" w:cs="Times New Roman"/>
          <w:sz w:val="24"/>
          <w:szCs w:val="24"/>
        </w:rPr>
        <w:t>B</w:t>
      </w:r>
      <w:r w:rsidRPr="006F2B5C">
        <w:rPr>
          <w:rFonts w:ascii="Times New Roman" w:hAnsi="Times New Roman" w:cs="Times New Roman"/>
          <w:sz w:val="24"/>
          <w:szCs w:val="24"/>
        </w:rPr>
        <w:t>)</w:t>
      </w:r>
    </w:p>
    <w:p w14:paraId="792618A3" w14:textId="77777777" w:rsidR="00763637" w:rsidRDefault="00763637">
      <w:pPr>
        <w:rPr>
          <w:rFonts w:ascii="Times New Roman" w:hAnsi="Times New Roman" w:cs="Times New Roman"/>
          <w:sz w:val="24"/>
          <w:szCs w:val="24"/>
        </w:rPr>
      </w:pPr>
    </w:p>
    <w:p w14:paraId="2DFFBA8C" w14:textId="77777777" w:rsidR="00763637" w:rsidRDefault="00763637">
      <w:pPr>
        <w:rPr>
          <w:rFonts w:ascii="Times New Roman" w:hAnsi="Times New Roman" w:cs="Times New Roman"/>
          <w:sz w:val="24"/>
          <w:szCs w:val="24"/>
        </w:rPr>
      </w:pPr>
    </w:p>
    <w:p w14:paraId="2BF65359" w14:textId="77777777" w:rsidR="00763637" w:rsidRDefault="00763637">
      <w:pPr>
        <w:rPr>
          <w:rFonts w:ascii="Times New Roman" w:hAnsi="Times New Roman" w:cs="Times New Roman"/>
          <w:sz w:val="24"/>
          <w:szCs w:val="24"/>
        </w:rPr>
      </w:pPr>
    </w:p>
    <w:p w14:paraId="0BCC3F89" w14:textId="7980E602" w:rsidR="006F2B5C" w:rsidRPr="000713CD" w:rsidRDefault="006F2B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D79FA9" wp14:editId="77E9FF8D">
            <wp:extent cx="5486400" cy="3200400"/>
            <wp:effectExtent l="0" t="0" r="0" b="0"/>
            <wp:docPr id="18918733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6F2B5C" w:rsidRPr="000713CD" w:rsidSect="009B50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CD"/>
    <w:rsid w:val="000713CD"/>
    <w:rsid w:val="001E5DD8"/>
    <w:rsid w:val="00216320"/>
    <w:rsid w:val="00382EA2"/>
    <w:rsid w:val="006D6C6F"/>
    <w:rsid w:val="006F2B5C"/>
    <w:rsid w:val="00763637"/>
    <w:rsid w:val="0077752F"/>
    <w:rsid w:val="007B6C50"/>
    <w:rsid w:val="009B502D"/>
    <w:rsid w:val="009B6705"/>
    <w:rsid w:val="00D963A2"/>
    <w:rsid w:val="00E34CB7"/>
    <w:rsid w:val="00E4616B"/>
    <w:rsid w:val="00E5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855"/>
  <w15:chartTrackingRefBased/>
  <w15:docId w15:val="{7747AFDA-A0F8-4521-85F3-10E19DB1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3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84499854184894"/>
          <c:y val="4.3650793650793648E-2"/>
          <c:w val="0.83285870516185478"/>
          <c:h val="0.26950506186726658"/>
        </c:manualLayout>
      </c:layout>
      <c:barChart>
        <c:barDir val="bar"/>
        <c:grouping val="stacked"/>
        <c:varyColors val="0"/>
        <c:ser>
          <c:idx val="0"/>
          <c:order val="0"/>
          <c:tx>
            <c:strRef>
              <c:f>Sheet1!$C$1</c:f>
              <c:strCache>
                <c:ptCount val="1"/>
                <c:pt idx="0">
                  <c:v>Reborn Kid</c:v>
                </c:pt>
              </c:strCache>
            </c:strRef>
          </c:tx>
          <c:spPr>
            <a:solidFill>
              <a:schemeClr val="accent1"/>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Sheet1!$C$2:$C$8</c:f>
              <c:numCache>
                <c:formatCode>0%</c:formatCode>
                <c:ptCount val="7"/>
                <c:pt idx="0">
                  <c:v>0</c:v>
                </c:pt>
                <c:pt idx="1">
                  <c:v>0</c:v>
                </c:pt>
                <c:pt idx="2" formatCode="General">
                  <c:v>17</c:v>
                </c:pt>
                <c:pt idx="3" formatCode="General">
                  <c:v>23</c:v>
                </c:pt>
                <c:pt idx="4" formatCode="General">
                  <c:v>31</c:v>
                </c:pt>
                <c:pt idx="5" formatCode="General">
                  <c:v>18</c:v>
                </c:pt>
                <c:pt idx="6" formatCode="General">
                  <c:v>11</c:v>
                </c:pt>
              </c:numCache>
            </c:numRef>
          </c:val>
          <c:extLst>
            <c:ext xmlns:c16="http://schemas.microsoft.com/office/drawing/2014/chart" uri="{C3380CC4-5D6E-409C-BE32-E72D297353CC}">
              <c16:uniqueId val="{00000000-A91E-44DE-997E-ADD2959D858F}"/>
            </c:ext>
          </c:extLst>
        </c:ser>
        <c:ser>
          <c:idx val="1"/>
          <c:order val="1"/>
          <c:tx>
            <c:strRef>
              <c:f>Sheet1!$D$1</c:f>
              <c:strCache>
                <c:ptCount val="1"/>
                <c:pt idx="0">
                  <c:v>Bucket Slope</c:v>
                </c:pt>
              </c:strCache>
            </c:strRef>
          </c:tx>
          <c:spPr>
            <a:solidFill>
              <a:schemeClr val="accent2"/>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Sheet1!$D$2:$D$8</c:f>
              <c:numCache>
                <c:formatCode>General</c:formatCode>
                <c:ptCount val="7"/>
                <c:pt idx="0">
                  <c:v>6</c:v>
                </c:pt>
                <c:pt idx="1">
                  <c:v>6</c:v>
                </c:pt>
                <c:pt idx="2">
                  <c:v>5</c:v>
                </c:pt>
                <c:pt idx="3">
                  <c:v>6</c:v>
                </c:pt>
                <c:pt idx="4">
                  <c:v>7</c:v>
                </c:pt>
                <c:pt idx="5">
                  <c:v>7</c:v>
                </c:pt>
                <c:pt idx="6">
                  <c:v>5</c:v>
                </c:pt>
              </c:numCache>
            </c:numRef>
          </c:val>
          <c:extLst>
            <c:ext xmlns:c16="http://schemas.microsoft.com/office/drawing/2014/chart" uri="{C3380CC4-5D6E-409C-BE32-E72D297353CC}">
              <c16:uniqueId val="{00000001-A91E-44DE-997E-ADD2959D858F}"/>
            </c:ext>
          </c:extLst>
        </c:ser>
        <c:ser>
          <c:idx val="2"/>
          <c:order val="2"/>
          <c:tx>
            <c:strRef>
              <c:f>Sheet1!$E$1</c:f>
              <c:strCache>
                <c:ptCount val="1"/>
                <c:pt idx="0">
                  <c:v>Tank Picture</c:v>
                </c:pt>
              </c:strCache>
            </c:strRef>
          </c:tx>
          <c:spPr>
            <a:solidFill>
              <a:schemeClr val="accent3"/>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Sheet1!$E$2:$E$8</c:f>
              <c:numCache>
                <c:formatCode>General</c:formatCode>
                <c:ptCount val="7"/>
                <c:pt idx="0">
                  <c:v>8</c:v>
                </c:pt>
                <c:pt idx="1">
                  <c:v>14</c:v>
                </c:pt>
                <c:pt idx="2">
                  <c:v>10</c:v>
                </c:pt>
                <c:pt idx="3">
                  <c:v>7</c:v>
                </c:pt>
                <c:pt idx="4">
                  <c:v>19</c:v>
                </c:pt>
                <c:pt idx="5">
                  <c:v>8</c:v>
                </c:pt>
                <c:pt idx="6">
                  <c:v>23</c:v>
                </c:pt>
              </c:numCache>
            </c:numRef>
          </c:val>
          <c:extLst>
            <c:ext xmlns:c16="http://schemas.microsoft.com/office/drawing/2014/chart" uri="{C3380CC4-5D6E-409C-BE32-E72D297353CC}">
              <c16:uniqueId val="{00000002-A91E-44DE-997E-ADD2959D858F}"/>
            </c:ext>
          </c:extLst>
        </c:ser>
        <c:ser>
          <c:idx val="3"/>
          <c:order val="3"/>
          <c:tx>
            <c:strRef>
              <c:f>Sheet1!$F$1</c:f>
              <c:strCache>
                <c:ptCount val="1"/>
                <c:pt idx="0">
                  <c:v>Striking calf</c:v>
                </c:pt>
              </c:strCache>
            </c:strRef>
          </c:tx>
          <c:spPr>
            <a:solidFill>
              <a:schemeClr val="accent4"/>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Sheet1!$F$2:$F$8</c:f>
              <c:numCache>
                <c:formatCode>General</c:formatCode>
                <c:ptCount val="7"/>
                <c:pt idx="0">
                  <c:v>37</c:v>
                </c:pt>
                <c:pt idx="1">
                  <c:v>26</c:v>
                </c:pt>
                <c:pt idx="2">
                  <c:v>30</c:v>
                </c:pt>
                <c:pt idx="3">
                  <c:v>38</c:v>
                </c:pt>
                <c:pt idx="4">
                  <c:v>16</c:v>
                </c:pt>
                <c:pt idx="5">
                  <c:v>33</c:v>
                </c:pt>
                <c:pt idx="6">
                  <c:v>37</c:v>
                </c:pt>
              </c:numCache>
            </c:numRef>
          </c:val>
          <c:extLst>
            <c:ext xmlns:c16="http://schemas.microsoft.com/office/drawing/2014/chart" uri="{C3380CC4-5D6E-409C-BE32-E72D297353CC}">
              <c16:uniqueId val="{00000003-A91E-44DE-997E-ADD2959D858F}"/>
            </c:ext>
          </c:extLst>
        </c:ser>
        <c:ser>
          <c:idx val="4"/>
          <c:order val="4"/>
          <c:tx>
            <c:strRef>
              <c:f>Sheet1!$G$1</c:f>
              <c:strCache>
                <c:ptCount val="1"/>
                <c:pt idx="0">
                  <c:v>Marine Sptite</c:v>
                </c:pt>
              </c:strCache>
            </c:strRef>
          </c:tx>
          <c:spPr>
            <a:solidFill>
              <a:schemeClr val="accent5"/>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Sheet1!$G$2:$G$8</c:f>
              <c:numCache>
                <c:formatCode>General</c:formatCode>
                <c:ptCount val="7"/>
                <c:pt idx="0">
                  <c:v>31</c:v>
                </c:pt>
                <c:pt idx="1">
                  <c:v>45</c:v>
                </c:pt>
                <c:pt idx="2">
                  <c:v>38</c:v>
                </c:pt>
                <c:pt idx="3">
                  <c:v>27</c:v>
                </c:pt>
                <c:pt idx="4">
                  <c:v>27</c:v>
                </c:pt>
                <c:pt idx="5">
                  <c:v>33</c:v>
                </c:pt>
                <c:pt idx="6">
                  <c:v>24</c:v>
                </c:pt>
              </c:numCache>
            </c:numRef>
          </c:val>
          <c:extLst>
            <c:ext xmlns:c16="http://schemas.microsoft.com/office/drawing/2014/chart" uri="{C3380CC4-5D6E-409C-BE32-E72D297353CC}">
              <c16:uniqueId val="{00000004-A91E-44DE-997E-ADD2959D858F}"/>
            </c:ext>
          </c:extLst>
        </c:ser>
        <c:ser>
          <c:idx val="5"/>
          <c:order val="5"/>
          <c:tx>
            <c:strRef>
              <c:f>Sheet1!$H$1</c:f>
              <c:strCache>
                <c:ptCount val="1"/>
                <c:pt idx="0">
                  <c:v>Column1</c:v>
                </c:pt>
              </c:strCache>
            </c:strRef>
          </c:tx>
          <c:spPr>
            <a:solidFill>
              <a:schemeClr val="accent6"/>
            </a:solidFill>
            <a:ln>
              <a:noFill/>
            </a:ln>
            <a:effectLst/>
          </c:spPr>
          <c:invertIfNegative val="0"/>
          <c:cat>
            <c:numRef>
              <c:f>Sheet1!$B$2:$B$8</c:f>
              <c:numCache>
                <c:formatCode>0%</c:formatCode>
                <c:ptCount val="7"/>
                <c:pt idx="0">
                  <c:v>0</c:v>
                </c:pt>
                <c:pt idx="1">
                  <c:v>0.2</c:v>
                </c:pt>
                <c:pt idx="2">
                  <c:v>0.4</c:v>
                </c:pt>
                <c:pt idx="3">
                  <c:v>0.6</c:v>
                </c:pt>
                <c:pt idx="4">
                  <c:v>0.8</c:v>
                </c:pt>
                <c:pt idx="5">
                  <c:v>1</c:v>
                </c:pt>
                <c:pt idx="6">
                  <c:v>1.2</c:v>
                </c:pt>
              </c:numCache>
            </c:numRef>
          </c:cat>
          <c:val>
            <c:numRef>
              <c:f>Sheet1!$H$2:$H$8</c:f>
              <c:numCache>
                <c:formatCode>General</c:formatCode>
                <c:ptCount val="7"/>
              </c:numCache>
            </c:numRef>
          </c:val>
          <c:extLst>
            <c:ext xmlns:c16="http://schemas.microsoft.com/office/drawing/2014/chart" uri="{C3380CC4-5D6E-409C-BE32-E72D297353CC}">
              <c16:uniqueId val="{00000005-A91E-44DE-997E-ADD2959D858F}"/>
            </c:ext>
          </c:extLst>
        </c:ser>
        <c:dLbls>
          <c:showLegendKey val="0"/>
          <c:showVal val="0"/>
          <c:showCatName val="0"/>
          <c:showSerName val="0"/>
          <c:showPercent val="0"/>
          <c:showBubbleSize val="0"/>
        </c:dLbls>
        <c:gapWidth val="150"/>
        <c:overlap val="100"/>
        <c:axId val="1161983088"/>
        <c:axId val="1161978288"/>
      </c:barChart>
      <c:catAx>
        <c:axId val="1161983088"/>
        <c:scaling>
          <c:orientation val="minMax"/>
        </c:scaling>
        <c:delete val="1"/>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1161978288"/>
        <c:crosses val="autoZero"/>
        <c:auto val="1"/>
        <c:lblAlgn val="ctr"/>
        <c:lblOffset val="100"/>
        <c:noMultiLvlLbl val="0"/>
      </c:catAx>
      <c:valAx>
        <c:axId val="1161978288"/>
        <c:scaling>
          <c:orientation val="minMax"/>
        </c:scaling>
        <c:delete val="1"/>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1161983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2025-01-30T12:50:00Z</dcterms:created>
  <dcterms:modified xsi:type="dcterms:W3CDTF">2025-01-30T12:50:00Z</dcterms:modified>
</cp:coreProperties>
</file>