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1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f735212733a9da211a5404493fa2de8ef5caa851797047dbec508cdb26cecf4d</w:t>
      </w:r>
    </w:p>
    <w:bookmarkStart w:id="9" w:name="bandeau-relecture"/>
    <w:p>
      <w:pPr>
        <w:pStyle w:val="BodyText"/>
      </w:pPr>
      <w:r>
        <w:rPr>
          <w:b/>
          <w:bCs/>
        </w:rPr>
        <w:t xml:space="preserve">Version de travail, à relire avant remise.</w:t>
      </w:r>
      <w:r>
        <w:t xml:space="preserve"> </w:t>
      </w:r>
      <w:r>
        <w:t xml:space="preserve">85 textes types en attente de relecture, 14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90" w:name="n3-equipe"/>
    <w:bookmarkStart w:id="68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n’est pas mesuré ici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Étape suivante proposée, non réalisée dans ce rapport : relever le réseau réel par quatre questions posées à chaque membre (à qui il demande conseil, d’où lui vient l’information utile, à qui il se fie pour signaler une erreur, de qui il dépend pour avancer), avec un consentement spécifique, puisque chaque réponse porte sur des collègues, et un cadrage au titre de la loi 09-08. La comparaison entre la structure prévue et le réseau réel est la seule lecture directe de la structure invisible de l’équipe.</w:t>
      </w:r>
    </w:p>
    <w:bookmarkEnd w:id="668"/>
    <w:bookmarkEnd w:id="669"/>
    <w:bookmarkStart w:id="673" w:name="n3-securite-psychologique"/>
    <w:p>
      <w:pPr>
        <w:pStyle w:val="Heading3"/>
      </w:pPr>
      <w:r>
        <w:t xml:space="preserve">Sécurité psychologique à instruire</w:t>
      </w:r>
    </w:p>
    <w:bookmarkStart w:id="67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70"/>
    <w:bookmarkStart w:id="67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71"/>
    <w:bookmarkStart w:id="67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72"/>
    <w:bookmarkEnd w:id="673"/>
    <w:bookmarkStart w:id="682" w:name="n3-coordination"/>
    <w:p>
      <w:pPr>
        <w:pStyle w:val="Heading3"/>
      </w:pPr>
      <w:r>
        <w:t xml:space="preserve">Risques de coordination</w:t>
      </w:r>
    </w:p>
    <w:bookmarkStart w:id="674" w:name="n3-coordination-1"/>
    <w:p>
      <w:pPr>
        <w:pStyle w:val="FirstParagraph"/>
      </w:pPr>
      <w:r>
        <w:t xml:space="preserve">Constaté</w:t>
      </w:r>
    </w:p>
    <w:p>
      <w:pPr>
        <w:pStyle w:val="BodyText"/>
      </w:pPr>
      <w:r>
        <w:t xml:space="preserve">Risque inscrit au cas : délai d’autorisation de la CNDP non maîtrisé par l’équipe.</w:t>
      </w:r>
    </w:p>
    <w:bookmarkEnd w:id="674"/>
    <w:bookmarkStart w:id="67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75"/>
    <w:bookmarkStart w:id="67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76"/>
    <w:bookmarkStart w:id="67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77"/>
    <w:bookmarkStart w:id="678" w:name="n3-coordination-5"/>
    <w:p>
      <w:pPr>
        <w:pStyle w:val="FirstParagraph"/>
      </w:pPr>
      <w:r>
        <w:t xml:space="preserve">Constaté</w:t>
      </w:r>
    </w:p>
    <w:p>
      <w:pPr>
        <w:pStyle w:val="BodyText"/>
      </w:pPr>
      <w:r>
        <w:t xml:space="preserve">Risque inscrit au cas : méfiance des équipes héritée de l’ancien outil d’évaluation.</w:t>
      </w:r>
    </w:p>
    <w:bookmarkEnd w:id="678"/>
    <w:bookmarkStart w:id="67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79"/>
    <w:bookmarkStart w:id="68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80"/>
    <w:bookmarkStart w:id="68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81"/>
    <w:bookmarkEnd w:id="682"/>
    <w:bookmarkStart w:id="688" w:name="recommandations-2"/>
    <w:p>
      <w:pPr>
        <w:pStyle w:val="Heading3"/>
      </w:pPr>
      <w:r>
        <w:t xml:space="preserve">Recommandations</w:t>
      </w:r>
    </w:p>
    <w:bookmarkStart w:id="68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83"/>
    <w:bookmarkStart w:id="68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84"/>
    <w:bookmarkStart w:id="68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85"/>
    <w:bookmarkStart w:id="68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86"/>
    <w:bookmarkStart w:id="68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87"/>
    <w:bookmarkEnd w:id="688"/>
    <w:bookmarkEnd w:id="689"/>
    <w:bookmarkEnd w:id="690"/>
    <w:bookmarkStart w:id="751" w:name="n4-organisation"/>
    <w:bookmarkStart w:id="750" w:name="lecture-organisationnelle"/>
    <w:p>
      <w:pPr>
        <w:pStyle w:val="Heading2"/>
      </w:pPr>
      <w:r>
        <w:t xml:space="preserve">Lecture organisationnelle</w:t>
      </w:r>
    </w:p>
    <w:bookmarkStart w:id="695" w:name="n4-seuil"/>
    <w:p>
      <w:pPr>
        <w:pStyle w:val="Heading3"/>
      </w:pPr>
      <w:r>
        <w:t xml:space="preserve">Seuil d’anonymat et dérogation de démonstration</w:t>
      </w:r>
    </w:p>
    <w:bookmarkStart w:id="69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91"/>
    <w:bookmarkStart w:id="69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92"/>
    <w:bookmarkStart w:id="693" w:name="n4-seuil-3"/>
    <w:p>
      <w:pPr>
        <w:pStyle w:val="BodyText"/>
      </w:pPr>
      <w:r>
        <w:t xml:space="preserve">Constaté</w:t>
      </w:r>
    </w:p>
    <w:p>
      <w:pPr>
        <w:pStyle w:val="BodyText"/>
      </w:pPr>
      <w:r>
        <w:t xml:space="preserve">Précision : le cas est fictif, à l’exception du profil estimé de AM, consenti (estimation, pas une mesure).</w:t>
      </w:r>
    </w:p>
    <w:bookmarkEnd w:id="693"/>
    <w:bookmarkStart w:id="69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94"/>
    <w:bookmarkEnd w:id="695"/>
    <w:bookmarkStart w:id="703" w:name="n4-profils"/>
    <w:p>
      <w:pPr>
        <w:pStyle w:val="Heading3"/>
      </w:pPr>
      <w:r>
        <w:t xml:space="preserve">Position d’ensemble de l’équipe</w:t>
      </w:r>
    </w:p>
    <w:bookmarkStart w:id="69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96"/>
    <w:bookmarkStart w:id="69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97"/>
    <w:bookmarkStart w:id="69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98"/>
    <w:bookmarkStart w:id="69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99"/>
    <w:bookmarkStart w:id="70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00"/>
    <w:bookmarkStart w:id="701"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01"/>
    <w:bookmarkStart w:id="70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02"/>
    <w:bookmarkEnd w:id="703"/>
    <w:bookmarkStart w:id="710" w:name="n4-adequation"/>
    <w:p>
      <w:pPr>
        <w:pStyle w:val="Heading3"/>
      </w:pPr>
      <w:r>
        <w:t xml:space="preserve">Adéquation avec la structure, la culture et l’orientation</w:t>
      </w:r>
    </w:p>
    <w:bookmarkStart w:id="70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04"/>
    <w:bookmarkStart w:id="70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5"/>
    <w:bookmarkStart w:id="70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6"/>
    <w:bookmarkStart w:id="70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7"/>
    <w:bookmarkStart w:id="70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08"/>
    <w:bookmarkStart w:id="70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09"/>
    <w:bookmarkEnd w:id="710"/>
    <w:bookmarkStart w:id="725" w:name="n4-contraintes"/>
    <w:p>
      <w:pPr>
        <w:pStyle w:val="Heading3"/>
      </w:pPr>
      <w:r>
        <w:t xml:space="preserve">Contraintes et cadre juridique</w:t>
      </w:r>
    </w:p>
    <w:bookmarkStart w:id="71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11"/>
    <w:bookmarkStart w:id="71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12"/>
    <w:bookmarkStart w:id="71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13"/>
    <w:bookmarkStart w:id="71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14"/>
    <w:bookmarkStart w:id="71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15"/>
    <w:bookmarkStart w:id="716" w:name="n4-contraintes-6"/>
    <w:p>
      <w:pPr>
        <w:pStyle w:val="BodyText"/>
      </w:pPr>
      <w:r>
        <w:t xml:space="preserve">Constaté</w:t>
      </w:r>
    </w:p>
    <w:p>
      <w:pPr>
        <w:pStyle w:val="BodyText"/>
      </w:pPr>
      <w:r>
        <w:t xml:space="preserve">CT-05, dureté dure : Calendrier de lancement fixé par le siège : 9 mois.</w:t>
      </w:r>
    </w:p>
    <w:bookmarkEnd w:id="716"/>
    <w:bookmarkStart w:id="717" w:name="n4-contraintes-7"/>
    <w:p>
      <w:pPr>
        <w:pStyle w:val="BodyText"/>
      </w:pPr>
      <w:r>
        <w:t xml:space="preserve">Constaté</w:t>
      </w:r>
    </w:p>
    <w:p>
      <w:pPr>
        <w:pStyle w:val="BodyText"/>
      </w:pPr>
      <w:r>
        <w:t xml:space="preserve">CT-06, dureté négociable : Enveloppe d’accompagnement plafonnée sur 12 mois.</w:t>
      </w:r>
    </w:p>
    <w:bookmarkEnd w:id="717"/>
    <w:bookmarkStart w:id="718" w:name="n4-contraintes-8"/>
    <w:p>
      <w:pPr>
        <w:pStyle w:val="BodyText"/>
      </w:pPr>
      <w:r>
        <w:t xml:space="preserve">Constaté</w:t>
      </w:r>
    </w:p>
    <w:p>
      <w:pPr>
        <w:pStyle w:val="BodyText"/>
      </w:pPr>
      <w:r>
        <w:t xml:space="preserve">CT-07, dureté négociable : Équipe projet mobilisée aux sept dixièmes de son temps seulement.</w:t>
      </w:r>
    </w:p>
    <w:bookmarkEnd w:id="718"/>
    <w:bookmarkStart w:id="71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19"/>
    <w:bookmarkStart w:id="72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20"/>
    <w:bookmarkStart w:id="72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21"/>
    <w:bookmarkStart w:id="72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22"/>
    <w:bookmarkStart w:id="72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23"/>
    <w:bookmarkStart w:id="72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24"/>
    <w:bookmarkEnd w:id="725"/>
    <w:bookmarkStart w:id="738" w:name="n4-interculturel"/>
    <w:p>
      <w:pPr>
        <w:pStyle w:val="Heading3"/>
      </w:pPr>
      <w:r>
        <w:t xml:space="preserve">Volet interculturel : organisation et sites</w:t>
      </w:r>
    </w:p>
    <w:bookmarkStart w:id="72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26"/>
    <w:bookmarkStart w:id="72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27"/>
    <w:bookmarkStart w:id="72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28"/>
    <w:bookmarkStart w:id="72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29"/>
    <w:bookmarkStart w:id="73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30"/>
    <w:bookmarkStart w:id="73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31"/>
    <w:bookmarkStart w:id="73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32"/>
    <w:bookmarkStart w:id="73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33"/>
    <w:bookmarkStart w:id="73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34"/>
    <w:bookmarkStart w:id="73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35"/>
    <w:bookmarkStart w:id="73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36"/>
    <w:bookmarkStart w:id="73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37"/>
    <w:bookmarkEnd w:id="738"/>
    <w:bookmarkStart w:id="743" w:name="n4-implications"/>
    <w:p>
      <w:pPr>
        <w:pStyle w:val="Heading3"/>
      </w:pPr>
      <w:r>
        <w:t xml:space="preserve">Implications pour la structure, les rôles, les rituels et le pilotage</w:t>
      </w:r>
    </w:p>
    <w:bookmarkStart w:id="73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39"/>
    <w:bookmarkStart w:id="74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40"/>
    <w:bookmarkStart w:id="74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41"/>
    <w:bookmarkStart w:id="74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42"/>
    <w:bookmarkEnd w:id="743"/>
    <w:bookmarkStart w:id="749" w:name="recommandations-3"/>
    <w:p>
      <w:pPr>
        <w:pStyle w:val="Heading3"/>
      </w:pPr>
      <w:r>
        <w:t xml:space="preserve">Recommandations</w:t>
      </w:r>
    </w:p>
    <w:bookmarkStart w:id="74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44"/>
    <w:bookmarkStart w:id="74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45"/>
    <w:bookmarkStart w:id="74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46"/>
    <w:bookmarkStart w:id="74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47"/>
    <w:bookmarkStart w:id="74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48"/>
    <w:bookmarkEnd w:id="749"/>
    <w:bookmarkEnd w:id="750"/>
    <w:bookmarkEnd w:id="751"/>
    <w:bookmarkStart w:id="811" w:name="n5-accompagnement"/>
    <w:bookmarkStart w:id="810" w:name="plan-daccompagnement-intégré"/>
    <w:p>
      <w:pPr>
        <w:pStyle w:val="Heading2"/>
      </w:pPr>
      <w:r>
        <w:t xml:space="preserve">Plan d’accompagnement intégré</w:t>
      </w:r>
    </w:p>
    <w:bookmarkStart w:id="758" w:name="depart"/>
    <w:p>
      <w:pPr>
        <w:pStyle w:val="Heading3"/>
      </w:pPr>
      <w:r>
        <w:t xml:space="preserve">Point de départ : les faits qui fondent le plan</w:t>
      </w:r>
    </w:p>
    <w:bookmarkStart w:id="75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52"/>
    <w:bookmarkStart w:id="75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53"/>
    <w:bookmarkStart w:id="75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54"/>
    <w:bookmarkStart w:id="75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55"/>
    <w:bookmarkStart w:id="75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56"/>
    <w:bookmarkStart w:id="75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57"/>
    <w:bookmarkEnd w:id="758"/>
    <w:bookmarkStart w:id="762" w:name="coaching"/>
    <w:p>
      <w:pPr>
        <w:pStyle w:val="Heading3"/>
      </w:pPr>
      <w:r>
        <w:t xml:space="preserve">Coaching individuel et d’équipe</w:t>
      </w:r>
    </w:p>
    <w:bookmarkStart w:id="75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59"/>
    <w:bookmarkStart w:id="76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60"/>
    <w:bookmarkStart w:id="76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61"/>
    <w:bookmarkEnd w:id="762"/>
    <w:bookmarkStart w:id="765" w:name="mentorat"/>
    <w:p>
      <w:pPr>
        <w:pStyle w:val="Heading3"/>
      </w:pPr>
      <w:r>
        <w:t xml:space="preserve">Mentorat</w:t>
      </w:r>
    </w:p>
    <w:bookmarkStart w:id="76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63"/>
    <w:bookmarkStart w:id="76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64"/>
    <w:bookmarkEnd w:id="765"/>
    <w:bookmarkStart w:id="769" w:name="formation"/>
    <w:p>
      <w:pPr>
        <w:pStyle w:val="Heading3"/>
      </w:pPr>
      <w:r>
        <w:t xml:space="preserve">Formation aux savoir-faire comportementaux</w:t>
      </w:r>
    </w:p>
    <w:bookmarkStart w:id="76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66"/>
    <w:bookmarkStart w:id="76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67"/>
    <w:bookmarkStart w:id="76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68"/>
    <w:bookmarkEnd w:id="769"/>
    <w:bookmarkStart w:id="774" w:name="organisation"/>
    <w:p>
      <w:pPr>
        <w:pStyle w:val="Heading3"/>
      </w:pPr>
      <w:r>
        <w:t xml:space="preserve">Dispositifs d’organisation : rôles, règles de décision, rituels, responsabilités</w:t>
      </w:r>
    </w:p>
    <w:bookmarkStart w:id="77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70"/>
    <w:bookmarkStart w:id="77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71"/>
    <w:bookmarkStart w:id="77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72"/>
    <w:bookmarkStart w:id="77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73"/>
    <w:bookmarkEnd w:id="774"/>
    <w:bookmarkStart w:id="781" w:name="calendrier"/>
    <w:p>
      <w:pPr>
        <w:pStyle w:val="Heading3"/>
      </w:pPr>
      <w:r>
        <w:t xml:space="preserve">Calendrier en jalons à 30, 60 et 90 jours</w:t>
      </w:r>
    </w:p>
    <w:bookmarkStart w:id="77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75"/>
    <w:bookmarkStart w:id="77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76"/>
    <w:bookmarkStart w:id="77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77"/>
    <w:bookmarkStart w:id="77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78"/>
    <w:bookmarkStart w:id="77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79"/>
    <w:bookmarkStart w:id="78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80"/>
    <w:bookmarkEnd w:id="781"/>
    <w:bookmarkStart w:id="786" w:name="mesure"/>
    <w:p>
      <w:pPr>
        <w:pStyle w:val="Heading3"/>
      </w:pPr>
      <w:r>
        <w:t xml:space="preserve">Indicateurs et mesure d’impact</w:t>
      </w:r>
    </w:p>
    <w:bookmarkStart w:id="78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82"/>
    <w:bookmarkStart w:id="78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83"/>
    <w:bookmarkStart w:id="78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84"/>
    <w:bookmarkStart w:id="78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85"/>
    <w:bookmarkEnd w:id="786"/>
    <w:bookmarkStart w:id="793" w:name="garde-fous"/>
    <w:p>
      <w:pPr>
        <w:pStyle w:val="Heading3"/>
      </w:pPr>
      <w:r>
        <w:t xml:space="preserve">Conditions et garde-fous</w:t>
      </w:r>
    </w:p>
    <w:bookmarkStart w:id="78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87"/>
    <w:bookmarkStart w:id="78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88"/>
    <w:bookmarkStart w:id="78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89"/>
    <w:bookmarkStart w:id="79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90"/>
    <w:bookmarkStart w:id="79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91"/>
    <w:bookmarkStart w:id="79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92"/>
    <w:bookmarkEnd w:id="793"/>
    <w:bookmarkStart w:id="809" w:name="recommandations-4"/>
    <w:p>
      <w:pPr>
        <w:pStyle w:val="Heading3"/>
      </w:pPr>
      <w:r>
        <w:t xml:space="preserve">Recommandations</w:t>
      </w:r>
    </w:p>
    <w:bookmarkStart w:id="79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94"/>
    <w:bookmarkStart w:id="79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95"/>
    <w:bookmarkStart w:id="79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96"/>
    <w:bookmarkStart w:id="79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97"/>
    <w:bookmarkStart w:id="79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98"/>
    <w:bookmarkStart w:id="79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99"/>
    <w:bookmarkStart w:id="80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00"/>
    <w:bookmarkStart w:id="80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01"/>
    <w:bookmarkStart w:id="80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02"/>
    <w:bookmarkStart w:id="80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03"/>
    <w:bookmarkStart w:id="80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04"/>
    <w:bookmarkStart w:id="80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05"/>
    <w:bookmarkStart w:id="80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06"/>
    <w:bookmarkStart w:id="80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07"/>
    <w:bookmarkStart w:id="80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08"/>
    <w:bookmarkEnd w:id="809"/>
    <w:bookmarkEnd w:id="810"/>
    <w:bookmarkEnd w:id="811"/>
    <w:bookmarkStart w:id="813" w:name="references"/>
    <w:bookmarkStart w:id="81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12"/>
    <w:bookmarkEnd w:id="813"/>
    <w:p>
      <w:pPr>
        <w:pStyle w:val="BodyText"/>
      </w:pPr>
      <w:r>
        <w:t xml:space="preserve">Rapport produit par script à partir des faits du moteur ; aucun nombre n'est calculé par un modèle.</w:t>
      </w:r>
    </w:p>
    <w:bookmarkEnd w:id="8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2026-10-23T15:53:53Z</dcterms:created>
  <dcterms:modified xsi:type="dcterms:W3CDTF">2026-10-23T15:53:53Z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