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35"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588806a651c7382b4e58b0f536b856cda8e86c41268b6a1eacffe4a8a7795ff1</w:t>
      </w:r>
    </w:p>
    <w:bookmarkStart w:id="9" w:name="bandeau-relecture"/>
    <w:p>
      <w:pPr>
        <w:pStyle w:val="BodyText"/>
      </w:pPr>
      <w:r>
        <w:rPr>
          <w:b/>
          <w:bCs/>
        </w:rPr>
        <w:t xml:space="preserve">Version de travail, à relire avant remise.</w:t>
      </w:r>
      <w:r>
        <w:t xml:space="preserve"> </w:t>
      </w:r>
      <w:r>
        <w:t xml:space="preserve">85 textes types en attente de relecture, 15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bookmarkStart w:id="341" w:name="n2-am-kb-synergies-1"/>
    <w:p>
      <w:pPr>
        <w:pStyle w:val="FirstParagraph"/>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bookmarkStart w:id="348" w:name="n2-am-kb-frictions-1"/>
    <w:p>
      <w:pPr>
        <w:pStyle w:val="FirstParagraph"/>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bookmarkStart w:id="356" w:name="n2-am-kb-regles-1"/>
    <w:p>
      <w:pPr>
        <w:pStyle w:val="FirstParagraph"/>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bookmarkStart w:id="363" w:name="n2-am-kb-scenarios-1"/>
    <w:p>
      <w:pPr>
        <w:pStyle w:val="FirstParagraph"/>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bookmarkStart w:id="368" w:name="n2-am-kb-reco-1"/>
    <w:p>
      <w:pPr>
        <w:pStyle w:val="FirstParagraph"/>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bookmarkStart w:id="383" w:name="n2-am-sr-synergies-1"/>
    <w:p>
      <w:pPr>
        <w:pStyle w:val="FirstParagraph"/>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bookmarkStart w:id="390" w:name="n2-am-sr-frictions-1"/>
    <w:p>
      <w:pPr>
        <w:pStyle w:val="FirstParagraph"/>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bookmarkStart w:id="399" w:name="n2-am-sr-regles-1"/>
    <w:p>
      <w:pPr>
        <w:pStyle w:val="FirstParagraph"/>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bookmarkStart w:id="405" w:name="n2-am-sr-scenarios-1"/>
    <w:p>
      <w:pPr>
        <w:pStyle w:val="FirstParagraph"/>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bookmarkStart w:id="410" w:name="n2-am-sr-reco-1"/>
    <w:p>
      <w:pPr>
        <w:pStyle w:val="FirstParagraph"/>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bookmarkStart w:id="425" w:name="n2-am-ht-synergies-1"/>
    <w:p>
      <w:pPr>
        <w:pStyle w:val="FirstParagraph"/>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bookmarkStart w:id="433" w:name="n2-am-ht-frictions-1"/>
    <w:p>
      <w:pPr>
        <w:pStyle w:val="FirstParagraph"/>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bookmarkStart w:id="442" w:name="n2-am-ht-regles-1"/>
    <w:p>
      <w:pPr>
        <w:pStyle w:val="FirstParagraph"/>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bookmarkStart w:id="449" w:name="n2-am-ht-scenarios-1"/>
    <w:p>
      <w:pPr>
        <w:pStyle w:val="FirstParagraph"/>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bookmarkStart w:id="454" w:name="n2-am-ht-reco-1"/>
    <w:p>
      <w:pPr>
        <w:pStyle w:val="FirstParagraph"/>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bookmarkStart w:id="468" w:name="n2-kb-sr-synergies-1"/>
    <w:p>
      <w:pPr>
        <w:pStyle w:val="FirstParagraph"/>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bookmarkStart w:id="476" w:name="n2-kb-sr-frictions-1"/>
    <w:p>
      <w:pPr>
        <w:pStyle w:val="FirstParagraph"/>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bookmarkStart w:id="486" w:name="n2-kb-sr-regles-1"/>
    <w:p>
      <w:pPr>
        <w:pStyle w:val="FirstParagraph"/>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bookmarkStart w:id="493" w:name="n2-kb-sr-scenarios-1"/>
    <w:p>
      <w:pPr>
        <w:pStyle w:val="FirstParagraph"/>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bookmarkStart w:id="498" w:name="n2-kb-sr-reco-1"/>
    <w:p>
      <w:pPr>
        <w:pStyle w:val="FirstParagraph"/>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bookmarkStart w:id="512" w:name="n2-kb-ht-synergies-1"/>
    <w:p>
      <w:pPr>
        <w:pStyle w:val="FirstParagraph"/>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bookmarkStart w:id="520" w:name="n2-kb-ht-frictions-1"/>
    <w:p>
      <w:pPr>
        <w:pStyle w:val="FirstParagraph"/>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bookmarkStart w:id="529" w:name="n2-kb-ht-regles-1"/>
    <w:p>
      <w:pPr>
        <w:pStyle w:val="FirstParagraph"/>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bookmarkStart w:id="536" w:name="n2-kb-ht-scenarios-1"/>
    <w:p>
      <w:pPr>
        <w:pStyle w:val="FirstParagraph"/>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bookmarkStart w:id="541" w:name="n2-kb-ht-reco-1"/>
    <w:p>
      <w:pPr>
        <w:pStyle w:val="FirstParagraph"/>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bookmarkStart w:id="555" w:name="n2-sr-ht-synergies-1"/>
    <w:p>
      <w:pPr>
        <w:pStyle w:val="FirstParagraph"/>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bookmarkStart w:id="563" w:name="n2-sr-ht-frictions-1"/>
    <w:p>
      <w:pPr>
        <w:pStyle w:val="FirstParagraph"/>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bookmarkStart w:id="573" w:name="n2-sr-ht-regles-1"/>
    <w:p>
      <w:pPr>
        <w:pStyle w:val="FirstParagraph"/>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bookmarkStart w:id="580" w:name="n2-sr-ht-scenarios-1"/>
    <w:p>
      <w:pPr>
        <w:pStyle w:val="FirstParagraph"/>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bookmarkStart w:id="585" w:name="n2-sr-ht-reco-1"/>
    <w:p>
      <w:pPr>
        <w:pStyle w:val="FirstParagraph"/>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711" w:name="n3-equipe"/>
    <w:bookmarkStart w:id="710"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9" w:name="n3-structure"/>
    <w:p>
      <w:pPr>
        <w:pStyle w:val="Heading3"/>
      </w:pPr>
      <w:r>
        <w:t xml:space="preserve">Structure de l’équipe : liens déclarés et comment les développer</w:t>
      </w:r>
    </w:p>
    <w:bookmarkStart w:id="660" w:name="n3-structure-1"/>
    <w:p>
      <w:pPr>
        <w:pStyle w:val="FirstParagraph"/>
      </w:pPr>
      <w:r>
        <w:t xml:space="preserve">Constaté</w:t>
      </w:r>
    </w:p>
    <w:p>
      <w:pPr>
        <w:pStyle w:val="BodyText"/>
      </w:pPr>
      <w:r>
        <w:t xml:space="preserve">Cette section lit les liens de travail déclarés au cas (nature, sens, fréquence, interdépendance) : ils décrivent la structure prévue de l’équipe. Le réseau réel, c’est-à-dire à qui chacun demande conseil, à qui il fait confiance et par où l’information circule vraiment, fait l’objet d’un relevé distinct, présenté à la section suivante ; il peut s’écarter nettement de la structure prévue (réseau informel au sens de Krackhardt et Hanson, 1993).</w:t>
      </w:r>
    </w:p>
    <w:bookmarkEnd w:id="660"/>
    <w:bookmarkStart w:id="661" w:name="n3-structure-2"/>
    <w:p>
      <w:pPr>
        <w:pStyle w:val="BodyText"/>
      </w:pPr>
      <w:r>
        <w:t xml:space="preserve">Constaté</w:t>
      </w:r>
    </w:p>
    <w:p>
      <w:pPr>
        <w:pStyle w:val="BodyText"/>
      </w:pPr>
      <w:r>
        <w:t xml:space="preserve">6 liens déclarés sur 6 paires possibles entre les personnes ayant consenti. Chaque paire a un lien déclaré.</w:t>
      </w:r>
    </w:p>
    <w:bookmarkEnd w:id="661"/>
    <w:bookmarkStart w:id="662" w:name="n3-structure-3"/>
    <w:p>
      <w:pPr>
        <w:pStyle w:val="BodyText"/>
      </w:pPr>
      <w:r>
        <w:t xml:space="preserve">Constaté</w:t>
      </w:r>
    </w:p>
    <w:p>
      <w:pPr>
        <w:pStyle w:val="BodyText"/>
      </w:pPr>
      <w:r>
        <w:t xml:space="preserve">Liens déclarés par personne, et leur fréquence : AM, 3 liens (1 quotidien, 1 hebdomadaire et 1 mensuel) ; KB, 3 liens (1 quotidien et 2 hebdomadaires) ; SR, 3 liens (1 quotidien et 2 hebdomadaires) ; HT, 3 liens (1 quotidien, 1 hebdomadaire et 1 mensuel).</w:t>
      </w:r>
    </w:p>
    <w:bookmarkEnd w:id="662"/>
    <w:bookmarkStart w:id="663" w:name="n3-structure-4"/>
    <w:p>
      <w:pPr>
        <w:pStyle w:val="BodyText"/>
      </w:pPr>
      <w:r>
        <w:t xml:space="preserve">Constaté</w:t>
      </w:r>
    </w:p>
    <w:p>
      <w:pPr>
        <w:pStyle w:val="BodyText"/>
      </w:pPr>
      <w:r>
        <w:t xml:space="preserve">Liens de séquence orientés (le travail de la première personne alimente celui de la seconde) : AM vers KB ; KB vers SR.</w:t>
      </w:r>
    </w:p>
    <w:bookmarkEnd w:id="663"/>
    <w:bookmarkStart w:id="664" w:name="n3-structure-5"/>
    <w:p>
      <w:pPr>
        <w:pStyle w:val="BodyText"/>
      </w:pPr>
      <w:r>
        <w:t xml:space="preserve">Hypothèse</w:t>
      </w:r>
    </w:p>
    <w:p>
      <w:pPr>
        <w:pStyle w:val="BodyText"/>
      </w:pPr>
      <w:r>
        <w:t xml:space="preserve">KB se situe au milieu d’une chaîne de séquence déclarée (AM vers KB vers SR). Il se peut que les retards et les informations incomplètes de l’amont se concentrent à ce point de passage, et que ce rôle de relais n’apparaisse dans aucun organigramme ni dans aucune fiche de poste.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sous quelle forme et avec quel délai, et ce qu’il doit reprendre ou compléter avant de transmettre.</w:t>
      </w:r>
    </w:p>
    <w:bookmarkEnd w:id="664"/>
    <w:bookmarkStart w:id="665" w:name="n3-structure-6"/>
    <w:p>
      <w:pPr>
        <w:pStyle w:val="FirstParagraph"/>
      </w:pPr>
      <w:r>
        <w:t xml:space="preserve">Hypothèse</w:t>
      </w:r>
    </w:p>
    <w:p>
      <w:pPr>
        <w:pStyle w:val="BodyText"/>
      </w:pPr>
      <w:r>
        <w:t xml:space="preserve">En pondérant chaque lien par sa fréquence (quotidien 3, hebdomadaire 2, mensuel 1, convention de ce rapport), KB et SR portent la charge de liens la plus élevée de l’équipe. Il se peut que la coordination repose davantage sur ces personnes, et qu’une absence y produise un blocage que la structure prévue ne montre pas.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ce qui s’est passé la dernière fois que KB ou SR était absent, et qui a pris le relais.</w:t>
      </w:r>
    </w:p>
    <w:bookmarkEnd w:id="665"/>
    <w:bookmarkStart w:id="666" w:name="n3-structure-7"/>
    <w:p>
      <w:pPr>
        <w:pStyle w:val="FirstParagraph"/>
      </w:pPr>
      <w:r>
        <w:t xml:space="preserve">Hypothèse</w:t>
      </w:r>
    </w:p>
    <w:p>
      <w:pPr>
        <w:pStyle w:val="BodyText"/>
      </w:pPr>
      <w:r>
        <w:t xml:space="preserve">Lien à fréquence mensuelle : AM-HT (mentorat). Il se peut qu’un lien aussi espacé laisse passer des questions sans réponse entre deux rencontres, et que l’échange réel passe alors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personnes concernées comment elles se joignent entre deux rencontres prévues, et par qui passe l’information dans l’intervalle.</w:t>
      </w:r>
    </w:p>
    <w:bookmarkEnd w:id="666"/>
    <w:bookmarkStart w:id="667" w:name="n3-structure-8"/>
    <w:p>
      <w:pPr>
        <w:pStyle w:val="FirstParagraph"/>
      </w:pPr>
      <w:r>
        <w:t xml:space="preserve">Hypothèse</w:t>
      </w:r>
    </w:p>
    <w:p>
      <w:pPr>
        <w:pStyle w:val="BodyText"/>
      </w:pPr>
      <w:r>
        <w:t xml:space="preserve">Leviers pour développer cette structure, à choisir avec l’équipe et non à imposer : rendre visible et partager la charge de relais de KB (un point de passage écrit, une personne de suppléance désignée) ; organiser une suppléance pour KB et SR, afin qu’aucune décision ne dépende d’une seule présence ; installer un canal d’échange entre deux rencontres sur le lien AM-HT. Le réseau informel se développe par des occasions de travail réelles, non par un organigramme ; Cross et Parker (2004) décrivent ce travail à partir des personnes centrales, des intermédiaires et des personnes en périphérie.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ces leviers à l’équipe et lui demander lesquels répondent à une difficulté qu’elle a déjà rencontrée, et lesquels seraient une charge de plus.</w:t>
      </w:r>
    </w:p>
    <w:bookmarkEnd w:id="667"/>
    <w:bookmarkStart w:id="668" w:name="n3-structure-9"/>
    <w:p>
      <w:pPr>
        <w:pStyle w:val="FirstParagraph"/>
      </w:pPr>
      <w:r>
        <w:t xml:space="preserve">Constaté</w:t>
      </w:r>
    </w:p>
    <w:p>
      <w:pPr>
        <w:pStyle w:val="BodyText"/>
      </w:pPr>
      <w:r>
        <w:t xml:space="preserve">La section suivante compare la structure prévue au réseau réel, relevé auprès des membres de l’équipe par quatre questions (à qui chacun demande conseil, de qui il reçoit une information utile, à qui il pourrait signaler une erreur sans crainte, de qui il attend le travail pour avancer), avec un consentement spécifique, puisque chaque réponse porte sur des collègues. Cette comparaison est la seule lecture directe de la structure invisible de l’équipe.</w:t>
      </w:r>
    </w:p>
    <w:bookmarkEnd w:id="668"/>
    <w:bookmarkEnd w:id="669"/>
    <w:bookmarkStart w:id="690" w:name="n3-reseau-reel"/>
    <w:p>
      <w:pPr>
        <w:pStyle w:val="Heading3"/>
      </w:pPr>
      <w:r>
        <w:t xml:space="preserve">Réseau réel et écarts avec la structure prévue</w:t>
      </w:r>
    </w:p>
    <w:bookmarkStart w:id="670" w:name="n3-reseau-reel-1"/>
    <w:p>
      <w:pPr>
        <w:pStyle w:val="FirstParagraph"/>
      </w:pPr>
      <w:r>
        <w:t xml:space="preserve">Constaté</w:t>
      </w:r>
    </w:p>
    <w:p>
      <w:pPr>
        <w:pStyle w:val="BodyText"/>
      </w:pPr>
      <w:r>
        <w:t xml:space="preserve">Relevé de démonstration fictif : les réponses de cette section sont toutes inventées pour illustrer la lecture ; personne n’a répondu au relevé du réseau réel.</w:t>
      </w:r>
    </w:p>
    <w:bookmarkEnd w:id="670"/>
    <w:bookmarkStart w:id="671" w:name="n3-reseau-reel-2"/>
    <w:p>
      <w:pPr>
        <w:pStyle w:val="BodyText"/>
      </w:pPr>
      <w:r>
        <w:t xml:space="preserve">Constaté</w:t>
      </w:r>
    </w:p>
    <w:p>
      <w:pPr>
        <w:pStyle w:val="BodyText"/>
      </w:pPr>
      <w:r>
        <w:t xml:space="preserve">Le relevé pose à chaque membre de l’équipe, sur la liste fermée des autres membres, quatre questions : à qui il demande conseil, de qui il reçoit une information utile, à qui il pourrait signaler une erreur sans crainte, de qui il attend le travail pour avancer. Un lien réel est retenu à partir de « chaque mois » pour le conseil, l’information et la dépendance, et de « plutôt oui » pour la confiance (conventions de ce rapport). Un lien n’est dit réciproque que si les deux personnes l’ont déclaré ; un lien déclaré d’un seul côté est présenté tel quel, jamais corrigé.</w:t>
      </w:r>
    </w:p>
    <w:bookmarkEnd w:id="671"/>
    <w:bookmarkStart w:id="672" w:name="n3-reseau-reel-3"/>
    <w:p>
      <w:pPr>
        <w:pStyle w:val="BodyText"/>
      </w:pPr>
      <w:r>
        <w:t xml:space="preserve">Constaté</w:t>
      </w:r>
    </w:p>
    <w:p>
      <w:pPr>
        <w:pStyle w:val="BodyText"/>
      </w:pPr>
      <w:r>
        <w:t xml:space="preserve">Seuils de lecture, conventions de ce rapport : au moins 4 répondants et au moins 80 pour cent de réponses parmi les personnes représentées. Ici, 4 répondants sur 4 personnes représentées : le relevé est lu.</w:t>
      </w:r>
    </w:p>
    <w:bookmarkEnd w:id="672"/>
    <w:bookmarkStart w:id="673" w:name="n3-reseau-reel-4"/>
    <w:p>
      <w:pPr>
        <w:pStyle w:val="BodyText"/>
      </w:pPr>
      <w:r>
        <w:t xml:space="preserve">Constaté</w:t>
      </w:r>
    </w:p>
    <w:p>
      <w:pPr>
        <w:pStyle w:val="BodyText"/>
      </w:pPr>
      <w:r>
        <w:t xml:space="preserve">Garantie du relevé : aucun usage pour une décision d’emploi ou une évaluation des personnes. Il sert à décrire avec l’équipe, en atelier de restitution, sa façon réelle de travailler ; les questions d’éthique propres à l’analyse de réseau en organisation sont traitées par Borgatti et Molina (2003).</w:t>
      </w:r>
    </w:p>
    <w:bookmarkEnd w:id="673"/>
    <w:bookmarkStart w:id="674" w:name="n3-reseau-reel-5"/>
    <w:p>
      <w:pPr>
        <w:pStyle w:val="BodyText"/>
      </w:pPr>
      <w:r>
        <w:t xml:space="preserve">Constaté</w:t>
      </w:r>
    </w:p>
    <w:p>
      <w:pPr>
        <w:pStyle w:val="BodyText"/>
      </w:pPr>
      <w:r>
        <w:t xml:space="preserve">Chaque membre de l’équipe a accepté que la carte nominative de l’équipe soit montrée aux membres en atelier : la carte du réseau réel, par type de lien, nomme les personnes.</w:t>
      </w:r>
    </w:p>
    <w:bookmarkEnd w:id="674"/>
    <w:bookmarkStart w:id="675" w:name="n3-reseau-reel-6"/>
    <w:p>
      <w:pPr>
        <w:pStyle w:val="BodyText"/>
      </w:pPr>
      <w:r>
        <w:t xml:space="preserve">Constaté</w:t>
      </w:r>
    </w:p>
    <w:p>
      <w:pPr>
        <w:pStyle w:val="BodyText"/>
      </w:pPr>
      <w:r>
        <w:t xml:space="preserve">Conseil, à qui chacun demande conseil pour résoudre un problème de travail (au moins chaque mois) : 3 paires reliées sur 6 possibles. Liens réciproques : AM et KB ; SR et HT. Lien déclaré d’un seul côté : KB demande conseil à HT (déclaré par KB seulement).</w:t>
      </w:r>
    </w:p>
    <w:bookmarkEnd w:id="675"/>
    <w:bookmarkStart w:id="676" w:name="n3-reseau-reel-7"/>
    <w:p>
      <w:pPr>
        <w:pStyle w:val="BodyText"/>
      </w:pPr>
      <w:r>
        <w:t xml:space="preserve">Constaté</w:t>
      </w:r>
    </w:p>
    <w:p>
      <w:pPr>
        <w:pStyle w:val="BodyText"/>
      </w:pPr>
      <w:r>
        <w:t xml:space="preserve">Information, de qui chacun reçoit une information utile à son travail (au moins chaque mois) : 5 paires reliées sur 6 possibles. Liens réciproques : AM et KB ; KB et SR ; KB et HT ; SR et HT. Lien déclaré d’un seul côté : AM reçoit une information utile de SR (déclaré par AM seulement).</w:t>
      </w:r>
    </w:p>
    <w:bookmarkEnd w:id="676"/>
    <w:bookmarkStart w:id="677" w:name="n3-reseau-reel-8"/>
    <w:p>
      <w:pPr>
        <w:pStyle w:val="BodyText"/>
      </w:pPr>
      <w:r>
        <w:t xml:space="preserve">Constaté</w:t>
      </w:r>
    </w:p>
    <w:p>
      <w:pPr>
        <w:pStyle w:val="BodyText"/>
      </w:pPr>
      <w:r>
        <w:t xml:space="preserve">Confiance, à qui chacun pourrait signaler une erreur ou une difficulté sans crainte (au moins « plutôt oui ») : 5 paires reliées sur 6 possibles. Liens réciproques : AM et KB ; AM et SR ; KB et SR ; KB et HT ; SR et HT.</w:t>
      </w:r>
    </w:p>
    <w:bookmarkEnd w:id="677"/>
    <w:bookmarkStart w:id="678" w:name="n3-reseau-reel-9"/>
    <w:p>
      <w:pPr>
        <w:pStyle w:val="BodyText"/>
      </w:pPr>
      <w:r>
        <w:t xml:space="preserve">Constaté</w:t>
      </w:r>
    </w:p>
    <w:p>
      <w:pPr>
        <w:pStyle w:val="BodyText"/>
      </w:pPr>
      <w:r>
        <w:t xml:space="preserve">Dépendance, de qui chacun attend le travail pour avancer (au moins chaque mois) : 4 paires reliées sur 6 possibles. Liens réciproques : AM et KB ; AM et SR ; KB et SR ; SR et HT.</w:t>
      </w:r>
    </w:p>
    <w:bookmarkEnd w:id="678"/>
    <w:bookmarkStart w:id="679" w:name="n3-reseau-reel-10"/>
    <w:p>
      <w:pPr>
        <w:pStyle w:val="BodyText"/>
      </w:pPr>
      <w:r>
        <w:t xml:space="preserve">Constaté</w:t>
      </w:r>
    </w:p>
    <w:p>
      <w:pPr>
        <w:pStyle w:val="BodyText"/>
      </w:pPr>
      <w:r>
        <w:t xml:space="preserve">Au total, 15 liens réciproques sur les quatre types de lien.</w:t>
      </w:r>
    </w:p>
    <w:bookmarkEnd w:id="679"/>
    <w:bookmarkStart w:id="680" w:name="n3-reseau-reel-11"/>
    <w:p>
      <w:pPr>
        <w:pStyle w:val="BodyText"/>
      </w:pPr>
      <w:r>
        <w:t xml:space="preserve">Constaté</w:t>
      </w:r>
    </w:p>
    <w:p>
      <w:pPr>
        <w:pStyle w:val="BodyText"/>
      </w:pPr>
      <w:r>
        <w:t xml:space="preserve">Écarts entre la structure prévue (liens déclarés au cas, section précédente) et le réseau réel : 3 écarts relevés. Chaque écart est une hypothèse à vérifier en entretien, non un constat sur les personnes.</w:t>
      </w:r>
    </w:p>
    <w:bookmarkEnd w:id="680"/>
    <w:bookmarkStart w:id="681" w:name="n3-reseau-reel-12"/>
    <w:p>
      <w:pPr>
        <w:pStyle w:val="BodyText"/>
      </w:pPr>
      <w:r>
        <w:t xml:space="preserve">Hypothèse</w:t>
      </w:r>
    </w:p>
    <w:p>
      <w:pPr>
        <w:pStyle w:val="BodyText"/>
      </w:pPr>
      <w:r>
        <w:t xml:space="preserve">Lien prévu sans lien réel retenu : AM-HT (mentorat, mensuel). Aucune réponse ne relève, entre AM et HT, de conseil, d’information ou de dépendance au moins chaque mois, ni de confiance au moins « plutôt oui ». Il se peut que ce lien existe surtout sur le papier, ou que ce qu’il devait porter passe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AM et à HT quand ce lien a servi pour la dernière fois, et par qui passe aujourd’hui ce qu’il devait porter.</w:t>
      </w:r>
    </w:p>
    <w:bookmarkEnd w:id="681"/>
    <w:bookmarkStart w:id="682" w:name="n3-reseau-reel-13"/>
    <w:p>
      <w:pPr>
        <w:pStyle w:val="FirstParagraph"/>
      </w:pPr>
      <w:r>
        <w:t xml:space="preserve">Constaté</w:t>
      </w:r>
    </w:p>
    <w:p>
      <w:pPr>
        <w:pStyle w:val="BodyText"/>
      </w:pPr>
      <w:r>
        <w:t xml:space="preserve">La structure prévue relie chaque paire de personnes représentées : aucun lien réel ne peut apparaître hors de la structure prévue dans cette équipe.</w:t>
      </w:r>
    </w:p>
    <w:bookmarkEnd w:id="682"/>
    <w:bookmarkStart w:id="683" w:name="n3-reseau-reel-14"/>
    <w:p>
      <w:pPr>
        <w:pStyle w:val="BodyText"/>
      </w:pPr>
      <w:r>
        <w:t xml:space="preserve">Hypothèse</w:t>
      </w:r>
    </w:p>
    <w:p>
      <w:pPr>
        <w:pStyle w:val="BodyText"/>
      </w:pPr>
      <w:r>
        <w:t xml:space="preserve">Relais réel de conseil : HT reçoit des demandes de conseil de KB et SR, deux personnes qui ne se demandent pas conseil entre elles. Ce rôle n’apparaît pas dans la structure prévue. Il se peut que HT porte une charge de mise en relation que personne ne voit.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HT quelles questions lui sont adressées et ce qu’elles lui demandent de temps, puis demander à KB et SR ce qu’ils pourraient se demander directement.</w:t>
      </w:r>
    </w:p>
    <w:bookmarkEnd w:id="683"/>
    <w:bookmarkStart w:id="684" w:name="n3-reseau-reel-15"/>
    <w:p>
      <w:pPr>
        <w:pStyle w:val="FirstParagraph"/>
      </w:pPr>
      <w:r>
        <w:t xml:space="preserve">Hypothèse</w:t>
      </w:r>
    </w:p>
    <w:p>
      <w:pPr>
        <w:pStyle w:val="BodyText"/>
      </w:pPr>
      <w:r>
        <w:t xml:space="preserve">KB, relais prévu au milieu d’une chaîne de séquence (section précédente), ne reçoit pas de demandes de conseil de deux personnes qui ne se consultent pas entre elles. Il se peut que la chaîne prévue fonctionne par la transmission du travail plutôt que par le conseil, ou que des questions la contournent.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et ce qu’il transmet, puis demander aux autres membres à qui ils s’adressent quand une question bloque la chaîne.</w:t>
      </w:r>
    </w:p>
    <w:bookmarkEnd w:id="684"/>
    <w:bookmarkStart w:id="685" w:name="n3-reseau-reel-16"/>
    <w:p>
      <w:pPr>
        <w:pStyle w:val="FirstParagraph"/>
      </w:pPr>
      <w:r>
        <w:t xml:space="preserve">Hypothèse</w:t>
      </w:r>
    </w:p>
    <w:p>
      <w:pPr>
        <w:pStyle w:val="BodyText"/>
      </w:pPr>
      <w:r>
        <w:t xml:space="preserve">Levier, lien prévu sans lien réel (AM-HT) : lui redonner une occasion de travail réelle, ou le retirer de la structure prévue s’il ne répond plus à un besoin, plutôt que de le maintenir sur le papier.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AM et à HT ce que ce lien devait apporter, et si ce besoin existe encore.</w:t>
      </w:r>
    </w:p>
    <w:bookmarkEnd w:id="685"/>
    <w:bookmarkStart w:id="686" w:name="n3-reseau-reel-17"/>
    <w:p>
      <w:pPr>
        <w:pStyle w:val="FirstParagraph"/>
      </w:pPr>
      <w:r>
        <w:t xml:space="preserve">Hypothèse</w:t>
      </w:r>
    </w:p>
    <w:p>
      <w:pPr>
        <w:pStyle w:val="BodyText"/>
      </w:pPr>
      <w:r>
        <w:t xml:space="preserve">Levier, relais réel non prévu (HT) : reconnaître cette charge de mise en relation (temps dédié, mention dans la répartition des rôles), ou ouvrir un échange direct entre KB et SR pour les questions qui n’ont pas besoin d’intermédiaire.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séparément à KB et SR ce qu’ils demandent à HT, et à HT ce que cette charge lui coûte.</w:t>
      </w:r>
    </w:p>
    <w:bookmarkEnd w:id="686"/>
    <w:bookmarkStart w:id="687" w:name="n3-reseau-reel-18"/>
    <w:p>
      <w:pPr>
        <w:pStyle w:val="FirstParagraph"/>
      </w:pPr>
      <w:r>
        <w:t xml:space="preserve">Hypothèse</w:t>
      </w:r>
    </w:p>
    <w:p>
      <w:pPr>
        <w:pStyle w:val="BodyText"/>
      </w:pPr>
      <w:r>
        <w:t xml:space="preserve">Levier, relais prévu sans relais réel de conseil (KB) : vérifier ce qui passe réellement par la chaîne de séquence prévue avant de lui attribuer, ou de lui retirer, une charge de relais.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et aux personnes de part et d’autre de la chaîne ce qui passe par KB, et ce qui le contourne.</w:t>
      </w:r>
    </w:p>
    <w:bookmarkEnd w:id="687"/>
    <w:bookmarkStart w:id="688" w:name="n3-reseau-reel-19"/>
    <w:p>
      <w:pPr>
        <w:pStyle w:val="FirstParagraph"/>
      </w:pPr>
      <w:r>
        <w:t xml:space="preserve">Hypothèse</w:t>
      </w:r>
    </w:p>
    <w:p>
      <w:pPr>
        <w:pStyle w:val="BodyText"/>
      </w:pPr>
      <w:r>
        <w:t xml:space="preserve">Levier, liens déclarés d’un seul côté : les présenter en atelier comme des attentes à éclaircir, non comme des erreurs du relevé, sans demander à quiconque de justifier sa réponse.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collectivement, ce qu’un lien déclaré d’un seul côté peut signifier dans son travail (une attente, un rythme différent, une question restée sans réponse).</w:t>
      </w:r>
    </w:p>
    <w:bookmarkEnd w:id="688"/>
    <w:bookmarkStart w:id="689" w:name="n3-reseau-reel-20"/>
    <w:p>
      <w:pPr>
        <w:pStyle w:val="FirstParagraph"/>
      </w:pPr>
      <w:r>
        <w:t xml:space="preserve">Hypothèse</w:t>
      </w:r>
    </w:p>
    <w:p>
      <w:pPr>
        <w:pStyle w:val="BodyText"/>
      </w:pPr>
      <w:r>
        <w:t xml:space="preserve">Levier, suivi : refaire le relevé après un délai convenu avec l’équipe, dans la limite de la durée de conservation du relevé, pour voir ce qui a bougé ; les leviers sont à choisir avec l’équipe, non à imposer.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Convenir avec l’équipe du moment du prochain relevé et des changements qu’elle souhaite y voir apparaître.</w:t>
      </w:r>
    </w:p>
    <w:bookmarkEnd w:id="689"/>
    <w:bookmarkEnd w:id="690"/>
    <w:bookmarkStart w:id="694" w:name="n3-securite-psychologique"/>
    <w:p>
      <w:pPr>
        <w:pStyle w:val="Heading3"/>
      </w:pPr>
      <w:r>
        <w:t xml:space="preserve">Sécurité psychologique à instruire</w:t>
      </w:r>
    </w:p>
    <w:bookmarkStart w:id="691"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91"/>
    <w:bookmarkStart w:id="692"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92"/>
    <w:bookmarkStart w:id="693"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93"/>
    <w:bookmarkEnd w:id="694"/>
    <w:bookmarkStart w:id="703" w:name="n3-coordination"/>
    <w:p>
      <w:pPr>
        <w:pStyle w:val="Heading3"/>
      </w:pPr>
      <w:r>
        <w:t xml:space="preserve">Risques de coordination</w:t>
      </w:r>
    </w:p>
    <w:bookmarkStart w:id="695" w:name="n3-coordination-1"/>
    <w:p>
      <w:pPr>
        <w:pStyle w:val="FirstParagraph"/>
      </w:pPr>
      <w:r>
        <w:t xml:space="preserve">Constaté</w:t>
      </w:r>
    </w:p>
    <w:p>
      <w:pPr>
        <w:pStyle w:val="BodyText"/>
      </w:pPr>
      <w:r>
        <w:t xml:space="preserve">Risque inscrit au cas : délai d’autorisation de la CNDP non maîtrisé par l’équipe.</w:t>
      </w:r>
    </w:p>
    <w:bookmarkEnd w:id="695"/>
    <w:bookmarkStart w:id="696"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96"/>
    <w:bookmarkStart w:id="697"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97"/>
    <w:bookmarkStart w:id="698"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98"/>
    <w:bookmarkStart w:id="699" w:name="n3-coordination-5"/>
    <w:p>
      <w:pPr>
        <w:pStyle w:val="FirstParagraph"/>
      </w:pPr>
      <w:r>
        <w:t xml:space="preserve">Constaté</w:t>
      </w:r>
    </w:p>
    <w:p>
      <w:pPr>
        <w:pStyle w:val="BodyText"/>
      </w:pPr>
      <w:r>
        <w:t xml:space="preserve">Risque inscrit au cas : méfiance des équipes héritée de l’ancien outil d’évaluation.</w:t>
      </w:r>
    </w:p>
    <w:bookmarkEnd w:id="699"/>
    <w:bookmarkStart w:id="700"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700"/>
    <w:bookmarkStart w:id="701"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701"/>
    <w:bookmarkStart w:id="702"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702"/>
    <w:bookmarkEnd w:id="703"/>
    <w:bookmarkStart w:id="709" w:name="recommandations-2"/>
    <w:p>
      <w:pPr>
        <w:pStyle w:val="Heading3"/>
      </w:pPr>
      <w:r>
        <w:t xml:space="preserve">Recommandations</w:t>
      </w:r>
    </w:p>
    <w:bookmarkStart w:id="704"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704"/>
    <w:bookmarkStart w:id="705"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705"/>
    <w:bookmarkStart w:id="706"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706"/>
    <w:bookmarkStart w:id="707"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707"/>
    <w:bookmarkStart w:id="708"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708"/>
    <w:bookmarkEnd w:id="709"/>
    <w:bookmarkEnd w:id="710"/>
    <w:bookmarkEnd w:id="711"/>
    <w:bookmarkStart w:id="772" w:name="n4-organisation"/>
    <w:bookmarkStart w:id="771" w:name="lecture-organisationnelle"/>
    <w:p>
      <w:pPr>
        <w:pStyle w:val="Heading2"/>
      </w:pPr>
      <w:r>
        <w:t xml:space="preserve">Lecture organisationnelle</w:t>
      </w:r>
    </w:p>
    <w:bookmarkStart w:id="716" w:name="n4-seuil"/>
    <w:p>
      <w:pPr>
        <w:pStyle w:val="Heading3"/>
      </w:pPr>
      <w:r>
        <w:t xml:space="preserve">Seuil d’anonymat et dérogation de démonstration</w:t>
      </w:r>
    </w:p>
    <w:bookmarkStart w:id="712"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712"/>
    <w:bookmarkStart w:id="713"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713"/>
    <w:bookmarkStart w:id="714" w:name="n4-seuil-3"/>
    <w:p>
      <w:pPr>
        <w:pStyle w:val="BodyText"/>
      </w:pPr>
      <w:r>
        <w:t xml:space="preserve">Constaté</w:t>
      </w:r>
    </w:p>
    <w:p>
      <w:pPr>
        <w:pStyle w:val="BodyText"/>
      </w:pPr>
      <w:r>
        <w:t xml:space="preserve">Précision : le cas est fictif, à l’exception du profil estimé de AM, consenti (estimation, pas une mesure).</w:t>
      </w:r>
    </w:p>
    <w:bookmarkEnd w:id="714"/>
    <w:bookmarkStart w:id="715"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715"/>
    <w:bookmarkEnd w:id="716"/>
    <w:bookmarkStart w:id="724" w:name="n4-profils"/>
    <w:p>
      <w:pPr>
        <w:pStyle w:val="Heading3"/>
      </w:pPr>
      <w:r>
        <w:t xml:space="preserve">Position d’ensemble de l’équipe</w:t>
      </w:r>
    </w:p>
    <w:bookmarkStart w:id="717"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717"/>
    <w:bookmarkStart w:id="718"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718"/>
    <w:bookmarkStart w:id="719"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719"/>
    <w:bookmarkStart w:id="720"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720"/>
    <w:bookmarkStart w:id="721"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721"/>
    <w:bookmarkStart w:id="722"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722"/>
    <w:bookmarkStart w:id="723"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723"/>
    <w:bookmarkEnd w:id="724"/>
    <w:bookmarkStart w:id="731" w:name="n4-adequation"/>
    <w:p>
      <w:pPr>
        <w:pStyle w:val="Heading3"/>
      </w:pPr>
      <w:r>
        <w:t xml:space="preserve">Adéquation avec la structure, la culture et l’orientation</w:t>
      </w:r>
    </w:p>
    <w:bookmarkStart w:id="725"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725"/>
    <w:bookmarkStart w:id="726"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6"/>
    <w:bookmarkStart w:id="727"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7"/>
    <w:bookmarkStart w:id="728"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8"/>
    <w:bookmarkStart w:id="729"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729"/>
    <w:bookmarkStart w:id="730"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730"/>
    <w:bookmarkEnd w:id="731"/>
    <w:bookmarkStart w:id="746" w:name="n4-contraintes"/>
    <w:p>
      <w:pPr>
        <w:pStyle w:val="Heading3"/>
      </w:pPr>
      <w:r>
        <w:t xml:space="preserve">Contraintes et cadre juridique</w:t>
      </w:r>
    </w:p>
    <w:bookmarkStart w:id="732"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32"/>
    <w:bookmarkStart w:id="733"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33"/>
    <w:bookmarkStart w:id="734"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34"/>
    <w:bookmarkStart w:id="735"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35"/>
    <w:bookmarkStart w:id="736"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36"/>
    <w:bookmarkStart w:id="737" w:name="n4-contraintes-6"/>
    <w:p>
      <w:pPr>
        <w:pStyle w:val="BodyText"/>
      </w:pPr>
      <w:r>
        <w:t xml:space="preserve">Constaté</w:t>
      </w:r>
    </w:p>
    <w:p>
      <w:pPr>
        <w:pStyle w:val="BodyText"/>
      </w:pPr>
      <w:r>
        <w:t xml:space="preserve">CT-05, dureté dure : Calendrier de lancement fixé par le siège : 9 mois.</w:t>
      </w:r>
    </w:p>
    <w:bookmarkEnd w:id="737"/>
    <w:bookmarkStart w:id="738" w:name="n4-contraintes-7"/>
    <w:p>
      <w:pPr>
        <w:pStyle w:val="BodyText"/>
      </w:pPr>
      <w:r>
        <w:t xml:space="preserve">Constaté</w:t>
      </w:r>
    </w:p>
    <w:p>
      <w:pPr>
        <w:pStyle w:val="BodyText"/>
      </w:pPr>
      <w:r>
        <w:t xml:space="preserve">CT-06, dureté négociable : Enveloppe d’accompagnement plafonnée sur 12 mois.</w:t>
      </w:r>
    </w:p>
    <w:bookmarkEnd w:id="738"/>
    <w:bookmarkStart w:id="739" w:name="n4-contraintes-8"/>
    <w:p>
      <w:pPr>
        <w:pStyle w:val="BodyText"/>
      </w:pPr>
      <w:r>
        <w:t xml:space="preserve">Constaté</w:t>
      </w:r>
    </w:p>
    <w:p>
      <w:pPr>
        <w:pStyle w:val="BodyText"/>
      </w:pPr>
      <w:r>
        <w:t xml:space="preserve">CT-07, dureté négociable : Équipe projet mobilisée aux sept dixièmes de son temps seulement.</w:t>
      </w:r>
    </w:p>
    <w:bookmarkEnd w:id="739"/>
    <w:bookmarkStart w:id="740"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40"/>
    <w:bookmarkStart w:id="741"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41"/>
    <w:bookmarkStart w:id="742"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42"/>
    <w:bookmarkStart w:id="743"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43"/>
    <w:bookmarkStart w:id="744"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44"/>
    <w:bookmarkStart w:id="745"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45"/>
    <w:bookmarkEnd w:id="746"/>
    <w:bookmarkStart w:id="759" w:name="n4-interculturel"/>
    <w:p>
      <w:pPr>
        <w:pStyle w:val="Heading3"/>
      </w:pPr>
      <w:r>
        <w:t xml:space="preserve">Volet interculturel : organisation et sites</w:t>
      </w:r>
    </w:p>
    <w:bookmarkStart w:id="747"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47"/>
    <w:bookmarkStart w:id="748"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48"/>
    <w:bookmarkStart w:id="749"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49"/>
    <w:bookmarkStart w:id="750"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50"/>
    <w:bookmarkStart w:id="751"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51"/>
    <w:bookmarkStart w:id="752"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52"/>
    <w:bookmarkStart w:id="753"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53"/>
    <w:bookmarkStart w:id="754"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54"/>
    <w:bookmarkStart w:id="755"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55"/>
    <w:bookmarkStart w:id="756"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56"/>
    <w:bookmarkStart w:id="757"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57"/>
    <w:bookmarkStart w:id="758"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58"/>
    <w:bookmarkEnd w:id="759"/>
    <w:bookmarkStart w:id="764" w:name="n4-implications"/>
    <w:p>
      <w:pPr>
        <w:pStyle w:val="Heading3"/>
      </w:pPr>
      <w:r>
        <w:t xml:space="preserve">Implications pour la structure, les rôles, les rituels et le pilotage</w:t>
      </w:r>
    </w:p>
    <w:bookmarkStart w:id="760"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60"/>
    <w:bookmarkStart w:id="761"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61"/>
    <w:bookmarkStart w:id="762"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62"/>
    <w:bookmarkStart w:id="763"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63"/>
    <w:bookmarkEnd w:id="764"/>
    <w:bookmarkStart w:id="770" w:name="recommandations-3"/>
    <w:p>
      <w:pPr>
        <w:pStyle w:val="Heading3"/>
      </w:pPr>
      <w:r>
        <w:t xml:space="preserve">Recommandations</w:t>
      </w:r>
    </w:p>
    <w:bookmarkStart w:id="765"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65"/>
    <w:bookmarkStart w:id="766"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66"/>
    <w:bookmarkStart w:id="767"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67"/>
    <w:bookmarkStart w:id="768"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68"/>
    <w:bookmarkStart w:id="769"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69"/>
    <w:bookmarkEnd w:id="770"/>
    <w:bookmarkEnd w:id="771"/>
    <w:bookmarkEnd w:id="772"/>
    <w:bookmarkStart w:id="832" w:name="n5-accompagnement"/>
    <w:bookmarkStart w:id="831" w:name="plan-daccompagnement-intégré"/>
    <w:p>
      <w:pPr>
        <w:pStyle w:val="Heading2"/>
      </w:pPr>
      <w:r>
        <w:t xml:space="preserve">Plan d’accompagnement intégré</w:t>
      </w:r>
    </w:p>
    <w:bookmarkStart w:id="779" w:name="depart"/>
    <w:p>
      <w:pPr>
        <w:pStyle w:val="Heading3"/>
      </w:pPr>
      <w:r>
        <w:t xml:space="preserve">Point de départ : les faits qui fondent le plan</w:t>
      </w:r>
    </w:p>
    <w:bookmarkStart w:id="773"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73"/>
    <w:bookmarkStart w:id="774"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74"/>
    <w:bookmarkStart w:id="775"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75"/>
    <w:bookmarkStart w:id="776"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76"/>
    <w:bookmarkStart w:id="777"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77"/>
    <w:bookmarkStart w:id="778"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78"/>
    <w:bookmarkEnd w:id="779"/>
    <w:bookmarkStart w:id="783" w:name="coaching"/>
    <w:p>
      <w:pPr>
        <w:pStyle w:val="Heading3"/>
      </w:pPr>
      <w:r>
        <w:t xml:space="preserve">Coaching individuel et d’équipe</w:t>
      </w:r>
    </w:p>
    <w:bookmarkStart w:id="780"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80"/>
    <w:bookmarkStart w:id="781"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81"/>
    <w:bookmarkStart w:id="782"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82"/>
    <w:bookmarkEnd w:id="783"/>
    <w:bookmarkStart w:id="786" w:name="mentorat"/>
    <w:p>
      <w:pPr>
        <w:pStyle w:val="Heading3"/>
      </w:pPr>
      <w:r>
        <w:t xml:space="preserve">Mentorat</w:t>
      </w:r>
    </w:p>
    <w:bookmarkStart w:id="784"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84"/>
    <w:bookmarkStart w:id="785"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85"/>
    <w:bookmarkEnd w:id="786"/>
    <w:bookmarkStart w:id="790" w:name="formation"/>
    <w:p>
      <w:pPr>
        <w:pStyle w:val="Heading3"/>
      </w:pPr>
      <w:r>
        <w:t xml:space="preserve">Formation aux savoir-faire comportementaux</w:t>
      </w:r>
    </w:p>
    <w:bookmarkStart w:id="787"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87"/>
    <w:bookmarkStart w:id="788"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88"/>
    <w:bookmarkStart w:id="789"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89"/>
    <w:bookmarkEnd w:id="790"/>
    <w:bookmarkStart w:id="795" w:name="organisation"/>
    <w:p>
      <w:pPr>
        <w:pStyle w:val="Heading3"/>
      </w:pPr>
      <w:r>
        <w:t xml:space="preserve">Dispositifs d’organisation : rôles, règles de décision, rituels, responsabilités</w:t>
      </w:r>
    </w:p>
    <w:bookmarkStart w:id="791"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91"/>
    <w:bookmarkStart w:id="792"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92"/>
    <w:bookmarkStart w:id="793"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93"/>
    <w:bookmarkStart w:id="794"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94"/>
    <w:bookmarkEnd w:id="795"/>
    <w:bookmarkStart w:id="802" w:name="calendrier"/>
    <w:p>
      <w:pPr>
        <w:pStyle w:val="Heading3"/>
      </w:pPr>
      <w:r>
        <w:t xml:space="preserve">Calendrier en jalons à 30, 60 et 90 jours</w:t>
      </w:r>
    </w:p>
    <w:bookmarkStart w:id="796"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96"/>
    <w:bookmarkStart w:id="797"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97"/>
    <w:bookmarkStart w:id="798"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98"/>
    <w:bookmarkStart w:id="799"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99"/>
    <w:bookmarkStart w:id="800"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800"/>
    <w:bookmarkStart w:id="801"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801"/>
    <w:bookmarkEnd w:id="802"/>
    <w:bookmarkStart w:id="807" w:name="mesure"/>
    <w:p>
      <w:pPr>
        <w:pStyle w:val="Heading3"/>
      </w:pPr>
      <w:r>
        <w:t xml:space="preserve">Indicateurs et mesure d’impact</w:t>
      </w:r>
    </w:p>
    <w:bookmarkStart w:id="803"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803"/>
    <w:bookmarkStart w:id="804"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804"/>
    <w:bookmarkStart w:id="805"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805"/>
    <w:bookmarkStart w:id="806"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806"/>
    <w:bookmarkEnd w:id="807"/>
    <w:bookmarkStart w:id="814" w:name="garde-fous"/>
    <w:p>
      <w:pPr>
        <w:pStyle w:val="Heading3"/>
      </w:pPr>
      <w:r>
        <w:t xml:space="preserve">Conditions et garde-fous</w:t>
      </w:r>
    </w:p>
    <w:bookmarkStart w:id="808"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808"/>
    <w:bookmarkStart w:id="809"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809"/>
    <w:bookmarkStart w:id="810"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810"/>
    <w:bookmarkStart w:id="811"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811"/>
    <w:bookmarkStart w:id="812"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812"/>
    <w:bookmarkStart w:id="813"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813"/>
    <w:bookmarkEnd w:id="814"/>
    <w:bookmarkStart w:id="830" w:name="recommandations-4"/>
    <w:p>
      <w:pPr>
        <w:pStyle w:val="Heading3"/>
      </w:pPr>
      <w:r>
        <w:t xml:space="preserve">Recommandations</w:t>
      </w:r>
    </w:p>
    <w:bookmarkStart w:id="815"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815"/>
    <w:bookmarkStart w:id="816"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816"/>
    <w:bookmarkStart w:id="817"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817"/>
    <w:bookmarkStart w:id="818"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818"/>
    <w:bookmarkStart w:id="819"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819"/>
    <w:bookmarkStart w:id="820"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820"/>
    <w:bookmarkStart w:id="821"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821"/>
    <w:bookmarkStart w:id="822"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822"/>
    <w:bookmarkStart w:id="823"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823"/>
    <w:bookmarkStart w:id="824"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824"/>
    <w:bookmarkStart w:id="825"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825"/>
    <w:bookmarkStart w:id="826"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826"/>
    <w:bookmarkStart w:id="827"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827"/>
    <w:bookmarkStart w:id="828"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828"/>
    <w:bookmarkStart w:id="829"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829"/>
    <w:bookmarkEnd w:id="830"/>
    <w:bookmarkEnd w:id="831"/>
    <w:bookmarkEnd w:id="832"/>
    <w:bookmarkStart w:id="834" w:name="references"/>
    <w:bookmarkStart w:id="833"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r>
        <w:tc>
          <w:tcPr/>
          <w:p>
            <w:pPr>
              <w:pStyle w:val="Compact"/>
            </w:pPr>
            <w:r>
              <w:t xml:space="preserve">Krackhardt et Hanson, 1993, Harvard Business Review (« Informal Networks: The Company Behind the Chart »)</w:t>
            </w:r>
          </w:p>
        </w:tc>
        <w:tc>
          <w:tcPr/>
          <w:p>
            <w:pPr>
              <w:pStyle w:val="Compact"/>
            </w:pPr>
            <w:r>
              <w:t xml:space="preserve">Non</w:t>
            </w:r>
          </w:p>
        </w:tc>
      </w:tr>
      <w:tr>
        <w:tc>
          <w:tcPr/>
          <w:p>
            <w:pPr>
              <w:pStyle w:val="Compact"/>
            </w:pPr>
            <w:r>
              <w:t xml:space="preserve">Cross et Parker, 2004, The Hidden Power of Social Networks, Harvard Business School Press</w:t>
            </w:r>
          </w:p>
        </w:tc>
        <w:tc>
          <w:tcPr/>
          <w:p>
            <w:pPr>
              <w:pStyle w:val="Compact"/>
            </w:pPr>
            <w:r>
              <w:t xml:space="preserve">Non</w:t>
            </w:r>
          </w:p>
        </w:tc>
      </w:tr>
      <w:tr>
        <w:tc>
          <w:tcPr/>
          <w:p>
            <w:pPr>
              <w:pStyle w:val="Compact"/>
            </w:pPr>
            <w:r>
              <w:t xml:space="preserve">Borgatti et Molina, 2003, The Journal of Applied Behavioral Science (« Ethical and Strategic Issues in Organizational Social Network Analysis »)</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33"/>
    <w:bookmarkEnd w:id="834"/>
    <w:p>
      <w:pPr>
        <w:pStyle w:val="BodyText"/>
      </w:pPr>
      <w:r>
        <w:t xml:space="preserve">Rapport produit par script à partir des faits du moteur ; aucun nombre n'est calculé par un modèle.</w:t>
      </w:r>
    </w:p>
    <w:bookmarkEnd w:id="8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2026-10-23T20:48:23Z</dcterms:created>
  <dcterms:modified xsi:type="dcterms:W3CDTF">2026-10-23T20:48:23Z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