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val="false"/>
          <w:bCs w:val="false"/>
          <w:i w:val="false"/>
          <w:iCs w:val="false"/>
          <w:color w:val="5F5F5F"/>
          <w:sz w:val="16"/>
          <w:szCs w:val="16"/>
        </w:rPr>
        <w:t xml:space="preserve">AFRIVATE TECHNOLOGIES LTD · RC: 9210092</w:t>
      </w:r>
    </w:p>
    <w:p>
      <w:pPr>
        <w:spacing w:after="40" w:before="0"/>
        <w:jc w:val="center"/>
      </w:pPr>
      <w:r>
        <w:rPr>
          <w:rFonts w:ascii="Calibri" w:cs="Calibri" w:eastAsia="Calibri" w:hAnsi="Calibri"/>
          <w:b/>
          <w:bCs/>
          <w:i w:val="false"/>
          <w:iCs w:val="false"/>
          <w:color w:val="8D4087"/>
          <w:sz w:val="28"/>
          <w:szCs w:val="28"/>
        </w:rPr>
        <w:t xml:space="preserve">PERFORMANCE APPRAISAL FORM</w:t>
      </w:r>
    </w:p>
    <w:p>
      <w:pPr>
        <w:spacing w:after="160" w:before="0"/>
        <w:jc w:val="center"/>
      </w:pPr>
      <w:r>
        <w:rPr>
          <w:rFonts w:ascii="Calibri" w:cs="Calibri" w:eastAsia="Calibri" w:hAnsi="Calibri"/>
          <w:b w:val="false"/>
          <w:bCs w:val="false"/>
          <w:i w:val="false"/>
          <w:iCs w:val="false"/>
          <w:color w:val="5F5F5F"/>
          <w:sz w:val="20"/>
          <w:szCs w:val="20"/>
        </w:rPr>
        <w:t xml:space="preserve">January – June 2026  ·  Mid-Year Review</w:t>
      </w:r>
    </w:p>
    <w:p>
      <w:pPr>
        <w:spacing w:after="160" w:before="0"/>
      </w:pPr>
      <w:r>
        <w:rPr>
          <w:rFonts w:ascii="Calibri" w:cs="Calibri" w:eastAsia="Calibri" w:hAnsi="Calibri"/>
          <w:b w:val="false"/>
          <w:bCs w:val="false"/>
          <w:i w:val="false"/>
          <w:iCs w:val="false"/>
          <w:color w:val="1F1F1F"/>
          <w:sz w:val="18"/>
          <w:szCs w:val="18"/>
        </w:rPr>
        <w:t xml:space="preserve">This evaluation links role expectations to actual performance. Its purpose is professional development—identifying strengths and improvement areas—and to help management assess performance and plan career-development interventions.</w:t>
      </w:r>
    </w:p>
    <w:p>
      <w:pPr>
        <w:spacing w:after="120" w:before="240"/>
      </w:pPr>
      <w:r>
        <w:rPr>
          <w:rFonts w:ascii="Calibri" w:cs="Calibri" w:eastAsia="Calibri" w:hAnsi="Calibri"/>
          <w:b/>
          <w:bCs/>
          <w:i w:val="false"/>
          <w:iCs w:val="false"/>
          <w:color w:val="8D4087"/>
          <w:sz w:val="22"/>
          <w:szCs w:val="22"/>
        </w:rPr>
        <w:t xml:space="preserve">1. Employee details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Employee name</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Supervisor / manager</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Job title / grade</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Time in role</w:t>
            </w:r>
          </w:p>
        </w:tc>
      </w:tr>
      <w:tr>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Appraisal period</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Date of review</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Department / team</w:t>
            </w:r>
          </w:p>
        </w:tc>
        <w:tc>
          <w:tcPr>
            <w:tcW w:type="dxa" w:w="25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Engagement type</w:t>
            </w:r>
          </w:p>
        </w:tc>
      </w:tr>
      <w:tr>
        <w:tc>
          <w:tcPr>
            <w:tcW w:type="dxa" w:w="252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5F5F5F"/>
                <w:sz w:val="18"/>
                <w:szCs w:val="18"/>
              </w:rPr>
              <w:t xml:space="preserve">Jan – Jun 2026</w:t>
            </w:r>
          </w:p>
        </w:tc>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252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252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iCs/>
                <w:color w:val="5F5F5F"/>
                <w:sz w:val="16"/>
                <w:szCs w:val="16"/>
              </w:rPr>
              <w:t xml:space="preserve">Employee / Volunteer / Contractor</w:t>
            </w:r>
          </w:p>
        </w:tc>
      </w:tr>
    </w:tbl>
    <w:p>
      <w:pPr>
        <w:spacing w:after="120" w:before="240"/>
      </w:pPr>
      <w:r>
        <w:rPr>
          <w:rFonts w:ascii="Calibri" w:cs="Calibri" w:eastAsia="Calibri" w:hAnsi="Calibri"/>
          <w:b/>
          <w:bCs/>
          <w:i w:val="false"/>
          <w:iCs w:val="false"/>
          <w:color w:val="8D4087"/>
          <w:sz w:val="22"/>
          <w:szCs w:val="22"/>
        </w:rPr>
        <w:t xml:space="preserve">2. Rating key</w:t>
      </w:r>
    </w:p>
    <w:p>
      <w:pPr>
        <w:spacing w:after="100" w:before="0"/>
      </w:pPr>
      <w:r>
        <w:rPr>
          <w:rFonts w:ascii="Calibri" w:cs="Calibri" w:eastAsia="Calibri" w:hAnsi="Calibri"/>
          <w:b w:val="false"/>
          <w:bCs w:val="false"/>
          <w:i w:val="false"/>
          <w:iCs w:val="false"/>
          <w:color w:val="5F5F5F"/>
          <w:sz w:val="17"/>
          <w:szCs w:val="17"/>
        </w:rPr>
        <w:t xml:space="preserve">Use one overall category after calculating the weighted score (Part A + Part B =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6480"/>
      </w:tblGrid>
      <w:tr>
        <w:tc>
          <w:tcPr>
            <w:tcW w:type="dxa" w:w="220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8"/>
                <w:szCs w:val="18"/>
              </w:rPr>
              <w:t xml:space="preserve">Category</w:t>
            </w:r>
          </w:p>
        </w:tc>
        <w:tc>
          <w:tcPr>
            <w:tcW w:type="dxa" w:w="140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Score (%)</w:t>
            </w:r>
          </w:p>
        </w:tc>
        <w:tc>
          <w:tcPr>
            <w:tcW w:type="dxa" w:w="648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Meaning</w:t>
            </w:r>
          </w:p>
        </w:tc>
      </w:tr>
      <w:tr>
        <w:tc>
          <w:tcPr>
            <w:tcW w:type="dxa" w:w="220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Exceeds expectations</w:t>
            </w:r>
          </w:p>
        </w:tc>
        <w:tc>
          <w:tcPr>
            <w:tcW w:type="dxa" w:w="140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75–100</w:t>
            </w:r>
          </w:p>
        </w:tc>
        <w:tc>
          <w:tcPr>
            <w:tcW w:type="dxa" w:w="648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6"/>
                <w:szCs w:val="16"/>
              </w:rPr>
              <w:t xml:space="preserve">Performance regularly surpasses established standards. Results and impact go beyond a satisfactory level.</w:t>
            </w:r>
          </w:p>
        </w:tc>
      </w:tr>
      <w:tr>
        <w:tc>
          <w:tcPr>
            <w:tcW w:type="dxa" w:w="220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Meets expectations</w:t>
            </w:r>
          </w:p>
        </w:tc>
        <w:tc>
          <w:tcPr>
            <w:tcW w:type="dxa" w:w="140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60–74</w:t>
            </w:r>
          </w:p>
        </w:tc>
        <w:tc>
          <w:tcPr>
            <w:tcW w:type="dxa" w:w="648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6"/>
                <w:szCs w:val="16"/>
              </w:rPr>
              <w:t xml:space="preserve">Competent and successful in the role. Produces intended results and satisfies established standards.</w:t>
            </w:r>
          </w:p>
        </w:tc>
      </w:tr>
      <w:tr>
        <w:tc>
          <w:tcPr>
            <w:tcW w:type="dxa" w:w="220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Needs PIP</w:t>
            </w:r>
          </w:p>
        </w:tc>
        <w:tc>
          <w:tcPr>
            <w:tcW w:type="dxa" w:w="140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51–59</w:t>
            </w:r>
          </w:p>
        </w:tc>
        <w:tc>
          <w:tcPr>
            <w:tcW w:type="dxa" w:w="648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6"/>
                <w:szCs w:val="16"/>
              </w:rPr>
              <w:t xml:space="preserve">Performance requires a formal Performance Improvement Plan (typically three months). Strong improvement may support retention; escalate per SWP if not.</w:t>
            </w:r>
          </w:p>
        </w:tc>
      </w:tr>
      <w:tr>
        <w:tc>
          <w:tcPr>
            <w:tcW w:type="dxa" w:w="220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Below expectations</w:t>
            </w:r>
          </w:p>
        </w:tc>
        <w:tc>
          <w:tcPr>
            <w:tcW w:type="dxa" w:w="140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26–50</w:t>
            </w:r>
          </w:p>
        </w:tc>
        <w:tc>
          <w:tcPr>
            <w:tcW w:type="dxa" w:w="648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6"/>
                <w:szCs w:val="16"/>
              </w:rPr>
              <w:t xml:space="preserve">Standards not met due to effort and/or skill gaps. Immediate corrective action is required under progressive discipline.</w:t>
            </w:r>
          </w:p>
        </w:tc>
      </w:tr>
      <w:tr>
        <w:tc>
          <w:tcPr>
            <w:tcW w:type="dxa" w:w="220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Termination band</w:t>
            </w:r>
          </w:p>
        </w:tc>
        <w:tc>
          <w:tcPr>
            <w:tcW w:type="dxa" w:w="140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0–25</w:t>
            </w:r>
          </w:p>
        </w:tc>
        <w:tc>
          <w:tcPr>
            <w:tcW w:type="dxa" w:w="648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6"/>
                <w:szCs w:val="16"/>
              </w:rPr>
              <w:t xml:space="preserve">Unacceptable performance. Subject to fair review and applicable policy; termination may be considered.</w:t>
            </w:r>
          </w:p>
        </w:tc>
      </w:tr>
    </w:tbl>
    <w:p>
      <w:pPr>
        <w:spacing w:after="120" w:before="240"/>
      </w:pPr>
      <w:r>
        <w:rPr>
          <w:rFonts w:ascii="Calibri" w:cs="Calibri" w:eastAsia="Calibri" w:hAnsi="Calibri"/>
          <w:b/>
          <w:bCs/>
          <w:i w:val="false"/>
          <w:iCs w:val="false"/>
          <w:color w:val="8D4087"/>
          <w:sz w:val="22"/>
          <w:szCs w:val="22"/>
        </w:rPr>
        <w:t xml:space="preserve">3. Score weighting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c>
          <w:tcPr>
            <w:tcW w:type="dxa" w:w="672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8"/>
                <w:szCs w:val="18"/>
              </w:rPr>
              <w:t xml:space="preserve">Performance area</w:t>
            </w:r>
          </w:p>
        </w:tc>
        <w:tc>
          <w:tcPr>
            <w:tcW w:type="dxa" w:w="33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Weight</w:t>
            </w:r>
          </w:p>
        </w:tc>
      </w:tr>
      <w:tr>
        <w:tc>
          <w:tcPr>
            <w:tcW w:type="dxa" w:w="672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Part A — Core competencies (role KPIs / deliverables)</w:t>
            </w:r>
          </w:p>
        </w:tc>
        <w:tc>
          <w:tcPr>
            <w:tcW w:type="dxa" w:w="33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8"/>
                <w:szCs w:val="18"/>
              </w:rPr>
              <w:t xml:space="preserve">60%</w:t>
            </w:r>
          </w:p>
        </w:tc>
      </w:tr>
      <w:tr>
        <w:tc>
          <w:tcPr>
            <w:tcW w:type="dxa" w:w="672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Part B — Behavioural competencies</w:t>
            </w:r>
          </w:p>
        </w:tc>
        <w:tc>
          <w:tcPr>
            <w:tcW w:type="dxa" w:w="33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8"/>
                <w:szCs w:val="18"/>
              </w:rPr>
              <w:t xml:space="preserve">40%</w:t>
            </w:r>
          </w:p>
        </w:tc>
      </w:tr>
      <w:tr>
        <w:tc>
          <w:tcPr>
            <w:tcW w:type="dxa" w:w="672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bCs/>
                <w:i w:val="false"/>
                <w:iCs w:val="false"/>
                <w:color w:val="1F1F1F"/>
                <w:sz w:val="17"/>
                <w:szCs w:val="17"/>
              </w:rPr>
              <w:t xml:space="preserve">Cumulative total</w:t>
            </w:r>
          </w:p>
        </w:tc>
        <w:tc>
          <w:tcPr>
            <w:tcW w:type="dxa" w:w="33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8"/>
                <w:szCs w:val="18"/>
              </w:rPr>
              <w:t xml:space="preserve">100%</w:t>
            </w:r>
          </w:p>
        </w:tc>
      </w:tr>
    </w:tbl>
    <w:p>
      <w:pPr>
        <w:spacing w:after="80" w:before="80"/>
      </w:pPr>
      <w:r>
        <w:rPr>
          <w:rFonts w:ascii="Calibri" w:cs="Calibri" w:eastAsia="Calibri" w:hAnsi="Calibri"/>
          <w:b w:val="false"/>
          <w:bCs w:val="false"/>
          <w:i/>
          <w:iCs/>
          <w:color w:val="5F5F5F"/>
          <w:sz w:val="16"/>
          <w:szCs w:val="16"/>
        </w:rPr>
        <w:t xml:space="preserve">Aligned with AfriVate SWP appraisal structure: 60% deliverables &amp; output · 40% professional / soft skills.</w:t>
      </w:r>
    </w:p>
    <w:p>
      <w:pPr>
        <w:spacing w:after="120" w:before="240"/>
      </w:pPr>
      <w:r>
        <w:rPr>
          <w:rFonts w:ascii="Calibri" w:cs="Calibri" w:eastAsia="Calibri" w:hAnsi="Calibri"/>
          <w:b/>
          <w:bCs/>
          <w:i w:val="false"/>
          <w:iCs w:val="false"/>
          <w:color w:val="8D4087"/>
          <w:sz w:val="22"/>
          <w:szCs w:val="22"/>
        </w:rPr>
        <w:t xml:space="preserve">4. Part A — Core competencies (60%)</w:t>
      </w:r>
    </w:p>
    <w:p>
      <w:pPr>
        <w:spacing w:after="100" w:before="0"/>
      </w:pPr>
      <w:r>
        <w:rPr>
          <w:rFonts w:ascii="Calibri" w:cs="Calibri" w:eastAsia="Calibri" w:hAnsi="Calibri"/>
          <w:b w:val="false"/>
          <w:bCs w:val="false"/>
          <w:i w:val="false"/>
          <w:iCs w:val="false"/>
          <w:color w:val="5F5F5F"/>
          <w:sz w:val="17"/>
          <w:szCs w:val="17"/>
        </w:rPr>
        <w:t xml:space="preserve">List role-specific KPIs in the Description column. Enter the rating as a score within each row’s weight (e.g. for a 10% row, score 0–10). Supervisor confirms the rating.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1260"/>
        <w:gridCol w:w="1890"/>
        <w:gridCol w:w="1890"/>
      </w:tblGrid>
      <w:tr>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Description (KPI / deliverable)</w:t>
            </w:r>
          </w:p>
        </w:tc>
        <w:tc>
          <w:tcPr>
            <w:tcW w:type="dxa" w:w="12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Weight</w:t>
            </w:r>
          </w:p>
        </w:tc>
        <w:tc>
          <w:tcPr>
            <w:tcW w:type="dxa" w:w="189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Rating</w:t>
            </w:r>
          </w:p>
        </w:tc>
        <w:tc>
          <w:tcPr>
            <w:tcW w:type="dxa" w:w="189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Supervisor</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10%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10%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10%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10%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10%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5%</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5%</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7"/>
                <w:szCs w:val="17"/>
              </w:rPr>
              <w:t xml:space="preserve">Part A total</w:t>
            </w:r>
          </w:p>
        </w:tc>
        <w:tc>
          <w:tcPr>
            <w:tcW w:type="dxa" w:w="12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7"/>
                <w:szCs w:val="17"/>
              </w:rPr>
              <w:t xml:space="preserve">60%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bl>
    <w:p>
      <w:pPr>
        <w:spacing w:after="120" w:before="240"/>
      </w:pPr>
      <w:r>
        <w:rPr>
          <w:rFonts w:ascii="Calibri" w:cs="Calibri" w:eastAsia="Calibri" w:hAnsi="Calibri"/>
          <w:b/>
          <w:bCs/>
          <w:i w:val="false"/>
          <w:iCs w:val="false"/>
          <w:color w:val="8D4087"/>
          <w:sz w:val="22"/>
          <w:szCs w:val="22"/>
        </w:rPr>
        <w:t xml:space="preserve">5. Part B — Behavioural competencies (40%)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1260"/>
        <w:gridCol w:w="1890"/>
        <w:gridCol w:w="1890"/>
      </w:tblGrid>
      <w:tr>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6"/>
                <w:szCs w:val="16"/>
              </w:rPr>
              <w:t xml:space="preserve">Description</w:t>
            </w:r>
          </w:p>
        </w:tc>
        <w:tc>
          <w:tcPr>
            <w:tcW w:type="dxa" w:w="12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Weight</w:t>
            </w:r>
          </w:p>
        </w:tc>
        <w:tc>
          <w:tcPr>
            <w:tcW w:type="dxa" w:w="189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Rating</w:t>
            </w:r>
          </w:p>
        </w:tc>
        <w:tc>
          <w:tcPr>
            <w:tcW w:type="dxa" w:w="189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6"/>
                <w:szCs w:val="16"/>
              </w:rPr>
              <w:t xml:space="preserve">Supervisor</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Team spirit</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Time management</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Commitment to problem-solving</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Attitude to work</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Professionalism</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5%</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vAlign w:val="center"/>
          </w:tcPr>
          <w:p>
            <w:pPr>
              <w:spacing w:after="40" w:before="40"/>
              <w:jc w:val="left"/>
            </w:pPr>
            <w:r>
              <w:rPr>
                <w:rFonts w:ascii="Calibri" w:cs="Calibri" w:eastAsia="Calibri" w:hAnsi="Calibri"/>
                <w:b w:val="false"/>
                <w:bCs w:val="false"/>
                <w:i w:val="false"/>
                <w:iCs w:val="false"/>
                <w:color w:val="1F1F1F"/>
                <w:sz w:val="17"/>
                <w:szCs w:val="17"/>
              </w:rPr>
              <w:t xml:space="preserve">Attitude to line supervisors / managers or direct reports</w:t>
            </w:r>
          </w:p>
        </w:tc>
        <w:tc>
          <w:tcPr>
            <w:tcW w:type="dxa" w:w="1260"/>
            <w:tcBorders>
              <w:top w:val="single" w:color="EBDCEB" w:sz="6"/>
              <w:left w:val="single" w:color="EBDCEB" w:sz="6"/>
              <w:bottom w:val="single" w:color="EBDCEB" w:sz="6"/>
              <w:right w:val="single" w:color="EBDCEB" w:sz="6"/>
            </w:tcBorders>
            <w:vAlign w:val="center"/>
          </w:tcPr>
          <w:p>
            <w:pPr>
              <w:spacing w:after="40" w:before="40"/>
              <w:jc w:val="center"/>
            </w:pPr>
            <w:r>
              <w:rPr>
                <w:rFonts w:ascii="Calibri" w:cs="Calibri" w:eastAsia="Calibri" w:hAnsi="Calibri"/>
                <w:b/>
                <w:bCs/>
                <w:i w:val="false"/>
                <w:iCs w:val="false"/>
                <w:color w:val="1F1F1F"/>
                <w:sz w:val="17"/>
                <w:szCs w:val="17"/>
              </w:rPr>
              <w:t xml:space="preserve">7%</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r>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7"/>
                <w:szCs w:val="17"/>
              </w:rPr>
              <w:t xml:space="preserve">Part B total</w:t>
            </w:r>
          </w:p>
        </w:tc>
        <w:tc>
          <w:tcPr>
            <w:tcW w:type="dxa" w:w="12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7"/>
                <w:szCs w:val="17"/>
              </w:rPr>
              <w:t xml:space="preserve">40%</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c>
          <w:tcPr>
            <w:tcW w:type="dxa" w:w="189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tc>
      </w:tr>
    </w:tbl>
    <w:p>
      <w:pPr>
        <w:spacing w:after="120" w:before="240"/>
      </w:pPr>
      <w:r>
        <w:rPr>
          <w:rFonts w:ascii="Calibri" w:cs="Calibri" w:eastAsia="Calibri" w:hAnsi="Calibri"/>
          <w:b/>
          <w:bCs/>
          <w:i w:val="false"/>
          <w:iCs w:val="false"/>
          <w:color w:val="8D4087"/>
          <w:sz w:val="22"/>
          <w:szCs w:val="22"/>
        </w:rPr>
        <w:t xml:space="preserve">6. Summary of scores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Part A score (/60)</w:t>
            </w:r>
          </w:p>
        </w:tc>
        <w:tc>
          <w:tcPr>
            <w:tcW w:type="dxa" w:w="33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Part B score (/40)</w:t>
            </w:r>
          </w:p>
        </w:tc>
        <w:tc>
          <w:tcPr>
            <w:tcW w:type="dxa" w:w="3360"/>
            <w:tcBorders>
              <w:top w:val="single" w:color="EBDCEB" w:sz="6"/>
              <w:left w:val="single" w:color="EBDCEB" w:sz="6"/>
              <w:bottom w:val="single" w:color="EBDCEB" w:sz="6"/>
              <w:right w:val="single" w:color="EBDCEB" w:sz="6"/>
            </w:tcBorders>
            <w:shd w:fill="F8F3F8" w:val="clear"/>
            <w:vAlign w:val="center"/>
          </w:tcPr>
          <w:p>
            <w:pPr>
              <w:spacing w:after="40" w:before="40"/>
              <w:jc w:val="center"/>
            </w:pPr>
            <w:r>
              <w:rPr>
                <w:rFonts w:ascii="Calibri" w:cs="Calibri" w:eastAsia="Calibri" w:hAnsi="Calibri"/>
                <w:b/>
                <w:bCs/>
                <w:i w:val="false"/>
                <w:iCs w:val="false"/>
                <w:color w:val="8D4087"/>
                <w:sz w:val="18"/>
                <w:szCs w:val="18"/>
              </w:rPr>
              <w:t xml:space="preserve">Overall rating (/100)</w:t>
            </w:r>
          </w:p>
        </w:tc>
      </w:tr>
      <w:tr>
        <w:tc>
          <w:tcPr>
            <w:tcW w:type="dxa" w:w="336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336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c>
          <w:tcPr>
            <w:tcW w:type="dxa" w:w="336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r>
        <w:tc>
          <w:tcPr>
            <w:tcW w:type="dxa" w:w="6720"/>
            <w:gridSpan w:val="2"/>
            <w:tcBorders>
              <w:top w:val="single" w:color="EBDCEB" w:sz="6"/>
              <w:left w:val="single" w:color="EBDCEB" w:sz="6"/>
              <w:bottom w:val="single" w:color="EBDCEB" w:sz="6"/>
              <w:right w:val="single" w:color="EBDCEB" w:sz="6"/>
            </w:tcBorders>
            <w:shd w:fill="F8F3F8" w:val="clear"/>
            <w:vAlign w:val="center"/>
          </w:tcPr>
          <w:p>
            <w:pPr>
              <w:spacing w:after="40" w:before="40"/>
            </w:pPr>
            <w:r>
              <w:rPr>
                <w:rFonts w:ascii="Calibri" w:cs="Calibri" w:eastAsia="Calibri" w:hAnsi="Calibri"/>
                <w:b/>
                <w:bCs/>
                <w:color w:val="8D4087"/>
                <w:sz w:val="17"/>
                <w:szCs w:val="17"/>
              </w:rPr>
              <w:t xml:space="preserve">Score category (from rating key)</w:t>
            </w:r>
          </w:p>
        </w:tc>
        <w:tc>
          <w:tcPr>
            <w:tcW w:type="dxa" w:w="336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80" w:before="120"/>
      </w:pPr>
      <w:r>
        <w:rPr>
          <w:rFonts w:ascii="Calibri" w:cs="Calibri" w:eastAsia="Calibri" w:hAnsi="Calibri"/>
          <w:b w:val="false"/>
          <w:bCs w:val="false"/>
          <w:i w:val="false"/>
          <w:iCs w:val="false"/>
          <w:color w:val="1F1F1F"/>
          <w:sz w:val="17"/>
          <w:szCs w:val="17"/>
        </w:rPr>
        <w:t xml:space="preserve">Minimum performance threshold for this cycle: ________ %  (insert the approved organisational threshold before use).</w:t>
      </w:r>
    </w:p>
    <w:p>
      <w:pPr>
        <w:spacing w:after="120" w:before="240"/>
      </w:pPr>
      <w:r>
        <w:rPr>
          <w:rFonts w:ascii="Calibri" w:cs="Calibri" w:eastAsia="Calibri" w:hAnsi="Calibri"/>
          <w:b/>
          <w:bCs/>
          <w:i w:val="false"/>
          <w:iCs w:val="false"/>
          <w:color w:val="8D4087"/>
          <w:sz w:val="22"/>
          <w:szCs w:val="22"/>
        </w:rPr>
        <w:t xml:space="preserve">7. Comments &amp; development</w:t>
      </w:r>
    </w:p>
    <w:p>
      <w:pPr>
        <w:spacing w:after="60" w:before="0"/>
      </w:pPr>
      <w:r>
        <w:rPr>
          <w:rFonts w:ascii="Calibri" w:cs="Calibri" w:eastAsia="Calibri" w:hAnsi="Calibri"/>
          <w:b/>
          <w:bCs/>
          <w:i w:val="false"/>
          <w:iCs w:val="false"/>
          <w:color w:val="1F1F1F"/>
          <w:sz w:val="18"/>
          <w:szCs w:val="18"/>
        </w:rPr>
        <w:t xml:space="preserve">Supervisor / line manager — comments &amp; recommendation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60" w:before="160"/>
      </w:pPr>
      <w:r>
        <w:rPr>
          <w:rFonts w:ascii="Calibri" w:cs="Calibri" w:eastAsia="Calibri" w:hAnsi="Calibri"/>
          <w:b/>
          <w:bCs/>
          <w:i w:val="false"/>
          <w:iCs w:val="false"/>
          <w:color w:val="1F1F1F"/>
          <w:sz w:val="18"/>
          <w:szCs w:val="18"/>
        </w:rPr>
        <w:t xml:space="preserve">Appraisee comment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60" w:before="160"/>
      </w:pPr>
      <w:r>
        <w:rPr>
          <w:rFonts w:ascii="Calibri" w:cs="Calibri" w:eastAsia="Calibri" w:hAnsi="Calibri"/>
          <w:b/>
          <w:bCs/>
          <w:i w:val="false"/>
          <w:iCs w:val="false"/>
          <w:color w:val="1F1F1F"/>
          <w:sz w:val="18"/>
          <w:szCs w:val="18"/>
        </w:rPr>
        <w:t xml:space="preserve">Senior manager comment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60" w:before="160"/>
      </w:pPr>
      <w:r>
        <w:rPr>
          <w:rFonts w:ascii="Calibri" w:cs="Calibri" w:eastAsia="Calibri" w:hAnsi="Calibri"/>
          <w:b/>
          <w:bCs/>
          <w:i w:val="false"/>
          <w:iCs w:val="false"/>
          <w:color w:val="1F1F1F"/>
          <w:sz w:val="18"/>
          <w:szCs w:val="18"/>
        </w:rPr>
        <w:t xml:space="preserve">What can improve performance? (Beyond training — e.g. attention to detail, timely submissions, escalation habits)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60" w:before="160"/>
      </w:pPr>
      <w:r>
        <w:rPr>
          <w:rFonts w:ascii="Calibri" w:cs="Calibri" w:eastAsia="Calibri" w:hAnsi="Calibri"/>
          <w:b/>
          <w:bCs/>
          <w:i w:val="false"/>
          <w:iCs w:val="false"/>
          <w:color w:val="1F1F1F"/>
          <w:sz w:val="18"/>
          <w:szCs w:val="18"/>
        </w:rPr>
        <w:t xml:space="preserve">Training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60" w:before="160"/>
      </w:pPr>
      <w:r>
        <w:rPr>
          <w:rFonts w:ascii="Calibri" w:cs="Calibri" w:eastAsia="Calibri" w:hAnsi="Calibri"/>
          <w:b/>
          <w:bCs/>
          <w:i w:val="false"/>
          <w:iCs w:val="false"/>
          <w:color w:val="1F1F1F"/>
          <w:sz w:val="18"/>
          <w:szCs w:val="18"/>
        </w:rPr>
        <w:t xml:space="preserve">People &amp; Culture (HR) comment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tcPr>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p>
            <w:pPr>
              <w:spacing w:after="120" w:before="120"/>
            </w:pPr>
            <w:r>
              <w:rPr>
                <w:rFonts w:ascii="Calibri" w:cs="Calibri" w:eastAsia="Calibri" w:hAnsi="Calibri"/>
                <w:sz w:val="18"/>
                <w:szCs w:val="18"/>
              </w:rPr>
              <w:t xml:space="preserve"> </w:t>
            </w:r>
          </w:p>
        </w:tc>
      </w:tr>
    </w:tbl>
    <w:p>
      <w:pPr>
        <w:spacing w:after="120" w:before="240"/>
      </w:pPr>
      <w:r>
        <w:rPr>
          <w:rFonts w:ascii="Calibri" w:cs="Calibri" w:eastAsia="Calibri" w:hAnsi="Calibri"/>
          <w:b/>
          <w:bCs/>
          <w:i w:val="false"/>
          <w:iCs w:val="false"/>
          <w:color w:val="8D4087"/>
          <w:sz w:val="22"/>
          <w:szCs w:val="22"/>
        </w:rPr>
        <w:t xml:space="preserve">8. Acknowledgement</w:t>
      </w:r>
    </w:p>
    <w:p>
      <w:pPr>
        <w:spacing w:after="140" w:before="0"/>
      </w:pPr>
      <w:r>
        <w:rPr>
          <w:rFonts w:ascii="Calibri" w:cs="Calibri" w:eastAsia="Calibri" w:hAnsi="Calibri"/>
          <w:b w:val="false"/>
          <w:bCs w:val="false"/>
          <w:i w:val="false"/>
          <w:iCs w:val="false"/>
          <w:color w:val="5F5F5F"/>
          <w:sz w:val="17"/>
          <w:szCs w:val="17"/>
        </w:rPr>
        <w:t xml:space="preserve">By signing, the parties confirm this appraisal was discussed. Record the outcome in the AfriVate Portal where the appraisal workflow is available. Slack supports communication only and does not replace the Portal record.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8"/>
                <w:szCs w:val="18"/>
              </w:rPr>
              <w:t xml:space="preserve">Employee</w:t>
            </w:r>
          </w:p>
        </w:tc>
        <w:tc>
          <w:tcPr>
            <w:tcW w:type="dxa" w:w="5040"/>
            <w:tcBorders>
              <w:top w:val="single" w:color="EBDCEB" w:sz="6"/>
              <w:left w:val="single" w:color="EBDCEB" w:sz="6"/>
              <w:bottom w:val="single" w:color="EBDCEB" w:sz="6"/>
              <w:right w:val="single" w:color="EBDCEB" w:sz="6"/>
            </w:tcBorders>
            <w:shd w:fill="F8F3F8" w:val="clear"/>
            <w:vAlign w:val="center"/>
          </w:tcPr>
          <w:p>
            <w:pPr>
              <w:spacing w:after="40" w:before="40"/>
              <w:jc w:val="left"/>
            </w:pPr>
            <w:r>
              <w:rPr>
                <w:rFonts w:ascii="Calibri" w:cs="Calibri" w:eastAsia="Calibri" w:hAnsi="Calibri"/>
                <w:b/>
                <w:bCs/>
                <w:i w:val="false"/>
                <w:iCs w:val="false"/>
                <w:color w:val="8D4087"/>
                <w:sz w:val="18"/>
                <w:szCs w:val="18"/>
              </w:rPr>
              <w:t xml:space="preserve">Manager / line supervisor / HOD</w:t>
            </w:r>
          </w:p>
        </w:tc>
      </w:tr>
      <w:tr>
        <w:tc>
          <w:tcPr>
            <w:tcW w:type="dxa" w:w="5040"/>
            <w:tcBorders>
              <w:top w:val="single" w:color="EBDCEB" w:sz="6"/>
              <w:left w:val="single" w:color="EBDCEB" w:sz="6"/>
              <w:bottom w:val="single" w:color="EBDCEB" w:sz="6"/>
              <w:right w:val="single" w:color="EBDCEB" w:sz="6"/>
            </w:tcBorders>
            <w:vAlign w:val="center"/>
          </w:tcPr>
          <w:p>
            <w:pPr>
              <w:spacing w:after="20" w:before="40"/>
              <w:jc w:val="left"/>
            </w:pPr>
            <w:r>
              <w:rPr>
                <w:rFonts w:ascii="Calibri" w:cs="Calibri" w:eastAsia="Calibri" w:hAnsi="Calibri"/>
                <w:b w:val="false"/>
                <w:bCs w:val="false"/>
                <w:i w:val="false"/>
                <w:iCs w:val="false"/>
                <w:color w:val="1F1F1F"/>
                <w:sz w:val="17"/>
                <w:szCs w:val="17"/>
              </w:rPr>
              <w:t xml:space="preserve">Signature: _______________________</w:t>
            </w:r>
          </w:p>
          <w:p>
            <w:pPr>
              <w:spacing w:after="40" w:before="40"/>
              <w:jc w:val="left"/>
            </w:pPr>
            <w:r>
              <w:rPr>
                <w:rFonts w:ascii="Calibri" w:cs="Calibri" w:eastAsia="Calibri" w:hAnsi="Calibri"/>
                <w:b w:val="false"/>
                <w:bCs w:val="false"/>
                <w:i w:val="false"/>
                <w:iCs w:val="false"/>
                <w:color w:val="1F1F1F"/>
                <w:sz w:val="17"/>
                <w:szCs w:val="17"/>
              </w:rPr>
              <w:t xml:space="preserve">Date: ___________________________</w:t>
            </w:r>
          </w:p>
        </w:tc>
        <w:tc>
          <w:tcPr>
            <w:tcW w:type="dxa" w:w="5040"/>
            <w:tcBorders>
              <w:top w:val="single" w:color="EBDCEB" w:sz="6"/>
              <w:left w:val="single" w:color="EBDCEB" w:sz="6"/>
              <w:bottom w:val="single" w:color="EBDCEB" w:sz="6"/>
              <w:right w:val="single" w:color="EBDCEB" w:sz="6"/>
            </w:tcBorders>
            <w:vAlign w:val="center"/>
          </w:tcPr>
          <w:p>
            <w:pPr>
              <w:spacing w:after="20" w:before="40"/>
              <w:jc w:val="left"/>
            </w:pPr>
            <w:r>
              <w:rPr>
                <w:rFonts w:ascii="Calibri" w:cs="Calibri" w:eastAsia="Calibri" w:hAnsi="Calibri"/>
                <w:b w:val="false"/>
                <w:bCs w:val="false"/>
                <w:i w:val="false"/>
                <w:iCs w:val="false"/>
                <w:color w:val="1F1F1F"/>
                <w:sz w:val="17"/>
                <w:szCs w:val="17"/>
              </w:rPr>
              <w:t xml:space="preserve">Signature: _______________________</w:t>
            </w:r>
          </w:p>
          <w:p>
            <w:pPr>
              <w:spacing w:after="40" w:before="40"/>
              <w:jc w:val="left"/>
            </w:pPr>
            <w:r>
              <w:rPr>
                <w:rFonts w:ascii="Calibri" w:cs="Calibri" w:eastAsia="Calibri" w:hAnsi="Calibri"/>
                <w:b w:val="false"/>
                <w:bCs w:val="false"/>
                <w:i w:val="false"/>
                <w:iCs w:val="false"/>
                <w:color w:val="1F1F1F"/>
                <w:sz w:val="17"/>
                <w:szCs w:val="17"/>
              </w:rPr>
              <w:t xml:space="preserve">Date: ___________________________</w:t>
            </w:r>
          </w:p>
        </w:tc>
      </w:tr>
    </w:tbl>
    <w:p>
      <w:pPr>
        <w:spacing w:after="160" w:before="0"/>
      </w:pPr>
      <w:r>
        <w:rPr>
          <w:rFonts w:ascii="Calibri" w:cs="Calibri" w:eastAsia="Calibri" w:hAnsi="Calibri"/>
          <w:b w:val="false"/>
          <w:bCs w:val="false"/>
          <w:i w:val="false"/>
          <w:iCs w:val="false"/>
          <w:color w:val="1F1F1F"/>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BDCEB" w:sz="6"/>
              <w:left w:val="single" w:color="EBDCEB" w:sz="6"/>
              <w:bottom w:val="single" w:color="EBDCEB" w:sz="6"/>
              <w:right w:val="single" w:color="EBDCEB" w:sz="6"/>
            </w:tcBorders>
            <w:shd w:fill="F8F3F8" w:val="clear"/>
            <w:vAlign w:val="center"/>
          </w:tcPr>
          <w:p>
            <w:pPr>
              <w:spacing w:after="20" w:before="40"/>
              <w:jc w:val="left"/>
            </w:pPr>
            <w:r>
              <w:rPr>
                <w:rFonts w:ascii="Calibri" w:cs="Calibri" w:eastAsia="Calibri" w:hAnsi="Calibri"/>
                <w:b w:val="false"/>
                <w:bCs w:val="false"/>
                <w:i w:val="false"/>
                <w:iCs w:val="false"/>
                <w:color w:val="1F1F1F"/>
                <w:sz w:val="17"/>
                <w:szCs w:val="17"/>
              </w:rPr>
              <w:t xml:space="preserve">HR use only</w:t>
            </w:r>
          </w:p>
          <w:p>
            <w:pPr>
              <w:spacing w:after="20" w:before="40"/>
              <w:jc w:val="left"/>
            </w:pPr>
            <w:r>
              <w:rPr>
                <w:rFonts w:ascii="Calibri" w:cs="Calibri" w:eastAsia="Calibri" w:hAnsi="Calibri"/>
                <w:b w:val="false"/>
                <w:bCs w:val="false"/>
                <w:i w:val="false"/>
                <w:iCs w:val="false"/>
                <w:color w:val="1F1F1F"/>
                <w:sz w:val="17"/>
                <w:szCs w:val="17"/>
              </w:rPr>
              <w:t xml:space="preserve">Recorded in Portal: ☐ Yes   ☐ Pending</w:t>
            </w:r>
          </w:p>
          <w:p>
            <w:pPr>
              <w:spacing w:after="20" w:before="40"/>
              <w:jc w:val="left"/>
            </w:pPr>
            <w:r>
              <w:rPr>
                <w:rFonts w:ascii="Calibri" w:cs="Calibri" w:eastAsia="Calibri" w:hAnsi="Calibri"/>
                <w:b w:val="false"/>
                <w:bCs w:val="false"/>
                <w:i w:val="false"/>
                <w:iCs w:val="false"/>
                <w:color w:val="1F1F1F"/>
                <w:sz w:val="17"/>
                <w:szCs w:val="17"/>
              </w:rPr>
              <w:t xml:space="preserve">Follow-up: ☐ None   ☐ Coaching   ☐ PIP   ☐ Other _______________</w:t>
            </w:r>
          </w:p>
          <w:p>
            <w:pPr>
              <w:spacing w:after="40" w:before="40"/>
              <w:jc w:val="left"/>
            </w:pPr>
            <w:r>
              <w:rPr>
                <w:rFonts w:ascii="Calibri" w:cs="Calibri" w:eastAsia="Calibri" w:hAnsi="Calibri"/>
                <w:b w:val="false"/>
                <w:bCs w:val="false"/>
                <w:i w:val="false"/>
                <w:iCs w:val="false"/>
                <w:color w:val="1F1F1F"/>
                <w:sz w:val="17"/>
                <w:szCs w:val="17"/>
              </w:rPr>
              <w:t xml:space="preserve">HR signature / date: ________________________________</w:t>
            </w:r>
          </w:p>
        </w:tc>
      </w:tr>
    </w:tbl>
    <w:p>
      <w:pPr>
        <w:spacing w:after="80" w:before="200"/>
      </w:pPr>
      <w:r>
        <w:rPr>
          <w:rFonts w:ascii="Calibri" w:cs="Calibri" w:eastAsia="Calibri" w:hAnsi="Calibri"/>
          <w:b w:val="false"/>
          <w:bCs w:val="false"/>
          <w:i w:val="false"/>
          <w:iCs w:val="false"/>
          <w:color w:val="5F5F5F"/>
          <w:sz w:val="15"/>
          <w:szCs w:val="15"/>
        </w:rPr>
        <w:t xml:space="preserve">Document code: AFRI-PAF-01 · Pair with Portal appraisals &amp; SWP progressive discipline. Internal use.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2026-08-02T17:27:15.616Z</dcterms:created>
  <dcterms:modified xsi:type="dcterms:W3CDTF">2026-08-02T17:27:15.617Z</dcterms:modified>
</cp:coreProperties>
</file>

<file path=docProps/custom.xml><?xml version="1.0" encoding="utf-8"?>
<Properties xmlns="http://schemas.openxmlformats.org/officeDocument/2006/custom-properties" xmlns:vt="http://schemas.openxmlformats.org/officeDocument/2006/docPropsVTypes"/>
</file>