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54480" cy="4913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rivate-logo-long-pur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49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Official Document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AfriVate Technologies Ltd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RC: 9210092</w:t>
            </w:r>
          </w:p>
        </w:tc>
      </w:tr>
    </w:tbl>
    <w:p>
      <w:pPr>
        <w:spacing w:before="80" w:after="200"/>
        <w:pBdr>
          <w:bottom w:val="single" w:sz="18" w:space="4" w:color="8D4087"/>
        </w:pBdr>
      </w:pP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caps/>
          <w:color w:val="1F1F1F"/>
          <w:sz w:val="32"/>
        </w:rPr>
        <w:t>End of Engagement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caps w:val="0"/>
          <w:color w:val="5F5F5F"/>
          <w:sz w:val="20"/>
        </w:rPr>
        <w:t>Unpaid Internal Contributor — Immediate effect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To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Endurance Owie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From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Emmanuel Okpiaifo, Human Resources Manager, AfriVate Technologies Ltd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Effective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 — immediate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Date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Document Reference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Issued under AFRI-ICEF-01 · Related: AFRI-SWP · AFRI-PDP-01 · AFRI-EOH-01</w:t>
            </w:r>
          </w:p>
        </w:tc>
      </w:tr>
    </w:tbl>
    <w:p/>
    <w:p>
      <w:pPr>
        <w:spacing w:after="24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0"/>
        </w:rPr>
        <w:t>Status: Portal and Slack access are revoked with immediate effect. This letter does not create employment or any right to pay.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Dear Endurance,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letter serves as formal notice that your engagement as an unpaid Internal Contributor with AfriVate Technologies Ltd, under the AfriVate Internal Contributor Engagement Framework (AFRI-ICEF-01), is being brought to an end with immediate effect.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decision follows your continued unresponsiveness on official AfriVate communication channels — including Slack and the AfriVate Portal — for a period exceeding two (2) weeks. Despite reasonable attempts by your Team Lead and People &amp; Culture to reach you, no update, acknowledgement, or explanation was received within this period. This conduct constitutes a breach of the following AfriVate policies: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AFRI-ICEF-01 (Internal Contributor Engagement Framework), §5 – Contributor Obligations, which requires you to meet commitments, keep Portal records accurate, and acknowledge official Slack messages within four (4) hours on official work days during core hours;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AFRI-SWP (Standard Work Process), §6.1 – the four-hour Slack acknowledgement rule, §7.2 – keeping Portal tasks and Weekly check-ins current, and §12 – Discipline and Corrective Action, under which prolonged, unexplained disengagement is treated as a conduct trigger;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AFRI-PDP-01 (Penalty &amp; Disciplinary Policy), §6.1 – Attendance, Availability, and Leave, which classifies prolonged, unexplained disengagement from Portal and Slack activity during an active Agreed Capacity period as a Category C offense warranting suspension review and, on continuation, end of engagement; and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AFRI-EOH-01 (Team Member Onboarding Handbook), §5 – Communication Standards, and §7 – Performance, KPIs, and Reporting, which require timely Portal updates and Weekly check-ins even where progress is limited.</w:t>
      </w:r>
    </w:p>
    <w:p>
      <w:pPr>
        <w:spacing w:after="160" w:before="12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Please note that your confidentiality obligations and the assignment of intellectual property in any Work Product under AFRI-ICEF-01 §5.4 and §6 survive the end of this engagement. You remain prohibited from disclosing any AfriVate Confidential Information to a third party without prior written authorisation from AfriVate. A breach of this obligation may result in AfriVate taking appropriate legal action against you.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As this engagement was unpaid internal contribution and did not constitute a contract of employment, no severance, notice pay, salary, stipend, or other financial entitlement arises from this end of engagement, consistent with AFRI-ICEF-01's binding status disclaimer.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AfriVate appreciates your prior contributions and wishes you success in your future endeavours.</w:t>
      </w:r>
    </w:p>
    <w:p>
      <w:pPr>
        <w:spacing w:after="360" w:before="20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Yours faithfully,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Emmanuel Okpiaifo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Human Resources Manager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AfriVate Technologies Ltd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For AfriVate Technologies Ltd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People &amp; Culture</w:t>
            </w:r>
          </w:p>
        </w:tc>
      </w:tr>
    </w:tbl>
    <w:p>
      <w:pPr>
        <w:spacing w:after="160" w:before="320" w:line="276" w:lineRule="auto"/>
      </w:pPr>
      <w:r>
        <w:rPr>
          <w:rFonts w:ascii="Calibri" w:hAnsi="Calibri" w:eastAsia="Calibri"/>
          <w:b w:val="0"/>
          <w:caps w:val="0"/>
          <w:color w:val="5F5F5F"/>
          <w:sz w:val="18"/>
        </w:rPr>
        <w:t>Document Reference: Issued under AFRI-ICEF-01 · Related: AFRI-SWP · AFRI-PDP-01 · AFRI-EOH-01 · Confidential people document · AfriVate Technologies Ltd · RC: 9210092</w:t>
      </w:r>
    </w:p>
    <w:sectPr w:rsidR="00FC693F" w:rsidRPr="0006063C" w:rsidSect="00034616">
      <w:footerReference w:type="default" r:id="rId9"/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aps w:val="0"/>
        <w:color w:val="5F5F5F"/>
        <w:sz w:val="16"/>
      </w:rPr>
      <w:t>hr@afrivate.org  ·  Confidential people document          AfriVate Technologies Ltd  ·  RC: 9210092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