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il"/>
          <w:left w:val="nil"/>
          <w:bottom w:val="nil"/>
          <w:right w:val="nil"/>
          <w:insideH w:val="nil"/>
          <w:insideV w:val="nil"/>
        </w:tblBorders>
      </w:tblPr>
      <w:tblGrid>
        <w:gridCol w:w="5100"/>
        <w:gridCol w:w="5100"/>
      </w:tblGrid>
      <w:tr>
        <w:tc>
          <w:tcPr>
            <w:tcW w:type="dxa" w:w="5100"/>
          </w:tcPr>
          <w:p>
            <w:r>
              <w:drawing>
                <wp:inline xmlns:a="http://schemas.openxmlformats.org/drawingml/2006/main" xmlns:pic="http://schemas.openxmlformats.org/drawingml/2006/picture">
                  <wp:extent cx="1554480" cy="491380"/>
                  <wp:docPr id="1" name="Picture 1"/>
                  <wp:cNvGraphicFramePr>
                    <a:graphicFrameLocks noChangeAspect="1"/>
                  </wp:cNvGraphicFramePr>
                  <a:graphic>
                    <a:graphicData uri="http://schemas.openxmlformats.org/drawingml/2006/picture">
                      <pic:pic>
                        <pic:nvPicPr>
                          <pic:cNvPr id="0" name="afrivate-logo-long-purple.png"/>
                          <pic:cNvPicPr/>
                        </pic:nvPicPr>
                        <pic:blipFill>
                          <a:blip r:embed="rId10"/>
                          <a:stretch>
                            <a:fillRect/>
                          </a:stretch>
                        </pic:blipFill>
                        <pic:spPr>
                          <a:xfrm>
                            <a:off x="0" y="0"/>
                            <a:ext cx="1554480" cy="491380"/>
                          </a:xfrm>
                          <a:prstGeom prst="rect"/>
                        </pic:spPr>
                      </pic:pic>
                    </a:graphicData>
                  </a:graphic>
                </wp:inline>
              </w:drawing>
            </w:r>
          </w:p>
        </w:tc>
        <w:tc>
          <w:tcPr>
            <w:tcW w:type="dxa" w:w="5100"/>
          </w:tcPr>
          <w:p>
            <w:pPr>
              <w:spacing w:after="0" w:before="0"/>
              <w:jc w:val="right"/>
            </w:pPr>
            <w:r>
              <w:rPr>
                <w:rFonts w:ascii="Calibri" w:hAnsi="Calibri" w:eastAsia="Calibri"/>
                <w:b w:val="0"/>
                <w:caps w:val="0"/>
                <w:color w:val="5F5F5F"/>
                <w:sz w:val="18"/>
              </w:rPr>
              <w:t>Official Document</w:t>
            </w:r>
          </w:p>
          <w:p>
            <w:pPr>
              <w:spacing w:after="0" w:before="0"/>
              <w:jc w:val="right"/>
            </w:pPr>
            <w:r>
              <w:rPr>
                <w:rFonts w:ascii="Calibri" w:hAnsi="Calibri" w:eastAsia="Calibri"/>
                <w:b w:val="0"/>
                <w:caps w:val="0"/>
                <w:color w:val="5F5F5F"/>
                <w:sz w:val="18"/>
              </w:rPr>
              <w:t>AfriVate Technologies Ltd</w:t>
            </w:r>
          </w:p>
          <w:p>
            <w:pPr>
              <w:spacing w:after="0" w:before="0"/>
              <w:jc w:val="right"/>
            </w:pPr>
            <w:r>
              <w:rPr>
                <w:rFonts w:ascii="Calibri" w:hAnsi="Calibri" w:eastAsia="Calibri"/>
                <w:b w:val="0"/>
                <w:caps w:val="0"/>
                <w:color w:val="5F5F5F"/>
                <w:sz w:val="18"/>
              </w:rPr>
              <w:t>RC: 9210092</w:t>
            </w:r>
          </w:p>
        </w:tc>
      </w:tr>
    </w:tbl>
    <w:p>
      <w:pPr>
        <w:spacing w:before="80" w:after="200"/>
        <w:pBdr>
          <w:bottom w:val="single" w:sz="18" w:space="4" w:color="8D4087"/>
        </w:pBdr>
      </w:pPr>
    </w:p>
    <w:p>
      <w:pPr>
        <w:spacing w:after="40" w:before="0" w:line="276" w:lineRule="auto"/>
        <w:jc w:val="center"/>
      </w:pPr>
      <w:r>
        <w:rPr>
          <w:rFonts w:ascii="Calibri" w:hAnsi="Calibri" w:eastAsia="Calibri"/>
          <w:b/>
          <w:caps/>
          <w:color w:val="1F1F1F"/>
          <w:sz w:val="32"/>
        </w:rPr>
        <w:t>Core Team Engagement and Equity Letter</w:t>
      </w:r>
    </w:p>
    <w:p>
      <w:pPr>
        <w:spacing w:after="240" w:before="0" w:line="276" w:lineRule="auto"/>
        <w:jc w:val="center"/>
      </w:pPr>
      <w:r>
        <w:rPr>
          <w:rFonts w:ascii="Calibri" w:hAnsi="Calibri" w:eastAsia="Calibri"/>
          <w:b w:val="0"/>
          <w:caps w:val="0"/>
          <w:color w:val="5F5F5F"/>
          <w:sz w:val="20"/>
        </w:rPr>
        <w:t>Unpaid Placement with Equity Participation — Content Creator (Brand &amp; Communications)</w:t>
      </w:r>
    </w:p>
    <w:tbl>
      <w:tblPr>
        <w:tblW w:type="auto" w:w="0"/>
        <w:tblLook w:firstColumn="1" w:firstRow="1" w:lastColumn="0" w:lastRow="0" w:noHBand="0" w:noVBand="1" w:val="04A0"/>
        <w:tblBorders>
          <w:top w:val="nil"/>
          <w:left w:val="nil"/>
          <w:bottom w:val="nil"/>
          <w:right w:val="nil"/>
          <w:insideH w:val="nil"/>
          <w:insideV w:val="nil"/>
        </w:tblBorders>
      </w:tblPr>
      <w:tblGrid>
        <w:gridCol w:w="5100"/>
        <w:gridCol w:w="5100"/>
      </w:tblGrid>
      <w:tr>
        <w:tc>
          <w:tcPr>
            <w:tcW w:type="dxa" w:w="5100"/>
            <w:shd w:fill="F8F3F8" w:val="clear"/>
          </w:tcPr>
          <w:p>
            <w:pPr>
              <w:spacing w:after="40" w:before="40"/>
            </w:pPr>
            <w:r>
              <w:rPr>
                <w:rFonts w:ascii="Calibri" w:hAnsi="Calibri" w:eastAsia="Calibri"/>
                <w:b/>
                <w:caps w:val="0"/>
                <w:color w:val="1F1F1F"/>
                <w:sz w:val="20"/>
              </w:rPr>
              <w:t>To</w:t>
            </w:r>
          </w:p>
        </w:tc>
        <w:tc>
          <w:tcPr>
            <w:tcW w:type="dxa" w:w="5100"/>
            <w:shd w:fill="F8F3F8" w:val="clear"/>
          </w:tcPr>
          <w:p>
            <w:pPr>
              <w:spacing w:after="40" w:before="40"/>
            </w:pPr>
            <w:r>
              <w:rPr>
                <w:rFonts w:ascii="Calibri" w:hAnsi="Calibri" w:eastAsia="Calibri"/>
                <w:b w:val="0"/>
                <w:caps w:val="0"/>
                <w:color w:val="5F5F5F"/>
                <w:sz w:val="20"/>
              </w:rPr>
              <w:t>Ubah Peace Ogechi</w:t>
            </w:r>
          </w:p>
        </w:tc>
      </w:tr>
      <w:tr>
        <w:tc>
          <w:tcPr>
            <w:tcW w:type="dxa" w:w="5100"/>
            <w:shd w:fill="F8F3F8" w:val="clear"/>
          </w:tcPr>
          <w:p>
            <w:pPr>
              <w:spacing w:after="40" w:before="40"/>
            </w:pPr>
            <w:r>
              <w:rPr>
                <w:rFonts w:ascii="Calibri" w:hAnsi="Calibri" w:eastAsia="Calibri"/>
                <w:b/>
                <w:caps w:val="0"/>
                <w:color w:val="1F1F1F"/>
                <w:sz w:val="20"/>
              </w:rPr>
              <w:t>From</w:t>
            </w:r>
          </w:p>
        </w:tc>
        <w:tc>
          <w:tcPr>
            <w:tcW w:type="dxa" w:w="5100"/>
            <w:shd w:fill="F8F3F8" w:val="clear"/>
          </w:tcPr>
          <w:p>
            <w:pPr>
              <w:spacing w:after="40" w:before="40"/>
            </w:pPr>
            <w:r>
              <w:rPr>
                <w:rFonts w:ascii="Calibri" w:hAnsi="Calibri" w:eastAsia="Calibri"/>
                <w:b w:val="0"/>
                <w:caps w:val="0"/>
                <w:color w:val="5F5F5F"/>
                <w:sz w:val="20"/>
              </w:rPr>
              <w:t>Joshua Oluwasujibomi Komolafe, Chief Executive Officer, AfriVate Technologies Ltd</w:t>
            </w:r>
          </w:p>
        </w:tc>
      </w:tr>
      <w:tr>
        <w:tc>
          <w:tcPr>
            <w:tcW w:type="dxa" w:w="5100"/>
            <w:shd w:fill="F8F3F8" w:val="clear"/>
          </w:tcPr>
          <w:p>
            <w:pPr>
              <w:spacing w:after="40" w:before="40"/>
            </w:pPr>
            <w:r>
              <w:rPr>
                <w:rFonts w:ascii="Calibri" w:hAnsi="Calibri" w:eastAsia="Calibri"/>
                <w:b/>
                <w:caps w:val="0"/>
                <w:color w:val="1F1F1F"/>
                <w:sz w:val="20"/>
              </w:rPr>
              <w:t>Role</w:t>
            </w:r>
          </w:p>
        </w:tc>
        <w:tc>
          <w:tcPr>
            <w:tcW w:type="dxa" w:w="5100"/>
            <w:shd w:fill="F8F3F8" w:val="clear"/>
          </w:tcPr>
          <w:p>
            <w:pPr>
              <w:spacing w:after="40" w:before="40"/>
            </w:pPr>
            <w:r>
              <w:rPr>
                <w:rFonts w:ascii="Calibri" w:hAnsi="Calibri" w:eastAsia="Calibri"/>
                <w:b w:val="0"/>
                <w:caps w:val="0"/>
                <w:color w:val="5F5F5F"/>
                <w:sz w:val="20"/>
              </w:rPr>
              <w:t>Content Creator (Internal Contributor)</w:t>
            </w:r>
          </w:p>
        </w:tc>
      </w:tr>
      <w:tr>
        <w:tc>
          <w:tcPr>
            <w:tcW w:type="dxa" w:w="5100"/>
            <w:shd w:fill="F8F3F8" w:val="clear"/>
          </w:tcPr>
          <w:p>
            <w:pPr>
              <w:spacing w:after="40" w:before="40"/>
            </w:pPr>
            <w:r>
              <w:rPr>
                <w:rFonts w:ascii="Calibri" w:hAnsi="Calibri" w:eastAsia="Calibri"/>
                <w:b/>
                <w:caps w:val="0"/>
                <w:color w:val="1F1F1F"/>
                <w:sz w:val="20"/>
              </w:rPr>
              <w:t>Department</w:t>
            </w:r>
          </w:p>
        </w:tc>
        <w:tc>
          <w:tcPr>
            <w:tcW w:type="dxa" w:w="5100"/>
            <w:shd w:fill="F8F3F8" w:val="clear"/>
          </w:tcPr>
          <w:p>
            <w:pPr>
              <w:spacing w:after="40" w:before="40"/>
            </w:pPr>
            <w:r>
              <w:rPr>
                <w:rFonts w:ascii="Calibri" w:hAnsi="Calibri" w:eastAsia="Calibri"/>
                <w:b w:val="0"/>
                <w:caps w:val="0"/>
                <w:color w:val="5F5F5F"/>
                <w:sz w:val="20"/>
              </w:rPr>
              <w:t>Brand &amp; Communications</w:t>
            </w:r>
          </w:p>
        </w:tc>
      </w:tr>
      <w:tr>
        <w:tc>
          <w:tcPr>
            <w:tcW w:type="dxa" w:w="5100"/>
            <w:shd w:fill="F8F3F8" w:val="clear"/>
          </w:tcPr>
          <w:p>
            <w:pPr>
              <w:spacing w:after="40" w:before="40"/>
            </w:pPr>
            <w:r>
              <w:rPr>
                <w:rFonts w:ascii="Calibri" w:hAnsi="Calibri" w:eastAsia="Calibri"/>
                <w:b/>
                <w:caps w:val="0"/>
                <w:color w:val="1F1F1F"/>
                <w:sz w:val="20"/>
              </w:rPr>
              <w:t>Reports to</w:t>
            </w:r>
          </w:p>
        </w:tc>
        <w:tc>
          <w:tcPr>
            <w:tcW w:type="dxa" w:w="5100"/>
            <w:shd w:fill="F8F3F8" w:val="clear"/>
          </w:tcPr>
          <w:p>
            <w:pPr>
              <w:spacing w:after="40" w:before="40"/>
            </w:pPr>
            <w:r>
              <w:rPr>
                <w:rFonts w:ascii="Calibri" w:hAnsi="Calibri" w:eastAsia="Calibri"/>
                <w:b w:val="0"/>
                <w:caps w:val="0"/>
                <w:color w:val="5F5F5F"/>
                <w:sz w:val="20"/>
              </w:rPr>
              <w:t>the Head of Brand &amp; Communications (role as designated in the Portal Directory)</w:t>
            </w:r>
          </w:p>
        </w:tc>
      </w:tr>
      <w:tr>
        <w:tc>
          <w:tcPr>
            <w:tcW w:type="dxa" w:w="5100"/>
            <w:shd w:fill="F8F3F8" w:val="clear"/>
          </w:tcPr>
          <w:p>
            <w:pPr>
              <w:spacing w:after="40" w:before="40"/>
            </w:pPr>
            <w:r>
              <w:rPr>
                <w:rFonts w:ascii="Calibri" w:hAnsi="Calibri" w:eastAsia="Calibri"/>
                <w:b/>
                <w:caps w:val="0"/>
                <w:color w:val="1F1F1F"/>
                <w:sz w:val="20"/>
              </w:rPr>
              <w:t>Location</w:t>
            </w:r>
          </w:p>
        </w:tc>
        <w:tc>
          <w:tcPr>
            <w:tcW w:type="dxa" w:w="5100"/>
            <w:shd w:fill="F8F3F8" w:val="clear"/>
          </w:tcPr>
          <w:p>
            <w:pPr>
              <w:spacing w:after="40" w:before="40"/>
            </w:pPr>
            <w:r>
              <w:rPr>
                <w:rFonts w:ascii="Calibri" w:hAnsi="Calibri" w:eastAsia="Calibri"/>
                <w:b w:val="0"/>
                <w:caps w:val="0"/>
                <w:color w:val="5F5F5F"/>
                <w:sz w:val="20"/>
              </w:rPr>
              <w:t>Remote</w:t>
            </w:r>
          </w:p>
        </w:tc>
      </w:tr>
      <w:tr>
        <w:tc>
          <w:tcPr>
            <w:tcW w:type="dxa" w:w="5100"/>
            <w:shd w:fill="F8F3F8" w:val="clear"/>
          </w:tcPr>
          <w:p>
            <w:pPr>
              <w:spacing w:after="40" w:before="40"/>
            </w:pPr>
            <w:r>
              <w:rPr>
                <w:rFonts w:ascii="Calibri" w:hAnsi="Calibri" w:eastAsia="Calibri"/>
                <w:b/>
                <w:caps w:val="0"/>
                <w:color w:val="1F1F1F"/>
                <w:sz w:val="20"/>
              </w:rPr>
              <w:t>Start Date</w:t>
            </w:r>
          </w:p>
        </w:tc>
        <w:tc>
          <w:tcPr>
            <w:tcW w:type="dxa" w:w="5100"/>
            <w:shd w:fill="F8F3F8" w:val="clear"/>
          </w:tcPr>
          <w:p>
            <w:pPr>
              <w:spacing w:after="40" w:before="40"/>
            </w:pPr>
            <w:r>
              <w:rPr>
                <w:rFonts w:ascii="Calibri" w:hAnsi="Calibri" w:eastAsia="Calibri"/>
                <w:b/>
                <w:caps w:val="0"/>
                <w:color w:val="8D4087"/>
                <w:sz w:val="20"/>
              </w:rPr>
              <w:t>[Insert Start Date]</w:t>
            </w:r>
          </w:p>
        </w:tc>
      </w:tr>
      <w:tr>
        <w:tc>
          <w:tcPr>
            <w:tcW w:type="dxa" w:w="5100"/>
            <w:shd w:fill="F8F3F8" w:val="clear"/>
          </w:tcPr>
          <w:p>
            <w:pPr>
              <w:spacing w:after="40" w:before="40"/>
            </w:pPr>
            <w:r>
              <w:rPr>
                <w:rFonts w:ascii="Calibri" w:hAnsi="Calibri" w:eastAsia="Calibri"/>
                <w:b/>
                <w:caps w:val="0"/>
                <w:color w:val="1F1F1F"/>
                <w:sz w:val="20"/>
              </w:rPr>
              <w:t>Date</w:t>
            </w:r>
          </w:p>
        </w:tc>
        <w:tc>
          <w:tcPr>
            <w:tcW w:type="dxa" w:w="5100"/>
            <w:shd w:fill="F8F3F8" w:val="clear"/>
          </w:tcPr>
          <w:p>
            <w:pPr>
              <w:spacing w:after="40" w:before="40"/>
            </w:pPr>
            <w:r>
              <w:rPr>
                <w:rFonts w:ascii="Calibri" w:hAnsi="Calibri" w:eastAsia="Calibri"/>
                <w:b w:val="0"/>
                <w:caps w:val="0"/>
                <w:color w:val="5F5F5F"/>
                <w:sz w:val="20"/>
              </w:rPr>
              <w:t>24 August 2026</w:t>
            </w:r>
          </w:p>
        </w:tc>
      </w:tr>
      <w:tr>
        <w:tc>
          <w:tcPr>
            <w:tcW w:type="dxa" w:w="5100"/>
            <w:shd w:fill="F8F3F8" w:val="clear"/>
          </w:tcPr>
          <w:p>
            <w:pPr>
              <w:spacing w:after="40" w:before="40"/>
            </w:pPr>
            <w:r>
              <w:rPr>
                <w:rFonts w:ascii="Calibri" w:hAnsi="Calibri" w:eastAsia="Calibri"/>
                <w:b/>
                <w:caps w:val="0"/>
                <w:color w:val="1F1F1F"/>
                <w:sz w:val="20"/>
              </w:rPr>
              <w:t>Document Reference</w:t>
            </w:r>
          </w:p>
        </w:tc>
        <w:tc>
          <w:tcPr>
            <w:tcW w:type="dxa" w:w="5100"/>
            <w:shd w:fill="F8F3F8" w:val="clear"/>
          </w:tcPr>
          <w:p>
            <w:pPr>
              <w:spacing w:after="40" w:before="40"/>
            </w:pPr>
            <w:r>
              <w:rPr>
                <w:rFonts w:ascii="Calibri" w:hAnsi="Calibri" w:eastAsia="Calibri"/>
                <w:b w:val="0"/>
                <w:caps w:val="0"/>
                <w:color w:val="5F5F5F"/>
                <w:sz w:val="20"/>
              </w:rPr>
              <w:t>Issued under AFRI-ICEF-01, and constitutes the CEO's written approval under AFRI-DOA-01 for the benefits described in Clauses 5 and 6</w:t>
            </w:r>
          </w:p>
        </w:tc>
      </w:tr>
    </w:tbl>
    <w:p/>
    <w:p>
      <w:pPr>
        <w:spacing w:after="240" w:before="0" w:line="276" w:lineRule="auto"/>
      </w:pPr>
      <w:r>
        <w:rPr>
          <w:rFonts w:ascii="Calibri" w:hAnsi="Calibri" w:eastAsia="Calibri"/>
          <w:b w:val="0"/>
          <w:caps w:val="0"/>
          <w:color w:val="5F5F5F"/>
          <w:sz w:val="20"/>
        </w:rPr>
        <w:t>Written instrument: Issued under AFRI-ICEF-01, and constitutes the CEO's written approval under AFRI-DOA-01 for the benefits described in Clauses 5 and 6.</w:t>
      </w:r>
    </w:p>
    <w:p>
      <w:pPr>
        <w:spacing w:after="160" w:before="0" w:line="276" w:lineRule="auto"/>
      </w:pPr>
      <w:r>
        <w:rPr>
          <w:rFonts w:ascii="Calibri" w:hAnsi="Calibri" w:eastAsia="Calibri"/>
          <w:b/>
          <w:caps w:val="0"/>
          <w:color w:val="1F1F1F"/>
          <w:sz w:val="22"/>
        </w:rPr>
        <w:t>Dear Ubah,</w:t>
      </w:r>
    </w:p>
    <w:p>
      <w:pPr>
        <w:spacing w:after="160" w:before="0" w:line="276" w:lineRule="auto"/>
      </w:pPr>
      <w:r>
        <w:rPr>
          <w:rFonts w:ascii="Calibri" w:hAnsi="Calibri" w:eastAsia="Calibri"/>
          <w:b w:val="0"/>
          <w:caps w:val="0"/>
          <w:color w:val="1F1F1F"/>
          <w:sz w:val="22"/>
        </w:rPr>
        <w:t>AfriVate Technologies Ltd ("AfriVate") is pleased to confirm your placement as a Content Creator within the Brand &amp; Communications team. This letter confirms your engagement as an Internal Contributor and records the specific terms applicable to your placement, including the monthly data support and equity participation described below. This letter is a written instrument for the purposes of AFRI-ICEF-01, and constitutes the CEO's written approval required under AFRI-DOA-01 for the Cash Commitment in Clause 5 and the equity grant in Clause 6. To the extent of any direct conflict between this letter and AFRI-ICEF-01 on a matter this letter expressly addresses, this letter governs. On all other matters, and wherever this letter is silent, AFRI-ICEF-01 and the other policies listed in Clause 11 apply. Please read this letter together with those documents, and with the formal Share Option Agreement referenced in Clause 6, all available to you in the AfriVate Portal under Resources.</w:t>
      </w:r>
    </w:p>
    <w:p>
      <w:pPr>
        <w:spacing w:before="280" w:after="120"/>
        <w:pBdr>
          <w:bottom w:val="single" w:sz="6" w:space="4" w:color="EBDCEB"/>
        </w:pBdr>
      </w:pPr>
      <w:r>
        <w:rPr>
          <w:rFonts w:ascii="Calibri" w:hAnsi="Calibri" w:eastAsia="Calibri"/>
          <w:b/>
          <w:caps/>
          <w:color w:val="8D4087"/>
          <w:sz w:val="22"/>
        </w:rPr>
        <w:t>1. Nature of This Engagement</w:t>
      </w:r>
    </w:p>
    <w:p>
      <w:pPr>
        <w:spacing w:after="160" w:before="0" w:line="276" w:lineRule="auto"/>
      </w:pPr>
      <w:r>
        <w:rPr>
          <w:rFonts w:ascii="Calibri" w:hAnsi="Calibri" w:eastAsia="Calibri"/>
          <w:b w:val="0"/>
          <w:caps w:val="0"/>
          <w:color w:val="1F1F1F"/>
          <w:sz w:val="22"/>
        </w:rPr>
        <w:t>This is an unpaid internal contribution and is not a contract of employment. In line with AFRI-ICEF-01, nothing in this letter, in any title used, in Portal access, or in the performance of work creates employment, a contract of service, partnership, joint venture, or agency, or any entitlement to salary, wages, benefits, or equity beyond what is expressly set out in this letter or in a separate written instrument signed by the CEO.</w:t>
      </w:r>
    </w:p>
    <w:p>
      <w:pPr>
        <w:spacing w:after="160" w:before="0" w:line="276" w:lineRule="auto"/>
      </w:pPr>
      <w:r>
        <w:rPr>
          <w:rFonts w:ascii="Calibri" w:hAnsi="Calibri" w:eastAsia="Calibri"/>
          <w:b w:val="0"/>
          <w:caps w:val="0"/>
          <w:color w:val="1F1F1F"/>
          <w:sz w:val="22"/>
        </w:rPr>
        <w:t>Your engagement is governed exclusively by AFRI-ICEF-01, and this letter records the terms specific to your placement within that Framework. Where this letter is silent, AFRI-ICEF-01 and the other policies referenced in Clause 11 apply.</w:t>
      </w:r>
    </w:p>
    <w:p>
      <w:pPr>
        <w:spacing w:before="280" w:after="120"/>
        <w:pBdr>
          <w:bottom w:val="single" w:sz="6" w:space="4" w:color="EBDCEB"/>
        </w:pBdr>
      </w:pPr>
      <w:r>
        <w:rPr>
          <w:rFonts w:ascii="Calibri" w:hAnsi="Calibri" w:eastAsia="Calibri"/>
          <w:b/>
          <w:caps/>
          <w:color w:val="8D4087"/>
          <w:sz w:val="22"/>
        </w:rPr>
        <w:t>2. Duration</w:t>
      </w:r>
    </w:p>
    <w:p>
      <w:pPr>
        <w:spacing w:after="160" w:before="0" w:line="276" w:lineRule="auto"/>
      </w:pPr>
      <w:r>
        <w:rPr>
          <w:rFonts w:ascii="Calibri" w:hAnsi="Calibri" w:eastAsia="Calibri"/>
          <w:b w:val="0"/>
          <w:caps w:val="0"/>
          <w:color w:val="1F1F1F"/>
          <w:sz w:val="22"/>
        </w:rPr>
        <w:t>Your placement commences on the Start Date stated above. This is an indefinite, ongoing placement with no fixed end date, and no minimum or maximum duration is promised by either party. Either you or AfriVate may end it at any time in accordance with Clause 10 below. Your placement, including your Agreed Capacity, responsibilities, compensation, and equity standing, will be reviewed by the Head of Brand &amp; Communications (role as designated in the Portal Directory) and People &amp; Culture no less than every six (6) months, consistent with the review cycle set out in AFRI-ICEF-01 and AFRI-ORG-01; this review is a checkpoint, not a renewal requirement, and your placement continues automatically unless it is ended under Clause 10.</w:t>
      </w:r>
    </w:p>
    <w:p>
      <w:pPr>
        <w:spacing w:before="280" w:after="120"/>
        <w:pBdr>
          <w:bottom w:val="single" w:sz="6" w:space="4" w:color="EBDCEB"/>
        </w:pBdr>
      </w:pPr>
      <w:r>
        <w:rPr>
          <w:rFonts w:ascii="Calibri" w:hAnsi="Calibri" w:eastAsia="Calibri"/>
          <w:b/>
          <w:caps/>
          <w:color w:val="8D4087"/>
          <w:sz w:val="22"/>
        </w:rPr>
        <w:t>3. Working Structure and Agreed Capacity</w:t>
      </w:r>
    </w:p>
    <w:p>
      <w:pPr>
        <w:spacing w:after="160" w:before="0" w:line="276" w:lineRule="auto"/>
      </w:pPr>
      <w:r>
        <w:rPr>
          <w:rFonts w:ascii="Calibri" w:hAnsi="Calibri" w:eastAsia="Calibri"/>
          <w:b w:val="0"/>
          <w:caps w:val="0"/>
          <w:color w:val="1F1F1F"/>
          <w:sz w:val="22"/>
        </w:rPr>
        <w:t>This is intended to be a full time placement in the sense that AfriVate expects it to be your primary professional commitment; however, consistent with AFRI-ICEF-01 and AfriVate's outcome focused culture, AfriVate does not fix your working hours or track hours worked. Your Agreed Capacity will be expressed as deliverables and outcomes agreed with the Head of Brand &amp; Communications (role as designated in the Portal Directory) and recorded in Portal → Tasks, per AFRI-SWP, rather than a fixed hour count. Your official work days are Monday to Thursday, consistent with the official work week that applies across AfriVate. During official work days, you must be reachable on Slack during the core hours agreed with the Head of Brand &amp; Communications (role as designated in the Portal Directory), and must acknowledge official Slack messages within four (4) hours during those hours, per AFRI-SWP. Deadlines will be set at a level reasonable for this placement and will take account of your other commitments; you should raise any concern about workload or a deadline with the Head of Brand &amp; Communications (role as designated in the Portal Directory) as soon as it arises, and doing so will not affect your standing on the placement. AfriVate does not currently restrict you from undertaking other paid or unpaid work outside your Agreed Capacity, provided it does not create a conflict of interest, breach confidentiality, or materially interfere with your deliverables under this letter.</w:t>
      </w:r>
    </w:p>
    <w:p>
      <w:pPr>
        <w:spacing w:before="280" w:after="120"/>
        <w:pBdr>
          <w:bottom w:val="single" w:sz="6" w:space="4" w:color="EBDCEB"/>
        </w:pBdr>
      </w:pPr>
      <w:r>
        <w:rPr>
          <w:rFonts w:ascii="Calibri" w:hAnsi="Calibri" w:eastAsia="Calibri"/>
          <w:b/>
          <w:caps/>
          <w:color w:val="8D4087"/>
          <w:sz w:val="22"/>
        </w:rPr>
        <w:t>4. Key Responsibilities</w:t>
      </w:r>
    </w:p>
    <w:p>
      <w:pPr>
        <w:pStyle w:val="ListBullet"/>
        <w:spacing w:after="80" w:before="0" w:line="276" w:lineRule="auto"/>
      </w:pPr>
      <w:r>
        <w:rPr>
          <w:rFonts w:ascii="Calibri" w:hAnsi="Calibri" w:eastAsia="Calibri"/>
          <w:b w:val="0"/>
          <w:caps w:val="0"/>
          <w:color w:val="1F1F1F"/>
          <w:sz w:val="22"/>
        </w:rPr>
        <w:t>Plan and produce short form video content (Reels, TikTok, YouTube Shorts) that explains AfriVate's products and mission.</w:t>
      </w:r>
    </w:p>
    <w:p>
      <w:pPr>
        <w:pStyle w:val="ListBullet"/>
        <w:spacing w:after="80" w:before="0" w:line="276" w:lineRule="auto"/>
      </w:pPr>
      <w:r>
        <w:rPr>
          <w:rFonts w:ascii="Calibri" w:hAnsi="Calibri" w:eastAsia="Calibri"/>
          <w:b w:val="0"/>
          <w:caps w:val="0"/>
          <w:color w:val="1F1F1F"/>
          <w:sz w:val="22"/>
        </w:rPr>
        <w:t>Write clear, engaging captions, scripts, and social copy aligned with AfriVate's brand voice.</w:t>
      </w:r>
    </w:p>
    <w:p>
      <w:pPr>
        <w:pStyle w:val="ListBullet"/>
        <w:spacing w:after="80" w:before="0" w:line="276" w:lineRule="auto"/>
      </w:pPr>
      <w:r>
        <w:rPr>
          <w:rFonts w:ascii="Calibri" w:hAnsi="Calibri" w:eastAsia="Calibri"/>
          <w:b w:val="0"/>
          <w:caps w:val="0"/>
          <w:color w:val="1F1F1F"/>
          <w:sz w:val="22"/>
        </w:rPr>
        <w:t>Manage and grow AfriVate's social media accounts (Instagram, X, TikTok, LinkedIn), including scheduling and community engagement.</w:t>
      </w:r>
    </w:p>
    <w:p>
      <w:pPr>
        <w:pStyle w:val="ListBullet"/>
        <w:spacing w:after="80" w:before="0" w:line="276" w:lineRule="auto"/>
      </w:pPr>
      <w:r>
        <w:rPr>
          <w:rFonts w:ascii="Calibri" w:hAnsi="Calibri" w:eastAsia="Calibri"/>
          <w:b w:val="0"/>
          <w:caps w:val="0"/>
          <w:color w:val="1F1F1F"/>
          <w:sz w:val="22"/>
        </w:rPr>
        <w:t>Collaborate with the product and engineering teams to turn technical updates into accessible, relatable content.</w:t>
      </w:r>
    </w:p>
    <w:p>
      <w:pPr>
        <w:pStyle w:val="ListBullet"/>
        <w:spacing w:after="80" w:before="0" w:line="276" w:lineRule="auto"/>
      </w:pPr>
      <w:r>
        <w:rPr>
          <w:rFonts w:ascii="Calibri" w:hAnsi="Calibri" w:eastAsia="Calibri"/>
          <w:b w:val="0"/>
          <w:caps w:val="0"/>
          <w:color w:val="1F1F1F"/>
          <w:sz w:val="22"/>
        </w:rPr>
        <w:t>Capture behind the scenes moments, team highlights, and product milestones for storytelling.</w:t>
      </w:r>
    </w:p>
    <w:p>
      <w:pPr>
        <w:pStyle w:val="ListBullet"/>
        <w:spacing w:after="80" w:before="0" w:line="276" w:lineRule="auto"/>
      </w:pPr>
      <w:r>
        <w:rPr>
          <w:rFonts w:ascii="Calibri" w:hAnsi="Calibri" w:eastAsia="Calibri"/>
          <w:b w:val="0"/>
          <w:caps w:val="0"/>
          <w:color w:val="1F1F1F"/>
          <w:sz w:val="22"/>
        </w:rPr>
        <w:t>Track content performance and adjust strategy based on engagement data.</w:t>
      </w:r>
    </w:p>
    <w:p>
      <w:pPr>
        <w:pStyle w:val="ListBullet"/>
        <w:spacing w:after="80" w:before="0" w:line="276" w:lineRule="auto"/>
      </w:pPr>
      <w:r>
        <w:rPr>
          <w:rFonts w:ascii="Calibri" w:hAnsi="Calibri" w:eastAsia="Calibri"/>
          <w:b w:val="0"/>
          <w:caps w:val="0"/>
          <w:color w:val="1F1F1F"/>
          <w:sz w:val="22"/>
        </w:rPr>
        <w:t>Keep assigned work and progress current in the AfriVate Portal and use ClickUp for team communication.</w:t>
      </w:r>
    </w:p>
    <w:p>
      <w:pPr>
        <w:spacing w:after="160" w:before="0" w:line="276" w:lineRule="auto"/>
      </w:pPr>
      <w:r>
        <w:rPr>
          <w:rFonts w:ascii="Calibri" w:hAnsi="Calibri" w:eastAsia="Calibri"/>
          <w:b w:val="0"/>
          <w:caps w:val="0"/>
          <w:color w:val="1F1F1F"/>
          <w:sz w:val="22"/>
        </w:rPr>
        <w:t>All tasks are assigned and tracked in Portal → Tasks per AFRI-SWP. As an Internal Contributor at Decision Class D under AFRI-DOA-01, your role is to execute assigned work accurately — you do not have authority to approve leave, warnings, hiring decisions, or any Cash Commitment; these remain with People &amp; Culture, the Head of Brand &amp; Communications (role as designated in the Portal Directory), or the CEO as applicable. Responsibilities may evolve as the placement progresses.</w:t>
      </w:r>
    </w:p>
    <w:p>
      <w:pPr>
        <w:spacing w:before="280" w:after="120"/>
        <w:pBdr>
          <w:bottom w:val="single" w:sz="6" w:space="4" w:color="EBDCEB"/>
        </w:pBdr>
      </w:pPr>
      <w:r>
        <w:rPr>
          <w:rFonts w:ascii="Calibri" w:hAnsi="Calibri" w:eastAsia="Calibri"/>
          <w:b/>
          <w:caps/>
          <w:color w:val="8D4087"/>
          <w:sz w:val="22"/>
        </w:rPr>
        <w:t>5. Compensation and Support</w:t>
      </w:r>
    </w:p>
    <w:p>
      <w:pPr>
        <w:spacing w:after="160" w:before="0" w:line="276" w:lineRule="auto"/>
      </w:pPr>
      <w:r>
        <w:rPr>
          <w:rFonts w:ascii="Calibri" w:hAnsi="Calibri" w:eastAsia="Calibri"/>
          <w:b w:val="0"/>
          <w:caps w:val="0"/>
          <w:color w:val="1F1F1F"/>
          <w:sz w:val="22"/>
        </w:rPr>
        <w:t>This is an unpaid placement and does not constitute employment; no element of this Clause creates a salary or wage. As the CEO's written approval of a Cash Commitment under AFRI-DOA-01 and AFRI-ICEF-01 Clause 4, AfriVate will provide you a monthly data support stipend of ₦20,000 (twenty thousand naira) for the duration of this placement, to support reliable remote work. This amount will be logged and paid by Finance &amp; Administration per AFRI-DOA-01 on a schedule to be confirmed by Finance. This stipend is discretionary support toward connectivity costs, not a salary or wage, and does not change your status as an unpaid Internal Contributor under AFRI-ICEF-01. AfriVate may adjust or discontinue this stipend on reasonable written notice, including where AfriVate's funding position changes materially; AfriVate does not expect to do so in the ordinary course.</w:t>
      </w:r>
    </w:p>
    <w:p>
      <w:pPr>
        <w:spacing w:after="160" w:before="0" w:line="276" w:lineRule="auto"/>
      </w:pPr>
      <w:r>
        <w:rPr>
          <w:rFonts w:ascii="Calibri" w:hAnsi="Calibri" w:eastAsia="Calibri"/>
          <w:b w:val="0"/>
          <w:caps w:val="0"/>
          <w:color w:val="1F1F1F"/>
          <w:sz w:val="22"/>
        </w:rPr>
        <w:t>AfriVate does not currently pay a salary to Internal Contributors. If and when AfriVate approves a paid compensation budget, AfriVate will notify you in writing and issue updated terms reflecting that transition; this letter does not itself create any right to a specific salary, timeline, or transition to paid employment.</w:t>
      </w:r>
    </w:p>
    <w:p>
      <w:pPr>
        <w:spacing w:before="280" w:after="120"/>
        <w:pBdr>
          <w:bottom w:val="single" w:sz="6" w:space="4" w:color="EBDCEB"/>
        </w:pBdr>
      </w:pPr>
      <w:r>
        <w:rPr>
          <w:rFonts w:ascii="Calibri" w:hAnsi="Calibri" w:eastAsia="Calibri"/>
          <w:b/>
          <w:caps/>
          <w:color w:val="8D4087"/>
          <w:sz w:val="22"/>
        </w:rPr>
        <w:t>6. Equity Participation</w:t>
      </w:r>
    </w:p>
    <w:p>
      <w:pPr>
        <w:spacing w:after="160" w:before="0" w:line="276" w:lineRule="auto"/>
      </w:pPr>
      <w:r>
        <w:rPr>
          <w:rFonts w:ascii="Calibri" w:hAnsi="Calibri" w:eastAsia="Calibri"/>
          <w:b w:val="0"/>
          <w:caps w:val="0"/>
          <w:color w:val="1F1F1F"/>
          <w:sz w:val="22"/>
        </w:rPr>
        <w:t>As a further specific exception approved in writing by the CEO's signature on this letter, and consistent with AFRI-DOA-01 (equity grants are a Decision Class A matter reserved to the CEO) and AFRI-ICEF-01 Clause 10, AfriVate grants you an individual equity option equivalent to 2% ownership of the company, from AfriVate's 20% ESOP pool, on the following terms:</w:t>
      </w:r>
    </w:p>
    <w:tbl>
      <w:tblPr>
        <w:tblW w:type="auto" w:w="0"/>
        <w:tblLook w:firstColumn="1" w:firstRow="1" w:lastColumn="0" w:lastRow="0" w:noHBand="0" w:noVBand="1" w:val="04A0"/>
      </w:tblPr>
      <w:tblGrid>
        <w:gridCol w:w="5100"/>
        <w:gridCol w:w="5100"/>
      </w:tblGrid>
      <w:tr>
        <w:tc>
          <w:tcPr>
            <w:tcW w:type="dxa" w:w="5100"/>
            <w:shd w:fill="F8F3F8" w:val="clear"/>
          </w:tcPr>
          <w:p>
            <w:r>
              <w:rPr>
                <w:rFonts w:ascii="Calibri" w:hAnsi="Calibri" w:eastAsia="Calibri"/>
                <w:b/>
                <w:caps/>
                <w:color w:val="8D4087"/>
                <w:sz w:val="18"/>
              </w:rPr>
              <w:t>Term</w:t>
            </w:r>
          </w:p>
        </w:tc>
        <w:tc>
          <w:tcPr>
            <w:tcW w:type="dxa" w:w="5100"/>
            <w:shd w:fill="F8F3F8" w:val="clear"/>
          </w:tcPr>
          <w:p>
            <w:r>
              <w:rPr>
                <w:rFonts w:ascii="Calibri" w:hAnsi="Calibri" w:eastAsia="Calibri"/>
                <w:b/>
                <w:caps/>
                <w:color w:val="8D4087"/>
                <w:sz w:val="18"/>
              </w:rPr>
              <w:t>Detail</w:t>
            </w:r>
          </w:p>
        </w:tc>
      </w:tr>
      <w:tr>
        <w:tc>
          <w:tcPr>
            <w:tcW w:type="dxa" w:w="5100"/>
          </w:tcPr>
          <w:p>
            <w:r>
              <w:rPr>
                <w:rFonts w:ascii="Calibri" w:hAnsi="Calibri" w:eastAsia="Calibri"/>
                <w:b/>
                <w:caps w:val="0"/>
                <w:color w:val="1F1F1F"/>
                <w:sz w:val="20"/>
              </w:rPr>
              <w:t>Vesting period</w:t>
            </w:r>
          </w:p>
        </w:tc>
        <w:tc>
          <w:tcPr>
            <w:tcW w:type="dxa" w:w="5100"/>
          </w:tcPr>
          <w:p>
            <w:r>
              <w:rPr>
                <w:rFonts w:ascii="Calibri" w:hAnsi="Calibri" w:eastAsia="Calibri"/>
                <w:b w:val="0"/>
                <w:caps w:val="0"/>
                <w:color w:val="1F1F1F"/>
                <w:sz w:val="20"/>
              </w:rPr>
              <w:t>Two (2) years.</w:t>
            </w:r>
          </w:p>
        </w:tc>
      </w:tr>
      <w:tr>
        <w:tc>
          <w:tcPr>
            <w:tcW w:type="dxa" w:w="5100"/>
          </w:tcPr>
          <w:p>
            <w:r>
              <w:rPr>
                <w:rFonts w:ascii="Calibri" w:hAnsi="Calibri" w:eastAsia="Calibri"/>
                <w:b/>
                <w:caps w:val="0"/>
                <w:color w:val="1F1F1F"/>
                <w:sz w:val="20"/>
              </w:rPr>
              <w:t>Cliff</w:t>
            </w:r>
          </w:p>
        </w:tc>
        <w:tc>
          <w:tcPr>
            <w:tcW w:type="dxa" w:w="5100"/>
          </w:tcPr>
          <w:p>
            <w:r>
              <w:rPr>
                <w:rFonts w:ascii="Calibri" w:hAnsi="Calibri" w:eastAsia="Calibri"/>
                <w:b w:val="0"/>
                <w:caps w:val="0"/>
                <w:color w:val="1F1F1F"/>
                <w:sz w:val="20"/>
              </w:rPr>
              <w:t>One (1) year. You do not earn any ownership until you have completed twelve (12) months of continuous engagement with AfriVate from the Start Date stated above. If your placement ends, for any reason, before the first anniversary of your Start Date, no equity vests and you retain no right to any shares.</w:t>
            </w:r>
          </w:p>
        </w:tc>
      </w:tr>
      <w:tr>
        <w:tc>
          <w:tcPr>
            <w:tcW w:type="dxa" w:w="5100"/>
          </w:tcPr>
          <w:p>
            <w:r>
              <w:rPr>
                <w:rFonts w:ascii="Calibri" w:hAnsi="Calibri" w:eastAsia="Calibri"/>
                <w:b/>
                <w:caps w:val="0"/>
                <w:color w:val="1F1F1F"/>
                <w:sz w:val="20"/>
              </w:rPr>
              <w:t>After the cliff</w:t>
            </w:r>
          </w:p>
        </w:tc>
        <w:tc>
          <w:tcPr>
            <w:tcW w:type="dxa" w:w="5100"/>
          </w:tcPr>
          <w:p>
            <w:r>
              <w:rPr>
                <w:rFonts w:ascii="Calibri" w:hAnsi="Calibri" w:eastAsia="Calibri"/>
                <w:b w:val="0"/>
                <w:caps w:val="0"/>
                <w:color w:val="1F1F1F"/>
                <w:sz w:val="20"/>
              </w:rPr>
              <w:t>Your 2% vests monthly over the remaining twelve (12) months, until fully vested at the twenty four (24) month mark, provided your placement continues throughout that period.</w:t>
            </w:r>
          </w:p>
        </w:tc>
      </w:tr>
      <w:tr>
        <w:tc>
          <w:tcPr>
            <w:tcW w:type="dxa" w:w="5100"/>
          </w:tcPr>
          <w:p>
            <w:r>
              <w:rPr>
                <w:rFonts w:ascii="Calibri" w:hAnsi="Calibri" w:eastAsia="Calibri"/>
                <w:b/>
                <w:caps w:val="0"/>
                <w:color w:val="1F1F1F"/>
                <w:sz w:val="20"/>
              </w:rPr>
              <w:t>If the placement ends after the cliff</w:t>
            </w:r>
          </w:p>
        </w:tc>
        <w:tc>
          <w:tcPr>
            <w:tcW w:type="dxa" w:w="5100"/>
          </w:tcPr>
          <w:p>
            <w:r>
              <w:rPr>
                <w:rFonts w:ascii="Calibri" w:hAnsi="Calibri" w:eastAsia="Calibri"/>
                <w:b w:val="0"/>
                <w:caps w:val="0"/>
                <w:color w:val="1F1F1F"/>
                <w:sz w:val="20"/>
              </w:rPr>
              <w:t>Only the portion of your 2% that has vested as at the date your placement ends is retained by you; the unvested balance returns immediately to the ESOP pool.</w:t>
            </w:r>
          </w:p>
        </w:tc>
      </w:tr>
      <w:tr>
        <w:tc>
          <w:tcPr>
            <w:tcW w:type="dxa" w:w="5100"/>
          </w:tcPr>
          <w:p>
            <w:r>
              <w:rPr>
                <w:rFonts w:ascii="Calibri" w:hAnsi="Calibri" w:eastAsia="Calibri"/>
                <w:b/>
                <w:caps w:val="0"/>
                <w:color w:val="1F1F1F"/>
                <w:sz w:val="20"/>
              </w:rPr>
              <w:t>On full vesting</w:t>
            </w:r>
          </w:p>
        </w:tc>
        <w:tc>
          <w:tcPr>
            <w:tcW w:type="dxa" w:w="5100"/>
          </w:tcPr>
          <w:p>
            <w:r>
              <w:rPr>
                <w:rFonts w:ascii="Calibri" w:hAnsi="Calibri" w:eastAsia="Calibri"/>
                <w:b w:val="0"/>
                <w:caps w:val="0"/>
                <w:color w:val="1F1F1F"/>
                <w:sz w:val="20"/>
              </w:rPr>
              <w:t>AfriVate will formally issue your shares and register you as a shareholder with the Corporate Affairs Commission.</w:t>
            </w:r>
          </w:p>
        </w:tc>
      </w:tr>
    </w:tbl>
    <w:p>
      <w:pPr>
        <w:spacing w:after="160" w:before="160" w:line="276" w:lineRule="auto"/>
      </w:pPr>
      <w:r>
        <w:rPr>
          <w:rFonts w:ascii="Calibri" w:hAnsi="Calibri" w:eastAsia="Calibri"/>
          <w:b w:val="0"/>
          <w:caps w:val="0"/>
          <w:color w:val="1F1F1F"/>
          <w:sz w:val="22"/>
        </w:rPr>
        <w:t>This Clause is a summary of your equity participation only. AfriVate will provide you a formal Share Option Agreement, to be executed separately, setting out the complete terms of your option, including valuation, transfer restrictions, treatment on a sale or winding up of AfriVate, and any other terms standard for an early stage equity grant of this kind. Where the formal Share Option Agreement is executed and conflicts with this Clause, the formal Share Option Agreement governs from the date it is executed.</w:t>
      </w:r>
    </w:p>
    <w:p>
      <w:pPr>
        <w:spacing w:before="280" w:after="120"/>
        <w:pBdr>
          <w:bottom w:val="single" w:sz="6" w:space="4" w:color="EBDCEB"/>
        </w:pBdr>
      </w:pPr>
      <w:r>
        <w:rPr>
          <w:rFonts w:ascii="Calibri" w:hAnsi="Calibri" w:eastAsia="Calibri"/>
          <w:b/>
          <w:caps/>
          <w:color w:val="8D4087"/>
          <w:sz w:val="22"/>
        </w:rPr>
        <w:t>7. Confidentiality and Data Protection</w:t>
      </w:r>
    </w:p>
    <w:p>
      <w:pPr>
        <w:spacing w:after="160" w:before="0" w:line="276" w:lineRule="auto"/>
      </w:pPr>
      <w:r>
        <w:rPr>
          <w:rFonts w:ascii="Calibri" w:hAnsi="Calibri" w:eastAsia="Calibri"/>
          <w:b w:val="0"/>
          <w:caps w:val="0"/>
          <w:color w:val="1F1F1F"/>
          <w:sz w:val="22"/>
        </w:rPr>
        <w:t>You will have access to Confidential Information as defined in AFRI-ICEF-01, including unreleased campaigns, brand strategy, partner and performance data, and any personal data or account credentials you access in the course of your work. You must protect this information indefinitely, during and after your placement, and must not disclose it outside AfriVate without prior written authorisation. Where you process personal data in the course of your role, you must handle it in accordance with the Nigeria Data Protection Act 2023 — accessing only what your assigned tasks require, keeping it confidential, and using only AfriVate's approved systems to store or share it. Nothing in this Clause prevents you from: reporting suspected misconduct in good faith through Portal → People → Speak up or to a relevant regulator or law enforcement authority; making a disclosure required by law or by a court, tribunal, or regulator of competent jurisdiction; or seeking confidential legal advice about your rights under this letter.</w:t>
      </w:r>
    </w:p>
    <w:p>
      <w:pPr>
        <w:spacing w:before="280" w:after="120"/>
        <w:pBdr>
          <w:bottom w:val="single" w:sz="6" w:space="4" w:color="EBDCEB"/>
        </w:pBdr>
      </w:pPr>
      <w:r>
        <w:rPr>
          <w:rFonts w:ascii="Calibri" w:hAnsi="Calibri" w:eastAsia="Calibri"/>
          <w:b/>
          <w:caps/>
          <w:color w:val="8D4087"/>
          <w:sz w:val="22"/>
        </w:rPr>
        <w:t>8. Intellectual Property</w:t>
      </w:r>
    </w:p>
    <w:p>
      <w:pPr>
        <w:spacing w:after="160" w:before="0" w:line="276" w:lineRule="auto"/>
      </w:pPr>
      <w:r>
        <w:rPr>
          <w:rFonts w:ascii="Calibri" w:hAnsi="Calibri" w:eastAsia="Calibri"/>
          <w:b w:val="0"/>
          <w:caps w:val="0"/>
          <w:color w:val="1F1F1F"/>
          <w:sz w:val="22"/>
        </w:rPr>
        <w:t>In consideration of being offered this placement and the benefits described in Clauses 5 and 6, you agree that all Work Product you create in the course of this placement — including code, designs, content, documents, and processes — is owned exclusively by AfriVate from creation, and you assign to AfriVate all right, title, and interest in it worldwide, per AFRI-ICEF-01 Clause 6. This does not apply to work you already owned before this placement began, or work created entirely outside your duties and without AfriVate's time, resources, or confidential information.</w:t>
      </w:r>
    </w:p>
    <w:p>
      <w:pPr>
        <w:spacing w:before="280" w:after="120"/>
        <w:pBdr>
          <w:bottom w:val="single" w:sz="6" w:space="4" w:color="EBDCEB"/>
        </w:pBdr>
      </w:pPr>
      <w:r>
        <w:rPr>
          <w:rFonts w:ascii="Calibri" w:hAnsi="Calibri" w:eastAsia="Calibri"/>
          <w:b/>
          <w:caps/>
          <w:color w:val="8D4087"/>
          <w:sz w:val="22"/>
        </w:rPr>
        <w:t>9. Portfolio Use</w:t>
      </w:r>
    </w:p>
    <w:p>
      <w:pPr>
        <w:spacing w:after="160" w:before="0" w:line="276" w:lineRule="auto"/>
      </w:pPr>
      <w:r>
        <w:rPr>
          <w:rFonts w:ascii="Calibri" w:hAnsi="Calibri" w:eastAsia="Calibri"/>
          <w:b w:val="0"/>
          <w:caps w:val="0"/>
          <w:color w:val="1F1F1F"/>
          <w:sz w:val="22"/>
        </w:rPr>
        <w:t>Notwithstanding Clause 8, you may include Work Product you create for AfriVate in your personal portfolio, CV, or professional profile, only with prior written approval from the Head of Brand &amp; Communications (role as designated in the Portal Directory) or People &amp; Culture. Such work may be displayed solely to showcase your professional experience, and must not include confidential, proprietary, or unpublished content. AfriVate may withdraw this permission at any time if it reasonably considers such use harmful to its interests, including as to items already displayed; you must remove the relevant item promptly on written request.</w:t>
      </w:r>
    </w:p>
    <w:p>
      <w:pPr>
        <w:spacing w:before="280" w:after="120"/>
        <w:pBdr>
          <w:bottom w:val="single" w:sz="6" w:space="4" w:color="EBDCEB"/>
        </w:pBdr>
      </w:pPr>
      <w:r>
        <w:rPr>
          <w:rFonts w:ascii="Calibri" w:hAnsi="Calibri" w:eastAsia="Calibri"/>
          <w:b/>
          <w:caps/>
          <w:color w:val="8D4087"/>
          <w:sz w:val="22"/>
        </w:rPr>
        <w:t>10. Ending the Engagement</w:t>
      </w:r>
    </w:p>
    <w:p>
      <w:pPr>
        <w:pStyle w:val="ListBullet"/>
        <w:spacing w:after="80" w:before="0" w:line="276" w:lineRule="auto"/>
      </w:pPr>
      <w:r>
        <w:rPr>
          <w:rFonts w:ascii="Calibri" w:hAnsi="Calibri" w:eastAsia="Calibri"/>
          <w:b w:val="0"/>
          <w:caps w:val="0"/>
          <w:color w:val="1F1F1F"/>
          <w:sz w:val="22"/>
        </w:rPr>
        <w:t>By you: at least fourteen (14) calendar days' written notice to the Head of Brand &amp; Communications (role as designated in the Portal Directory) and afrivatehr@gmail.com, with Portal handover completed, per AFRI-ICEF-01 Clause 8.</w:t>
      </w:r>
    </w:p>
    <w:p>
      <w:pPr>
        <w:pStyle w:val="ListBullet"/>
        <w:spacing w:after="80" w:before="0" w:line="276" w:lineRule="auto"/>
      </w:pPr>
      <w:r>
        <w:rPr>
          <w:rFonts w:ascii="Calibri" w:hAnsi="Calibri" w:eastAsia="Calibri"/>
          <w:b w:val="0"/>
          <w:caps w:val="0"/>
          <w:color w:val="1F1F1F"/>
          <w:sz w:val="22"/>
        </w:rPr>
        <w:t>By AfriVate: immediately, without notice, for serious breach (including confidentiality, IP, dishonesty, harassment, or security violations); otherwise, ordinarily seven (7) calendar days' written notice as a courtesy standard, not a right to continued access.</w:t>
      </w:r>
    </w:p>
    <w:p>
      <w:pPr>
        <w:pStyle w:val="ListBullet"/>
        <w:spacing w:after="80" w:before="0" w:line="276" w:lineRule="auto"/>
      </w:pPr>
      <w:r>
        <w:rPr>
          <w:rFonts w:ascii="Calibri" w:hAnsi="Calibri" w:eastAsia="Calibri"/>
          <w:b w:val="0"/>
          <w:caps w:val="0"/>
          <w:color w:val="1F1F1F"/>
          <w:sz w:val="22"/>
        </w:rPr>
        <w:t>On ending the placement, however it ends: your Portal and Slack access will be revoked, your confidentiality and IP obligations continue to apply, and your equity is treated per Clause 6.</w:t>
      </w:r>
    </w:p>
    <w:p>
      <w:pPr>
        <w:spacing w:before="280" w:after="120"/>
        <w:pBdr>
          <w:bottom w:val="single" w:sz="6" w:space="4" w:color="EBDCEB"/>
        </w:pBdr>
      </w:pPr>
      <w:r>
        <w:rPr>
          <w:rFonts w:ascii="Calibri" w:hAnsi="Calibri" w:eastAsia="Calibri"/>
          <w:b/>
          <w:caps/>
          <w:color w:val="8D4087"/>
          <w:sz w:val="22"/>
        </w:rPr>
        <w:t>11. Governing Policies</w:t>
      </w:r>
    </w:p>
    <w:p>
      <w:pPr>
        <w:spacing w:after="160" w:before="0" w:line="276" w:lineRule="auto"/>
      </w:pPr>
      <w:r>
        <w:rPr>
          <w:rFonts w:ascii="Calibri" w:hAnsi="Calibri" w:eastAsia="Calibri"/>
          <w:b w:val="0"/>
          <w:caps w:val="0"/>
          <w:color w:val="1F1F1F"/>
          <w:sz w:val="22"/>
        </w:rPr>
        <w:t>This placement is governed by AFRI-ICEF-01 together with: AFRI-SWP (Standard Work Process), AFRI-ORG-01 (Organisational Structure), AFRI-LAP-01 (Leave and Absence Policy), AFRI-DOA-01 (Delegation of Authority), and AFRI-EOH-01 (Team Member Onboarding Handbook). You must acknowledge each applicable document in Portal → Resources within seven (7) official work days of your access being approved. Any absence must be requested through the Portal under AFRI-LAP-01, with at least three (3) official work days' notice for ordinary planned absence.</w:t>
      </w:r>
    </w:p>
    <w:p>
      <w:pPr>
        <w:spacing w:before="280" w:after="120"/>
        <w:pBdr>
          <w:bottom w:val="single" w:sz="6" w:space="4" w:color="EBDCEB"/>
        </w:pBdr>
      </w:pPr>
      <w:r>
        <w:rPr>
          <w:rFonts w:ascii="Calibri" w:hAnsi="Calibri" w:eastAsia="Calibri"/>
          <w:b/>
          <w:caps/>
          <w:color w:val="8D4087"/>
          <w:sz w:val="22"/>
        </w:rPr>
        <w:t>12. Not a Promise of Continued or Paid Employment</w:t>
      </w:r>
    </w:p>
    <w:p>
      <w:pPr>
        <w:spacing w:after="160" w:before="0" w:line="276" w:lineRule="auto"/>
      </w:pPr>
      <w:r>
        <w:rPr>
          <w:rFonts w:ascii="Calibri" w:hAnsi="Calibri" w:eastAsia="Calibri"/>
          <w:b w:val="0"/>
          <w:caps w:val="0"/>
          <w:color w:val="1F1F1F"/>
          <w:sz w:val="22"/>
        </w:rPr>
        <w:t>This placement, including the equity and stipend described above, does not guarantee you continued engagement or a future salaried position at AfriVate. Prior unpaid contribution and equity participation are factors AfriVate may consider if a paid role becomes available, but create no automatic right to an offer, salary level, or further equity, per AFRI-ICEF-01 Clause 9.</w:t>
      </w:r>
    </w:p>
    <w:p>
      <w:pPr>
        <w:spacing w:before="280" w:after="120"/>
        <w:pBdr>
          <w:bottom w:val="single" w:sz="6" w:space="4" w:color="EBDCEB"/>
        </w:pBdr>
      </w:pPr>
      <w:r>
        <w:rPr>
          <w:rFonts w:ascii="Calibri" w:hAnsi="Calibri" w:eastAsia="Calibri"/>
          <w:b/>
          <w:caps/>
          <w:color w:val="8D4087"/>
          <w:sz w:val="22"/>
        </w:rPr>
        <w:t>13. Effect if This Relationship Is Later Recharacterised</w:t>
      </w:r>
    </w:p>
    <w:p>
      <w:pPr>
        <w:spacing w:after="160" w:before="0" w:line="276" w:lineRule="auto"/>
      </w:pPr>
      <w:r>
        <w:rPr>
          <w:rFonts w:ascii="Calibri" w:hAnsi="Calibri" w:eastAsia="Calibri"/>
          <w:b w:val="0"/>
          <w:caps w:val="0"/>
          <w:color w:val="1F1F1F"/>
          <w:sz w:val="22"/>
        </w:rPr>
        <w:t>Both parties intend this placement to be an unpaid internal contribution under AFRI-ICEF-01, and not a contract of employment, and have structured this letter on that basis in good faith. If a court, tribunal, or statutory authority of competent jurisdiction nonetheless determines that a different relationship existed in law for a given period, this letter is deemed varied to the minimum extent required to comply with the applicable mandatory legal requirements for that period, and the remainder of this letter continues in force. Such a determination does not, by itself, entitle you to any benefit, payment, or status beyond what that determination legally requires, and does not affect any period before or after the period to which the determination relates.</w:t>
      </w:r>
    </w:p>
    <w:p>
      <w:pPr>
        <w:spacing w:before="280" w:after="120"/>
        <w:pBdr>
          <w:bottom w:val="single" w:sz="6" w:space="4" w:color="EBDCEB"/>
        </w:pBdr>
      </w:pPr>
      <w:r>
        <w:rPr>
          <w:rFonts w:ascii="Calibri" w:hAnsi="Calibri" w:eastAsia="Calibri"/>
          <w:b/>
          <w:caps/>
          <w:color w:val="8D4087"/>
          <w:sz w:val="22"/>
        </w:rPr>
        <w:t>14. Acceptance</w:t>
      </w:r>
    </w:p>
    <w:p>
      <w:pPr>
        <w:spacing w:after="160" w:before="0" w:line="276" w:lineRule="auto"/>
      </w:pPr>
      <w:r>
        <w:rPr>
          <w:rFonts w:ascii="Calibri" w:hAnsi="Calibri" w:eastAsia="Calibri"/>
          <w:b w:val="0"/>
          <w:caps w:val="0"/>
          <w:color w:val="1F1F1F"/>
          <w:sz w:val="22"/>
        </w:rPr>
        <w:t>Please sign below to confirm that you have read, understood, and accept the terms of this Internal Contributor placement, together with AFRI-ICEF-01 and the other policies referenced above.</w:t>
      </w:r>
    </w:p>
    <w:p>
      <w:pPr>
        <w:spacing w:after="360" w:before="0" w:line="276" w:lineRule="auto"/>
      </w:pPr>
      <w:r>
        <w:rPr>
          <w:rFonts w:ascii="Calibri" w:hAnsi="Calibri" w:eastAsia="Calibri"/>
          <w:b w:val="0"/>
          <w:caps w:val="0"/>
          <w:color w:val="1F1F1F"/>
          <w:sz w:val="22"/>
        </w:rPr>
        <w:t>Sincerely,</w:t>
      </w:r>
    </w:p>
    <w:tbl>
      <w:tblPr>
        <w:tblW w:type="auto" w:w="0"/>
        <w:tblLook w:firstColumn="1" w:firstRow="1" w:lastColumn="0" w:lastRow="0" w:noHBand="0" w:noVBand="1" w:val="04A0"/>
        <w:tblBorders>
          <w:top w:val="nil"/>
          <w:left w:val="nil"/>
          <w:bottom w:val="nil"/>
          <w:right w:val="nil"/>
          <w:insideH w:val="nil"/>
          <w:insideV w:val="nil"/>
        </w:tblBorders>
      </w:tblPr>
      <w:tblGrid>
        <w:gridCol w:w="5100"/>
        <w:gridCol w:w="5100"/>
      </w:tblGrid>
      <w:tr>
        <w:tc>
          <w:tcPr>
            <w:tcW w:type="dxa" w:w="5100"/>
          </w:tcPr>
          <w:p>
            <w:r>
              <w:rPr>
                <w:rFonts w:ascii="Calibri" w:hAnsi="Calibri" w:eastAsia="Calibri"/>
                <w:b/>
                <w:caps w:val="0"/>
                <w:color w:val="1F1F1F"/>
                <w:sz w:val="22"/>
              </w:rPr>
              <w:t>Joshua Oluwasujibomi Komolafe</w:t>
            </w:r>
          </w:p>
          <w:p>
            <w:pPr>
              <w:spacing w:after="0"/>
            </w:pPr>
            <w:r>
              <w:rPr>
                <w:rFonts w:ascii="Calibri" w:hAnsi="Calibri" w:eastAsia="Calibri"/>
                <w:b w:val="0"/>
                <w:caps w:val="0"/>
                <w:color w:val="5F5F5F"/>
                <w:sz w:val="20"/>
              </w:rPr>
              <w:t>Chief Executive Officer</w:t>
            </w:r>
          </w:p>
          <w:p>
            <w:pPr>
              <w:spacing w:after="0"/>
            </w:pPr>
            <w:r>
              <w:rPr>
                <w:rFonts w:ascii="Calibri" w:hAnsi="Calibri" w:eastAsia="Calibri"/>
                <w:b w:val="0"/>
                <w:caps w:val="0"/>
                <w:color w:val="5F5F5F"/>
                <w:sz w:val="20"/>
              </w:rPr>
              <w:t>AfriVate Technologies Ltd</w:t>
            </w:r>
          </w:p>
        </w:tc>
        <w:tc>
          <w:tcPr>
            <w:tcW w:type="dxa" w:w="5100"/>
          </w:tcPr>
          <w:p>
            <w:r>
              <w:rPr>
                <w:rFonts w:ascii="Calibri" w:hAnsi="Calibri" w:eastAsia="Calibri"/>
                <w:b/>
                <w:caps w:val="0"/>
                <w:color w:val="1F1F1F"/>
                <w:sz w:val="22"/>
              </w:rPr>
              <w:t>Accepted by: Ubah Peace Ogechi</w:t>
            </w:r>
          </w:p>
          <w:p>
            <w:pPr>
              <w:spacing w:before="320" w:after="0"/>
            </w:pPr>
            <w:r>
              <w:rPr>
                <w:rFonts w:ascii="Calibri" w:hAnsi="Calibri" w:eastAsia="Calibri"/>
                <w:b w:val="0"/>
                <w:caps w:val="0"/>
                <w:color w:val="5F5F5F"/>
                <w:sz w:val="22"/>
              </w:rPr>
              <w:t>________________________________</w:t>
            </w:r>
          </w:p>
          <w:p>
            <w:pPr>
              <w:spacing w:after="0"/>
            </w:pPr>
            <w:r>
              <w:rPr>
                <w:rFonts w:ascii="Calibri" w:hAnsi="Calibri" w:eastAsia="Calibri"/>
                <w:b w:val="0"/>
                <w:caps w:val="0"/>
                <w:color w:val="5F5F5F"/>
                <w:sz w:val="18"/>
              </w:rPr>
              <w:t>Signature</w:t>
            </w:r>
          </w:p>
          <w:p>
            <w:pPr>
              <w:spacing w:before="320" w:after="0"/>
            </w:pPr>
            <w:r>
              <w:rPr>
                <w:rFonts w:ascii="Calibri" w:hAnsi="Calibri" w:eastAsia="Calibri"/>
                <w:b w:val="0"/>
                <w:caps w:val="0"/>
                <w:color w:val="5F5F5F"/>
                <w:sz w:val="22"/>
              </w:rPr>
              <w:t>________________________________</w:t>
            </w:r>
          </w:p>
          <w:p>
            <w:pPr>
              <w:spacing w:after="0"/>
            </w:pPr>
            <w:r>
              <w:rPr>
                <w:rFonts w:ascii="Calibri" w:hAnsi="Calibri" w:eastAsia="Calibri"/>
                <w:b w:val="0"/>
                <w:caps w:val="0"/>
                <w:color w:val="5F5F5F"/>
                <w:sz w:val="18"/>
              </w:rPr>
              <w:t>Date</w:t>
            </w:r>
          </w:p>
        </w:tc>
      </w:tr>
    </w:tbl>
    <w:p>
      <w:pPr>
        <w:spacing w:after="160" w:before="320" w:line="276" w:lineRule="auto"/>
      </w:pPr>
      <w:r>
        <w:rPr>
          <w:rFonts w:ascii="Calibri" w:hAnsi="Calibri" w:eastAsia="Calibri"/>
          <w:b w:val="0"/>
          <w:caps w:val="0"/>
          <w:color w:val="5F5F5F"/>
          <w:sz w:val="18"/>
        </w:rPr>
        <w:t>Document Reference: Issued under AFRI-ICEF-01 · Related: AFRI-SWP · AFRI-ORG-01 · AFRI-LAP-01 · AFRI-DOA-01 · AFRI-EOH-01 · Governed by the laws of the Federal Republic of Nigeria; courts of the Federal Capital Territory, Abuja have jurisdiction, subject to any mandatory forum rules.</w:t>
      </w:r>
    </w:p>
    <w:sectPr w:rsidR="00FC693F" w:rsidRPr="0006063C" w:rsidSect="00034616">
      <w:footerReference w:type="default" r:id="rId9"/>
      <w:pgSz w:w="12240" w:h="15840"/>
      <w:pgMar w:top="907"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eastAsia="Calibri"/>
        <w:b w:val="0"/>
        <w:caps w:val="0"/>
        <w:color w:val="5F5F5F"/>
        <w:sz w:val="16"/>
      </w:rPr>
      <w:t>afrivatehr@gmail.com  ·  portal.afrivate.org          AfriVate Technologies Ltd  ·  RC: 9210092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