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F3864"/>
          <w:sz w:val="40"/>
          <w:szCs w:val="40"/>
        </w:rPr>
        <w:t xml:space="preserve">ENGINEERING ANALYSIS &amp; TECHNICAL DESIGN COMPANION</w:t>
      </w:r>
    </w:p>
    <w:p>
      <w:pPr>
        <w:spacing w:after="100"/>
        <w:jc w:val="center"/>
      </w:pPr>
      <w:r>
        <w:rPr>
          <w:b/>
          <w:bCs/>
          <w:sz w:val="30"/>
          <w:szCs w:val="30"/>
        </w:rPr>
        <w:t xml:space="preserve">AfriXchange — Kenya Market MVP</w:t>
      </w:r>
    </w:p>
    <w:p>
      <w:pPr>
        <w:spacing w:after="600"/>
        <w:jc w:val="center"/>
      </w:pPr>
      <w:r>
        <w:rPr>
          <w:i/>
          <w:iCs/>
          <w:color w:val="555555"/>
          <w:sz w:val="24"/>
          <w:szCs w:val="24"/>
        </w:rPr>
        <w:t xml:space="preserve">A Software Engineer's Detailed Reading of the Business Requirements Specification (v1.0, Draft)</w:t>
      </w:r>
    </w:p>
    <w:p>
      <w:pPr>
        <w:jc w:val="center"/>
      </w:pPr>
      <w:r>
        <w:rPr>
          <w:sz w:val="22"/>
          <w:szCs w:val="22"/>
        </w:rPr>
        <w:t xml:space="preserve">Prepared July 2026 · Companion to: AfriXchange BRS — Kenya, v1.0</w:t>
      </w:r>
    </w:p>
    <w:p>
      <w:r>
        <w:br w:type="page"/>
      </w:r>
    </w:p>
    <w:p>
      <w:pPr>
        <w:pStyle w:val="Heading1"/>
        <w:spacing w:after="240" w:before="480"/>
      </w:pPr>
      <w:r>
        <w:t xml:space="preserve">0. About This Document</w:t>
      </w:r>
    </w:p>
    <w:p>
      <w:pPr>
        <w:spacing w:after="200" w:line="300"/>
        <w:jc w:val="left"/>
      </w:pPr>
      <w:r>
        <w:rPr>
          <w:b w:val="false"/>
          <w:bCs w:val="false"/>
          <w:i w:val="false"/>
          <w:iCs w:val="false"/>
        </w:rPr>
        <w:t xml:space="preserve">The source Business Requirements Specification (BRS) tells the engineering team *what* to build: 63 numbered requirements grouped into seven feature areas, plus non-functional targets, data-handling rules, and regulatory constraints. It deliberately stays implementation-agnostic — that is correct practice for a BRS, whose audience includes product, compliance, and legal stakeholders who should not need to read architecture diagrams to sign off.</w:t>
      </w:r>
    </w:p>
    <w:p>
      <w:pPr>
        <w:spacing w:after="200" w:line="300"/>
        <w:jc w:val="left"/>
      </w:pPr>
      <w:r>
        <w:rPr>
          <w:b w:val="false"/>
          <w:bCs w:val="false"/>
          <w:i w:val="false"/>
          <w:iCs w:val="false"/>
        </w:rPr>
        <w:t xml:space="preserve">This companion document exists to answer the next question every engineer asks after reading a BRS: "okay, so how do we actually build this?" It translates each requirement into system design — services, data models, APIs, failure modes, and the engineering trade-offs behind each decision — the way a senior/lead engineer would document them before a build kicks off. It is written to be read alongside the BRS, not instead of it; requirement IDs (REQ-0xx) are referenced throughout so the two documents can be cross-checked line by line.</w:t>
      </w:r>
    </w:p>
    <w:p>
      <w:pPr>
        <w:spacing w:after="200" w:line="300"/>
        <w:jc w:val="left"/>
      </w:pPr>
      <w:r>
        <w:rPr>
          <w:b w:val="false"/>
          <w:bCs w:val="false"/>
          <w:i w:val="false"/>
          <w:iCs w:val="false"/>
        </w:rPr>
        <w:t xml:space="preserve">Scope of this document:</w:t>
      </w:r>
    </w:p>
    <w:p>
      <w:pPr>
        <w:pStyle w:val="ListParagraph"/>
        <w:numPr>
          <w:ilvl w:val="0"/>
          <w:numId w:val="2"/>
        </w:numPr>
        <w:spacing w:after="100"/>
      </w:pPr>
      <w:r>
        <w:t xml:space="preserve">System architecture and service decomposition for the Kenya MVP</w:t>
      </w:r>
    </w:p>
    <w:p>
      <w:pPr>
        <w:pStyle w:val="ListParagraph"/>
        <w:numPr>
          <w:ilvl w:val="0"/>
          <w:numId w:val="2"/>
        </w:numPr>
        <w:spacing w:after="100"/>
      </w:pPr>
      <w:r>
        <w:t xml:space="preserve">Data model and schema-level design for every major domain (identity, wallet, ledger, payments, compliance)</w:t>
      </w:r>
    </w:p>
    <w:p>
      <w:pPr>
        <w:pStyle w:val="ListParagraph"/>
        <w:numPr>
          <w:ilvl w:val="0"/>
          <w:numId w:val="2"/>
        </w:numPr>
        <w:spacing w:after="100"/>
      </w:pPr>
      <w:r>
        <w:t xml:space="preserve">API surface and integration design, including the M-Pesa (Daraja) and banking rails</w:t>
      </w:r>
    </w:p>
    <w:p>
      <w:pPr>
        <w:pStyle w:val="ListParagraph"/>
        <w:numPr>
          <w:ilvl w:val="0"/>
          <w:numId w:val="2"/>
        </w:numPr>
        <w:spacing w:after="100"/>
      </w:pPr>
      <w:r>
        <w:t xml:space="preserve">Security architecture: custody, key management, encryption, and threat model</w:t>
      </w:r>
    </w:p>
    <w:p>
      <w:pPr>
        <w:pStyle w:val="ListParagraph"/>
        <w:numPr>
          <w:ilvl w:val="0"/>
          <w:numId w:val="2"/>
        </w:numPr>
        <w:spacing w:after="100"/>
      </w:pPr>
      <w:r>
        <w:t xml:space="preserve">Compliance-as-code: how CBK/CMA/VASP obligations become enforceable system behavior, not just policy</w:t>
      </w:r>
    </w:p>
    <w:p>
      <w:pPr>
        <w:pStyle w:val="ListParagraph"/>
        <w:numPr>
          <w:ilvl w:val="0"/>
          <w:numId w:val="2"/>
        </w:numPr>
        <w:spacing w:after="100"/>
      </w:pPr>
      <w:r>
        <w:t xml:space="preserve">Non-functional requirements translated into concrete engineering budgets (latency, uptime, scale)</w:t>
      </w:r>
    </w:p>
    <w:p>
      <w:pPr>
        <w:pStyle w:val="ListParagraph"/>
        <w:numPr>
          <w:ilvl w:val="0"/>
          <w:numId w:val="2"/>
        </w:numPr>
        <w:spacing w:after="100"/>
      </w:pPr>
      <w:r>
        <w:t xml:space="preserve">Testing strategy, environments, release process, and observability</w:t>
      </w:r>
    </w:p>
    <w:p>
      <w:pPr>
        <w:pStyle w:val="ListParagraph"/>
        <w:numPr>
          <w:ilvl w:val="0"/>
          <w:numId w:val="2"/>
        </w:numPr>
        <w:spacing w:after="100"/>
      </w:pPr>
      <w:r>
        <w:t xml:space="preserve">Risk register mapped to the BRS's open assumptions and dependencies (Section 8 of the BRS)</w:t>
      </w:r>
    </w:p>
    <w:p>
      <w:pPr>
        <w:spacing w:after="200" w:line="300"/>
        <w:jc w:val="left"/>
      </w:pPr>
      <w:r>
        <w:rPr>
          <w:b w:val="false"/>
          <w:bCs w:val="false"/>
          <w:i w:val="false"/>
          <w:iCs w:val="false"/>
        </w:rPr>
        <w:t xml:space="preserve">What this document does not do: it does not replace the legal review the BRS repeatedly flags as outstanding (Sections 6, 7, and 8 of the BRS). Every place where legal input changes the build, this document says so explicitly rather than guessing.</w:t>
      </w:r>
    </w:p>
    <w:p>
      <w:pPr>
        <w:pStyle w:val="Heading1"/>
        <w:spacing w:after="240" w:before="480"/>
      </w:pPr>
      <w:r>
        <w:t xml:space="preserve">1. System Context and Product Framing</w:t>
      </w:r>
    </w:p>
    <w:p>
      <w:pPr>
        <w:spacing w:after="200" w:line="300"/>
        <w:jc w:val="left"/>
      </w:pPr>
      <w:r>
        <w:rPr>
          <w:b w:val="false"/>
          <w:bCs w:val="false"/>
          <w:i w:val="false"/>
          <w:iCs w:val="false"/>
        </w:rPr>
        <w:t xml:space="preserve">AfriXchange (working name) is, in engineering terms, a regulated custodial-or-non-custodial crypto brokerage with a single fiat on/off-ramp corridor (KES via M-Pesa, bank transfer, and optionally Airtel Money) and a single regulatory jurisdiction (Kenya). That single-market, single-currency scope (BRS Section 1) is the single biggest simplifying assumption in the whole system, and it should be protected: every design decision below assumes Kenya-only, and any future multi-market expansion (explicitly out of scope per BRS Section 9) will require revisiting currency handling, KYC providers, and regulatory reporting as first-class multi-tenant concerns rather than retrofits.</w:t>
      </w:r>
    </w:p>
    <w:p>
      <w:pPr>
        <w:spacing w:after="200" w:line="300"/>
        <w:jc w:val="left"/>
      </w:pPr>
      <w:r>
        <w:rPr>
          <w:b w:val="false"/>
          <w:bCs w:val="false"/>
          <w:i w:val="false"/>
          <w:iCs w:val="false"/>
        </w:rPr>
        <w:t xml:space="preserve">At a component level, the system has five outward-facing surfaces and one internal nervous system connecting them:</w:t>
      </w:r>
    </w:p>
    <w:p>
      <w:pPr>
        <w:pStyle w:val="ListParagraph"/>
        <w:numPr>
          <w:ilvl w:val="0"/>
          <w:numId w:val="2"/>
        </w:numPr>
        <w:spacing w:after="100"/>
      </w:pPr>
      <w:r>
        <w:t xml:space="preserve">Mobile app (iOS/Android) — the primary and likely only client for MVP, given the KES payment rails are mobile-money-centric</w:t>
      </w:r>
    </w:p>
    <w:p>
      <w:pPr>
        <w:pStyle w:val="ListParagraph"/>
        <w:numPr>
          <w:ilvl w:val="0"/>
          <w:numId w:val="2"/>
        </w:numPr>
        <w:spacing w:after="100"/>
      </w:pPr>
      <w:r>
        <w:t xml:space="preserve">Admin console (web) — used by Compliance Officers, Support Agents, and Admins (BRS Section 3)</w:t>
      </w:r>
    </w:p>
    <w:p>
      <w:pPr>
        <w:pStyle w:val="ListParagraph"/>
        <w:numPr>
          <w:ilvl w:val="0"/>
          <w:numId w:val="2"/>
        </w:numPr>
        <w:spacing w:after="100"/>
      </w:pPr>
      <w:r>
        <w:t xml:space="preserve">Partner integrations — Safaricom Daraja (M-Pesa), a banking partner for KES transfer, optionally Airtel Money, and a KYC/liveness vendor</w:t>
      </w:r>
    </w:p>
    <w:p>
      <w:pPr>
        <w:pStyle w:val="ListParagraph"/>
        <w:numPr>
          <w:ilvl w:val="0"/>
          <w:numId w:val="2"/>
        </w:numPr>
        <w:spacing w:after="100"/>
      </w:pPr>
      <w:r>
        <w:t xml:space="preserve">Regulator-facing reporting — CBK and CMA report generation and (eventually) submission</w:t>
      </w:r>
    </w:p>
    <w:p>
      <w:pPr>
        <w:pStyle w:val="ListParagraph"/>
        <w:numPr>
          <w:ilvl w:val="0"/>
          <w:numId w:val="2"/>
        </w:numPr>
        <w:spacing w:after="100"/>
      </w:pPr>
      <w:r>
        <w:t xml:space="preserve">Internal event bus — the backbone connecting KYC, wallet, ledger, compliance, and notification services so that no single service becomes a bottleneck or single point of failure</w:t>
      </w:r>
    </w:p>
    <w:p>
      <w:pPr>
        <w:spacing w:after="200" w:line="300"/>
        <w:jc w:val="left"/>
      </w:pPr>
      <w:r>
        <w:rPr>
          <w:b w:val="false"/>
          <w:bCs w:val="false"/>
          <w:i w:val="false"/>
          <w:iCs w:val="false"/>
        </w:rPr>
        <w:t xml:space="preserve">A useful framing for the whole build: this is not "a crypto app with some compliance features bolted on." Given REQ-014 (no wallet before verification), REQ-013 (compliance hold on large transactions), and REQ-052 (no asset listed without approval), compliance is in the critical path of nearly every user action. The architecture below treats the Compliance Engine as a core service that other services call synchronously where it blocks an action, and asynchronously where it only needs to observe — not as a reporting layer added at the edges.</w:t>
      </w:r>
    </w:p>
    <w:p>
      <w:pPr>
        <w:pStyle w:val="Heading1"/>
        <w:spacing w:after="240" w:before="480"/>
      </w:pPr>
      <w:r>
        <w:t xml:space="preserve">2. Proposed System Architecture</w:t>
      </w:r>
    </w:p>
    <w:p>
      <w:pPr>
        <w:pStyle w:val="Heading2"/>
        <w:spacing w:after="160" w:before="360"/>
      </w:pPr>
      <w:r>
        <w:t xml:space="preserve">2.1 Architectural Style</w:t>
      </w:r>
    </w:p>
    <w:p>
      <w:pPr>
        <w:spacing w:after="200" w:line="300"/>
        <w:jc w:val="left"/>
      </w:pPr>
      <w:r>
        <w:rPr>
          <w:b w:val="false"/>
          <w:bCs w:val="false"/>
          <w:i w:val="false"/>
          <w:iCs w:val="false"/>
        </w:rPr>
        <w:t xml:space="preserve">A modular-monolith-first approach is recommended over full microservices for the MVP, for three engineering reasons specific to this project:</w:t>
      </w:r>
    </w:p>
    <w:p>
      <w:pPr>
        <w:pStyle w:val="ListParagraph"/>
        <w:numPr>
          <w:ilvl w:val="0"/>
          <w:numId w:val="3"/>
        </w:numPr>
        <w:spacing w:after="100"/>
      </w:pPr>
      <w:r>
        <w:t xml:space="preserve">Team size and timeline: BRS Section 2 targets a launch date with CBK approval as a gate. A distributed system multiplies the operational surface area (service discovery, distributed tracing, network failure handling) at a stage where the team should be spending its scarce time on KYC integration and compliance correctness, not infrastructure.</w:t>
      </w:r>
    </w:p>
    <w:p>
      <w:pPr>
        <w:pStyle w:val="ListParagraph"/>
        <w:numPr>
          <w:ilvl w:val="0"/>
          <w:numId w:val="3"/>
        </w:numPr>
        <w:spacing w:after="100"/>
      </w:pPr>
      <w:r>
        <w:t xml:space="preserve">Transactional integrity: wallet balance updates, ledger entries, and compliance holds (REQ-020, REQ-032, REQ-013) benefit from being inside a single database transaction boundary during MVP. Splitting these into separate services from day one invites distributed-transaction bugs (the classic 'debited but not credited' class of incident) that a regulator will not be forgiving about.</w:t>
      </w:r>
    </w:p>
    <w:p>
      <w:pPr>
        <w:pStyle w:val="ListParagraph"/>
        <w:numPr>
          <w:ilvl w:val="0"/>
          <w:numId w:val="3"/>
        </w:numPr>
        <w:spacing w:after="100"/>
      </w:pPr>
      <w:r>
        <w:t xml:space="preserve">NFR-005 in the BRS (10x headroom without a rebuild) is satisfiable by a well-modularized monolith with horizontally scaled stateless application nodes and a vertically-scalable primary database with read replicas — full microservices are not required to hit that target.</w:t>
      </w:r>
    </w:p>
    <w:p>
      <w:pPr>
        <w:spacing w:after="200" w:line="300"/>
        <w:jc w:val="left"/>
      </w:pPr>
      <w:r>
        <w:rPr>
          <w:b w:val="false"/>
          <w:bCs w:val="false"/>
          <w:i w:val="false"/>
          <w:iCs w:val="false"/>
        </w:rPr>
        <w:t xml:space="preserve">The modules are still designed with clean internal boundaries (separate schemas/packages, no cross-module direct SQL, communication through internal service interfaces) so that any module — Payments and Compliance are the two most likely candidates — can be peeled off into its own deployable service later without a rewrite.</w:t>
      </w:r>
    </w:p>
    <w:p>
      <w:pPr>
        <w:pStyle w:val="Heading2"/>
        <w:spacing w:after="160" w:before="360"/>
      </w:pPr>
      <w:r>
        <w:t xml:space="preserve">2.2 Module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60"/>
        <w:gridCol w:w="2500"/>
      </w:tblGrid>
      <w:tr>
        <w:trPr>
          <w:tblHeader/>
        </w:trPr>
        <w:tc>
          <w:tcPr>
            <w:tcW w:type="dxa" w:w="2600"/>
            <w:shd w:fill="1F3864" w:color="auto" w:val="clear"/>
            <w:tcMar>
              <w:top w:type="dxa" w:w="80"/>
              <w:left w:type="dxa" w:w="100"/>
              <w:bottom w:type="dxa" w:w="80"/>
              <w:right w:type="dxa" w:w="100"/>
            </w:tcMar>
          </w:tcPr>
          <w:p>
            <w:r>
              <w:rPr>
                <w:b/>
                <w:bCs/>
                <w:color w:val="FFFFFF"/>
                <w:sz w:val="20"/>
                <w:szCs w:val="20"/>
              </w:rPr>
              <w:t xml:space="preserve">Module</w:t>
            </w:r>
          </w:p>
        </w:tc>
        <w:tc>
          <w:tcPr>
            <w:tcW w:type="dxa" w:w="4260"/>
            <w:shd w:fill="1F3864" w:color="auto" w:val="clear"/>
            <w:tcMar>
              <w:top w:type="dxa" w:w="80"/>
              <w:left w:type="dxa" w:w="100"/>
              <w:bottom w:type="dxa" w:w="80"/>
              <w:right w:type="dxa" w:w="100"/>
            </w:tcMar>
          </w:tcPr>
          <w:p>
            <w:r>
              <w:rPr>
                <w:b/>
                <w:bCs/>
                <w:color w:val="FFFFFF"/>
                <w:sz w:val="20"/>
                <w:szCs w:val="20"/>
              </w:rPr>
              <w:t xml:space="preserve">Owns</w:t>
            </w:r>
          </w:p>
        </w:tc>
        <w:tc>
          <w:tcPr>
            <w:tcW w:type="dxa" w:w="2500"/>
            <w:shd w:fill="1F3864" w:color="auto" w:val="clear"/>
            <w:tcMar>
              <w:top w:type="dxa" w:w="80"/>
              <w:left w:type="dxa" w:w="100"/>
              <w:bottom w:type="dxa" w:w="80"/>
              <w:right w:type="dxa" w:w="100"/>
            </w:tcMar>
          </w:tcPr>
          <w:p>
            <w:r>
              <w:rPr>
                <w:b/>
                <w:bCs/>
                <w:color w:val="FFFFFF"/>
                <w:sz w:val="20"/>
                <w:szCs w:val="20"/>
              </w:rPr>
              <w:t xml:space="preserve">Key BRS Requirements</w:t>
            </w:r>
          </w:p>
        </w:tc>
      </w:tr>
      <w:tr>
        <w:tc>
          <w:tcPr>
            <w:tcW w:type="dxa" w:w="2600"/>
            <w:tcMar>
              <w:top w:type="dxa" w:w="80"/>
              <w:left w:type="dxa" w:w="100"/>
              <w:bottom w:type="dxa" w:w="80"/>
              <w:right w:type="dxa" w:w="100"/>
            </w:tcMar>
          </w:tcPr>
          <w:p>
            <w:r>
              <w:rPr>
                <w:b w:val="false"/>
                <w:bCs w:val="false"/>
                <w:sz w:val="20"/>
                <w:szCs w:val="20"/>
              </w:rPr>
              <w:t xml:space="preserve">Identity &amp; Access</w:t>
            </w:r>
          </w:p>
        </w:tc>
        <w:tc>
          <w:tcPr>
            <w:tcW w:type="dxa" w:w="4260"/>
            <w:tcMar>
              <w:top w:type="dxa" w:w="80"/>
              <w:left w:type="dxa" w:w="100"/>
              <w:bottom w:type="dxa" w:w="80"/>
              <w:right w:type="dxa" w:w="100"/>
            </w:tcMar>
          </w:tcPr>
          <w:p>
            <w:r>
              <w:rPr>
                <w:b w:val="false"/>
                <w:bCs w:val="false"/>
                <w:sz w:val="20"/>
                <w:szCs w:val="20"/>
              </w:rPr>
              <w:t xml:space="preserve">Signup, login, MFA, session management, account lockout</w:t>
            </w:r>
          </w:p>
        </w:tc>
        <w:tc>
          <w:tcPr>
            <w:tcW w:type="dxa" w:w="2500"/>
            <w:tcMar>
              <w:top w:type="dxa" w:w="80"/>
              <w:left w:type="dxa" w:w="100"/>
              <w:bottom w:type="dxa" w:w="80"/>
              <w:right w:type="dxa" w:w="100"/>
            </w:tcMar>
          </w:tcPr>
          <w:p>
            <w:r>
              <w:rPr>
                <w:b w:val="false"/>
                <w:bCs w:val="false"/>
                <w:sz w:val="20"/>
                <w:szCs w:val="20"/>
              </w:rPr>
              <w:t xml:space="preserve">REQ-001–004</w:t>
            </w:r>
          </w:p>
        </w:tc>
      </w:tr>
      <w:tr>
        <w:tc>
          <w:tcPr>
            <w:tcW w:type="dxa" w:w="2600"/>
            <w:tcMar>
              <w:top w:type="dxa" w:w="80"/>
              <w:left w:type="dxa" w:w="100"/>
              <w:bottom w:type="dxa" w:w="80"/>
              <w:right w:type="dxa" w:w="100"/>
            </w:tcMar>
          </w:tcPr>
          <w:p>
            <w:r>
              <w:rPr>
                <w:b w:val="false"/>
                <w:bCs w:val="false"/>
                <w:sz w:val="20"/>
                <w:szCs w:val="20"/>
              </w:rPr>
              <w:t xml:space="preserve">KYC/Verification</w:t>
            </w:r>
          </w:p>
        </w:tc>
        <w:tc>
          <w:tcPr>
            <w:tcW w:type="dxa" w:w="4260"/>
            <w:tcMar>
              <w:top w:type="dxa" w:w="80"/>
              <w:left w:type="dxa" w:w="100"/>
              <w:bottom w:type="dxa" w:w="80"/>
              <w:right w:type="dxa" w:w="100"/>
            </w:tcMar>
          </w:tcPr>
          <w:p>
            <w:r>
              <w:rPr>
                <w:b w:val="false"/>
                <w:bCs w:val="false"/>
                <w:sz w:val="20"/>
                <w:szCs w:val="20"/>
              </w:rPr>
              <w:t xml:space="preserve">Document capture, liveness/selfie match, tiering, manual review queue</w:t>
            </w:r>
          </w:p>
        </w:tc>
        <w:tc>
          <w:tcPr>
            <w:tcW w:type="dxa" w:w="2500"/>
            <w:tcMar>
              <w:top w:type="dxa" w:w="80"/>
              <w:left w:type="dxa" w:w="100"/>
              <w:bottom w:type="dxa" w:w="80"/>
              <w:right w:type="dxa" w:w="100"/>
            </w:tcMar>
          </w:tcPr>
          <w:p>
            <w:r>
              <w:rPr>
                <w:b w:val="false"/>
                <w:bCs w:val="false"/>
                <w:sz w:val="20"/>
                <w:szCs w:val="20"/>
              </w:rPr>
              <w:t xml:space="preserve">REQ-010–014</w:t>
            </w:r>
          </w:p>
        </w:tc>
      </w:tr>
      <w:tr>
        <w:tc>
          <w:tcPr>
            <w:tcW w:type="dxa" w:w="2600"/>
            <w:tcMar>
              <w:top w:type="dxa" w:w="80"/>
              <w:left w:type="dxa" w:w="100"/>
              <w:bottom w:type="dxa" w:w="80"/>
              <w:right w:type="dxa" w:w="100"/>
            </w:tcMar>
          </w:tcPr>
          <w:p>
            <w:r>
              <w:rPr>
                <w:b w:val="false"/>
                <w:bCs w:val="false"/>
                <w:sz w:val="20"/>
                <w:szCs w:val="20"/>
              </w:rPr>
              <w:t xml:space="preserve">Wallet &amp; Custody</w:t>
            </w:r>
          </w:p>
        </w:tc>
        <w:tc>
          <w:tcPr>
            <w:tcW w:type="dxa" w:w="4260"/>
            <w:tcMar>
              <w:top w:type="dxa" w:w="80"/>
              <w:left w:type="dxa" w:w="100"/>
              <w:bottom w:type="dxa" w:w="80"/>
              <w:right w:type="dxa" w:w="100"/>
            </w:tcMar>
          </w:tcPr>
          <w:p>
            <w:r>
              <w:rPr>
                <w:b w:val="false"/>
                <w:bCs w:val="false"/>
                <w:sz w:val="20"/>
                <w:szCs w:val="20"/>
              </w:rPr>
              <w:t xml:space="preserve">Balances, key management, transaction history</w:t>
            </w:r>
          </w:p>
        </w:tc>
        <w:tc>
          <w:tcPr>
            <w:tcW w:type="dxa" w:w="2500"/>
            <w:tcMar>
              <w:top w:type="dxa" w:w="80"/>
              <w:left w:type="dxa" w:w="100"/>
              <w:bottom w:type="dxa" w:w="80"/>
              <w:right w:type="dxa" w:w="100"/>
            </w:tcMar>
          </w:tcPr>
          <w:p>
            <w:r>
              <w:rPr>
                <w:b w:val="false"/>
                <w:bCs w:val="false"/>
                <w:sz w:val="20"/>
                <w:szCs w:val="20"/>
              </w:rPr>
              <w:t xml:space="preserve">REQ-020–023</w:t>
            </w:r>
          </w:p>
        </w:tc>
      </w:tr>
      <w:tr>
        <w:tc>
          <w:tcPr>
            <w:tcW w:type="dxa" w:w="2600"/>
            <w:tcMar>
              <w:top w:type="dxa" w:w="80"/>
              <w:left w:type="dxa" w:w="100"/>
              <w:bottom w:type="dxa" w:w="80"/>
              <w:right w:type="dxa" w:w="100"/>
            </w:tcMar>
          </w:tcPr>
          <w:p>
            <w:r>
              <w:rPr>
                <w:b w:val="false"/>
                <w:bCs w:val="false"/>
                <w:sz w:val="20"/>
                <w:szCs w:val="20"/>
              </w:rPr>
              <w:t xml:space="preserve">Conversion Engine</w:t>
            </w:r>
          </w:p>
        </w:tc>
        <w:tc>
          <w:tcPr>
            <w:tcW w:type="dxa" w:w="4260"/>
            <w:tcMar>
              <w:top w:type="dxa" w:w="80"/>
              <w:left w:type="dxa" w:w="100"/>
              <w:bottom w:type="dxa" w:w="80"/>
              <w:right w:type="dxa" w:w="100"/>
            </w:tcMar>
          </w:tcPr>
          <w:p>
            <w:r>
              <w:rPr>
                <w:b w:val="false"/>
                <w:bCs w:val="false"/>
                <w:sz w:val="20"/>
                <w:szCs w:val="20"/>
              </w:rPr>
              <w:t xml:space="preserve">Rate sourcing, quote locking, fee calculation, conversion ledger</w:t>
            </w:r>
          </w:p>
        </w:tc>
        <w:tc>
          <w:tcPr>
            <w:tcW w:type="dxa" w:w="2500"/>
            <w:tcMar>
              <w:top w:type="dxa" w:w="80"/>
              <w:left w:type="dxa" w:w="100"/>
              <w:bottom w:type="dxa" w:w="80"/>
              <w:right w:type="dxa" w:w="100"/>
            </w:tcMar>
          </w:tcPr>
          <w:p>
            <w:r>
              <w:rPr>
                <w:b w:val="false"/>
                <w:bCs w:val="false"/>
                <w:sz w:val="20"/>
                <w:szCs w:val="20"/>
              </w:rPr>
              <w:t xml:space="preserve">REQ-030–032</w:t>
            </w:r>
          </w:p>
        </w:tc>
      </w:tr>
      <w:tr>
        <w:tc>
          <w:tcPr>
            <w:tcW w:type="dxa" w:w="2600"/>
            <w:tcMar>
              <w:top w:type="dxa" w:w="80"/>
              <w:left w:type="dxa" w:w="100"/>
              <w:bottom w:type="dxa" w:w="80"/>
              <w:right w:type="dxa" w:w="100"/>
            </w:tcMar>
          </w:tcPr>
          <w:p>
            <w:r>
              <w:rPr>
                <w:b w:val="false"/>
                <w:bCs w:val="false"/>
                <w:sz w:val="20"/>
                <w:szCs w:val="20"/>
              </w:rPr>
              <w:t xml:space="preserve">Payments (Fiat Rails)</w:t>
            </w:r>
          </w:p>
        </w:tc>
        <w:tc>
          <w:tcPr>
            <w:tcW w:type="dxa" w:w="4260"/>
            <w:tcMar>
              <w:top w:type="dxa" w:w="80"/>
              <w:left w:type="dxa" w:w="100"/>
              <w:bottom w:type="dxa" w:w="80"/>
              <w:right w:type="dxa" w:w="100"/>
            </w:tcMar>
          </w:tcPr>
          <w:p>
            <w:r>
              <w:rPr>
                <w:b w:val="false"/>
                <w:bCs w:val="false"/>
                <w:sz w:val="20"/>
                <w:szCs w:val="20"/>
              </w:rPr>
              <w:t xml:space="preserve">M-Pesa/Daraja, bank transfer, Airtel Money, reconciliation</w:t>
            </w:r>
          </w:p>
        </w:tc>
        <w:tc>
          <w:tcPr>
            <w:tcW w:type="dxa" w:w="2500"/>
            <w:tcMar>
              <w:top w:type="dxa" w:w="80"/>
              <w:left w:type="dxa" w:w="100"/>
              <w:bottom w:type="dxa" w:w="80"/>
              <w:right w:type="dxa" w:w="100"/>
            </w:tcMar>
          </w:tcPr>
          <w:p>
            <w:r>
              <w:rPr>
                <w:b w:val="false"/>
                <w:bCs w:val="false"/>
                <w:sz w:val="20"/>
                <w:szCs w:val="20"/>
              </w:rPr>
              <w:t xml:space="preserve">REQ-040–042</w:t>
            </w:r>
          </w:p>
        </w:tc>
      </w:tr>
      <w:tr>
        <w:tc>
          <w:tcPr>
            <w:tcW w:type="dxa" w:w="2600"/>
            <w:tcMar>
              <w:top w:type="dxa" w:w="80"/>
              <w:left w:type="dxa" w:w="100"/>
              <w:bottom w:type="dxa" w:w="80"/>
              <w:right w:type="dxa" w:w="100"/>
            </w:tcMar>
          </w:tcPr>
          <w:p>
            <w:r>
              <w:rPr>
                <w:b w:val="false"/>
                <w:bCs w:val="false"/>
                <w:sz w:val="20"/>
                <w:szCs w:val="20"/>
              </w:rPr>
              <w:t xml:space="preserve">Compliance Engine</w:t>
            </w:r>
          </w:p>
        </w:tc>
        <w:tc>
          <w:tcPr>
            <w:tcW w:type="dxa" w:w="4260"/>
            <w:tcMar>
              <w:top w:type="dxa" w:w="80"/>
              <w:left w:type="dxa" w:w="100"/>
              <w:bottom w:type="dxa" w:w="80"/>
              <w:right w:type="dxa" w:w="100"/>
            </w:tcMar>
          </w:tcPr>
          <w:p>
            <w:r>
              <w:rPr>
                <w:b w:val="false"/>
                <w:bCs w:val="false"/>
                <w:sz w:val="20"/>
                <w:szCs w:val="20"/>
              </w:rPr>
              <w:t xml:space="preserve">Transaction holds, thresholds, asset approval, reporting</w:t>
            </w:r>
          </w:p>
        </w:tc>
        <w:tc>
          <w:tcPr>
            <w:tcW w:type="dxa" w:w="2500"/>
            <w:tcMar>
              <w:top w:type="dxa" w:w="80"/>
              <w:left w:type="dxa" w:w="100"/>
              <w:bottom w:type="dxa" w:w="80"/>
              <w:right w:type="dxa" w:w="100"/>
            </w:tcMar>
          </w:tcPr>
          <w:p>
            <w:r>
              <w:rPr>
                <w:b w:val="false"/>
                <w:bCs w:val="false"/>
                <w:sz w:val="20"/>
                <w:szCs w:val="20"/>
              </w:rPr>
              <w:t xml:space="preserve">REQ-050–053</w:t>
            </w:r>
          </w:p>
        </w:tc>
      </w:tr>
      <w:tr>
        <w:tc>
          <w:tcPr>
            <w:tcW w:type="dxa" w:w="2600"/>
            <w:tcMar>
              <w:top w:type="dxa" w:w="80"/>
              <w:left w:type="dxa" w:w="100"/>
              <w:bottom w:type="dxa" w:w="80"/>
              <w:right w:type="dxa" w:w="100"/>
            </w:tcMar>
          </w:tcPr>
          <w:p>
            <w:r>
              <w:rPr>
                <w:b w:val="false"/>
                <w:bCs w:val="false"/>
                <w:sz w:val="20"/>
                <w:szCs w:val="20"/>
              </w:rPr>
              <w:t xml:space="preserve">Admin &amp; Ops Console</w:t>
            </w:r>
          </w:p>
        </w:tc>
        <w:tc>
          <w:tcPr>
            <w:tcW w:type="dxa" w:w="4260"/>
            <w:tcMar>
              <w:top w:type="dxa" w:w="80"/>
              <w:left w:type="dxa" w:w="100"/>
              <w:bottom w:type="dxa" w:w="80"/>
              <w:right w:type="dxa" w:w="100"/>
            </w:tcMar>
          </w:tcPr>
          <w:p>
            <w:r>
              <w:rPr>
                <w:b w:val="false"/>
                <w:bCs w:val="false"/>
                <w:sz w:val="20"/>
                <w:szCs w:val="20"/>
              </w:rPr>
              <w:t xml:space="preserve">Case management, audit log, report generation, user search</w:t>
            </w:r>
          </w:p>
        </w:tc>
        <w:tc>
          <w:tcPr>
            <w:tcW w:type="dxa" w:w="2500"/>
            <w:tcMar>
              <w:top w:type="dxa" w:w="80"/>
              <w:left w:type="dxa" w:w="100"/>
              <w:bottom w:type="dxa" w:w="80"/>
              <w:right w:type="dxa" w:w="100"/>
            </w:tcMar>
          </w:tcPr>
          <w:p>
            <w:r>
              <w:rPr>
                <w:b w:val="false"/>
                <w:bCs w:val="false"/>
                <w:sz w:val="20"/>
                <w:szCs w:val="20"/>
              </w:rPr>
              <w:t xml:space="preserve">REQ-060–063</w:t>
            </w:r>
          </w:p>
        </w:tc>
      </w:tr>
      <w:tr>
        <w:tc>
          <w:tcPr>
            <w:tcW w:type="dxa" w:w="2600"/>
            <w:tcMar>
              <w:top w:type="dxa" w:w="80"/>
              <w:left w:type="dxa" w:w="100"/>
              <w:bottom w:type="dxa" w:w="80"/>
              <w:right w:type="dxa" w:w="100"/>
            </w:tcMar>
          </w:tcPr>
          <w:p>
            <w:r>
              <w:rPr>
                <w:b w:val="false"/>
                <w:bCs w:val="false"/>
                <w:sz w:val="20"/>
                <w:szCs w:val="20"/>
              </w:rPr>
              <w:t xml:space="preserve">Notification Service</w:t>
            </w:r>
          </w:p>
        </w:tc>
        <w:tc>
          <w:tcPr>
            <w:tcW w:type="dxa" w:w="4260"/>
            <w:tcMar>
              <w:top w:type="dxa" w:w="80"/>
              <w:left w:type="dxa" w:w="100"/>
              <w:bottom w:type="dxa" w:w="80"/>
              <w:right w:type="dxa" w:w="100"/>
            </w:tcMar>
          </w:tcPr>
          <w:p>
            <w:r>
              <w:rPr>
                <w:b w:val="false"/>
                <w:bCs w:val="false"/>
                <w:sz w:val="20"/>
                <w:szCs w:val="20"/>
              </w:rPr>
              <w:t xml:space="preserve">Push/SMS/email on account and transaction events</w:t>
            </w:r>
          </w:p>
        </w:tc>
        <w:tc>
          <w:tcPr>
            <w:tcW w:type="dxa" w:w="2500"/>
            <w:tcMar>
              <w:top w:type="dxa" w:w="80"/>
              <w:left w:type="dxa" w:w="100"/>
              <w:bottom w:type="dxa" w:w="80"/>
              <w:right w:type="dxa" w:w="100"/>
            </w:tcMar>
          </w:tcPr>
          <w:p>
            <w:r>
              <w:rPr>
                <w:b w:val="false"/>
                <w:bCs w:val="false"/>
                <w:sz w:val="20"/>
                <w:szCs w:val="20"/>
              </w:rPr>
              <w:t xml:space="preserve">REQ-023</w:t>
            </w:r>
          </w:p>
        </w:tc>
      </w:tr>
      <w:tr>
        <w:tc>
          <w:tcPr>
            <w:tcW w:type="dxa" w:w="2600"/>
            <w:tcMar>
              <w:top w:type="dxa" w:w="80"/>
              <w:left w:type="dxa" w:w="100"/>
              <w:bottom w:type="dxa" w:w="80"/>
              <w:right w:type="dxa" w:w="100"/>
            </w:tcMar>
          </w:tcPr>
          <w:p>
            <w:r>
              <w:rPr>
                <w:b w:val="false"/>
                <w:bCs w:val="false"/>
                <w:sz w:val="20"/>
                <w:szCs w:val="20"/>
              </w:rPr>
              <w:t xml:space="preserve">Reporting &amp; Analytics</w:t>
            </w:r>
          </w:p>
        </w:tc>
        <w:tc>
          <w:tcPr>
            <w:tcW w:type="dxa" w:w="4260"/>
            <w:tcMar>
              <w:top w:type="dxa" w:w="80"/>
              <w:left w:type="dxa" w:w="100"/>
              <w:bottom w:type="dxa" w:w="80"/>
              <w:right w:type="dxa" w:w="100"/>
            </w:tcMar>
          </w:tcPr>
          <w:p>
            <w:r>
              <w:rPr>
                <w:b w:val="false"/>
                <w:bCs w:val="false"/>
                <w:sz w:val="20"/>
                <w:szCs w:val="20"/>
              </w:rPr>
              <w:t xml:space="preserve">CBK/CMA exports, KRA tax computation, internal dashboards</w:t>
            </w:r>
          </w:p>
        </w:tc>
        <w:tc>
          <w:tcPr>
            <w:tcW w:type="dxa" w:w="2500"/>
            <w:tcMar>
              <w:top w:type="dxa" w:w="80"/>
              <w:left w:type="dxa" w:w="100"/>
              <w:bottom w:type="dxa" w:w="80"/>
              <w:right w:type="dxa" w:w="100"/>
            </w:tcMar>
          </w:tcPr>
          <w:p>
            <w:r>
              <w:rPr>
                <w:b w:val="false"/>
                <w:bCs w:val="false"/>
                <w:sz w:val="20"/>
                <w:szCs w:val="20"/>
              </w:rPr>
              <w:t xml:space="preserve">REQ-050–051, REQ-062</w:t>
            </w:r>
          </w:p>
        </w:tc>
      </w:tr>
    </w:tbl>
    <w:p>
      <w:pPr>
        <w:pStyle w:val="Heading2"/>
        <w:spacing w:after="160" w:before="360"/>
      </w:pPr>
      <w:r>
        <w:t xml:space="preserve">2.3 Suggested Technology Stack</w:t>
      </w:r>
    </w:p>
    <w:p>
      <w:pPr>
        <w:spacing w:after="200" w:line="300"/>
        <w:jc w:val="left"/>
      </w:pPr>
      <w:r>
        <w:rPr>
          <w:b w:val="false"/>
          <w:bCs w:val="false"/>
          <w:i w:val="false"/>
          <w:iCs w:val="false"/>
        </w:rPr>
        <w:t xml:space="preserve">None of this is prescribed by the BRS — it is a reasonable, defensible default for a regulated fintech of this shape, chosen for team velocity, ecosystem maturity in East Africa, and auditability: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shd w:fill="1F3864" w:color="auto" w:val="clear"/>
            <w:tcMar>
              <w:top w:type="dxa" w:w="80"/>
              <w:left w:type="dxa" w:w="100"/>
              <w:bottom w:type="dxa" w:w="80"/>
              <w:right w:type="dxa" w:w="100"/>
            </w:tcMar>
          </w:tcPr>
          <w:p>
            <w:r>
              <w:rPr>
                <w:b/>
                <w:bCs/>
                <w:color w:val="FFFFFF"/>
                <w:sz w:val="20"/>
                <w:szCs w:val="20"/>
              </w:rPr>
              <w:t xml:space="preserve">Layer</w:t>
            </w:r>
          </w:p>
        </w:tc>
        <w:tc>
          <w:tcPr>
            <w:tcW w:type="dxa" w:w="3600"/>
            <w:shd w:fill="1F3864" w:color="auto" w:val="clear"/>
            <w:tcMar>
              <w:top w:type="dxa" w:w="80"/>
              <w:left w:type="dxa" w:w="100"/>
              <w:bottom w:type="dxa" w:w="80"/>
              <w:right w:type="dxa" w:w="100"/>
            </w:tcMar>
          </w:tcPr>
          <w:p>
            <w:r>
              <w:rPr>
                <w:b/>
                <w:bCs/>
                <w:color w:val="FFFFFF"/>
                <w:sz w:val="20"/>
                <w:szCs w:val="20"/>
              </w:rPr>
              <w:t xml:space="preserve">Recommendation</w:t>
            </w:r>
          </w:p>
        </w:tc>
        <w:tc>
          <w:tcPr>
            <w:tcW w:type="dxa" w:w="3560"/>
            <w:shd w:fill="1F3864" w:color="auto" w:val="clear"/>
            <w:tcMar>
              <w:top w:type="dxa" w:w="80"/>
              <w:left w:type="dxa" w:w="100"/>
              <w:bottom w:type="dxa" w:w="80"/>
              <w:right w:type="dxa" w:w="100"/>
            </w:tcMar>
          </w:tcPr>
          <w:p>
            <w:r>
              <w:rPr>
                <w:b/>
                <w:bCs/>
                <w:color w:val="FFFFFF"/>
                <w:sz w:val="20"/>
                <w:szCs w:val="20"/>
              </w:rPr>
              <w:t xml:space="preserve">Why</w:t>
            </w:r>
          </w:p>
        </w:tc>
      </w:tr>
      <w:tr>
        <w:tc>
          <w:tcPr>
            <w:tcW w:type="dxa" w:w="2200"/>
            <w:tcMar>
              <w:top w:type="dxa" w:w="80"/>
              <w:left w:type="dxa" w:w="100"/>
              <w:bottom w:type="dxa" w:w="80"/>
              <w:right w:type="dxa" w:w="100"/>
            </w:tcMar>
          </w:tcPr>
          <w:p>
            <w:r>
              <w:rPr>
                <w:b w:val="false"/>
                <w:bCs w:val="false"/>
                <w:sz w:val="20"/>
                <w:szCs w:val="20"/>
              </w:rPr>
              <w:t xml:space="preserve">Mobile client</w:t>
            </w:r>
          </w:p>
        </w:tc>
        <w:tc>
          <w:tcPr>
            <w:tcW w:type="dxa" w:w="3600"/>
            <w:tcMar>
              <w:top w:type="dxa" w:w="80"/>
              <w:left w:type="dxa" w:w="100"/>
              <w:bottom w:type="dxa" w:w="80"/>
              <w:right w:type="dxa" w:w="100"/>
            </w:tcMar>
          </w:tcPr>
          <w:p>
            <w:r>
              <w:rPr>
                <w:b w:val="false"/>
                <w:bCs w:val="false"/>
                <w:sz w:val="20"/>
                <w:szCs w:val="20"/>
              </w:rPr>
              <w:t xml:space="preserve">React Native or native Kotlin/Swift</w:t>
            </w:r>
          </w:p>
        </w:tc>
        <w:tc>
          <w:tcPr>
            <w:tcW w:type="dxa" w:w="3560"/>
            <w:tcMar>
              <w:top w:type="dxa" w:w="80"/>
              <w:left w:type="dxa" w:w="100"/>
              <w:bottom w:type="dxa" w:w="80"/>
              <w:right w:type="dxa" w:w="100"/>
            </w:tcMar>
          </w:tcPr>
          <w:p>
            <w:r>
              <w:rPr>
                <w:b w:val="false"/>
                <w:bCs w:val="false"/>
                <w:sz w:val="20"/>
                <w:szCs w:val="20"/>
              </w:rPr>
              <w:t xml:space="preserve">React Native for shared velocity; go native if biometric/liveness SDKs require it</w:t>
            </w:r>
          </w:p>
        </w:tc>
      </w:tr>
      <w:tr>
        <w:tc>
          <w:tcPr>
            <w:tcW w:type="dxa" w:w="2200"/>
            <w:tcMar>
              <w:top w:type="dxa" w:w="80"/>
              <w:left w:type="dxa" w:w="100"/>
              <w:bottom w:type="dxa" w:w="80"/>
              <w:right w:type="dxa" w:w="100"/>
            </w:tcMar>
          </w:tcPr>
          <w:p>
            <w:r>
              <w:rPr>
                <w:b w:val="false"/>
                <w:bCs w:val="false"/>
                <w:sz w:val="20"/>
                <w:szCs w:val="20"/>
              </w:rPr>
              <w:t xml:space="preserve">Backend services</w:t>
            </w:r>
          </w:p>
        </w:tc>
        <w:tc>
          <w:tcPr>
            <w:tcW w:type="dxa" w:w="3600"/>
            <w:tcMar>
              <w:top w:type="dxa" w:w="80"/>
              <w:left w:type="dxa" w:w="100"/>
              <w:bottom w:type="dxa" w:w="80"/>
              <w:right w:type="dxa" w:w="100"/>
            </w:tcMar>
          </w:tcPr>
          <w:p>
            <w:r>
              <w:rPr>
                <w:b w:val="false"/>
                <w:bCs w:val="false"/>
                <w:sz w:val="20"/>
                <w:szCs w:val="20"/>
              </w:rPr>
              <w:t xml:space="preserve">Node.js (NestJS) or Java (Spring Boot)</w:t>
            </w:r>
          </w:p>
        </w:tc>
        <w:tc>
          <w:tcPr>
            <w:tcW w:type="dxa" w:w="3560"/>
            <w:tcMar>
              <w:top w:type="dxa" w:w="80"/>
              <w:left w:type="dxa" w:w="100"/>
              <w:bottom w:type="dxa" w:w="80"/>
              <w:right w:type="dxa" w:w="100"/>
            </w:tcMar>
          </w:tcPr>
          <w:p>
            <w:r>
              <w:rPr>
                <w:b w:val="false"/>
                <w:bCs w:val="false"/>
                <w:sz w:val="20"/>
                <w:szCs w:val="20"/>
              </w:rPr>
              <w:t xml:space="preserve">Strong typing, mature audit/logging ecosystems, large talent pool</w:t>
            </w:r>
          </w:p>
        </w:tc>
      </w:tr>
      <w:tr>
        <w:tc>
          <w:tcPr>
            <w:tcW w:type="dxa" w:w="2200"/>
            <w:tcMar>
              <w:top w:type="dxa" w:w="80"/>
              <w:left w:type="dxa" w:w="100"/>
              <w:bottom w:type="dxa" w:w="80"/>
              <w:right w:type="dxa" w:w="100"/>
            </w:tcMar>
          </w:tcPr>
          <w:p>
            <w:r>
              <w:rPr>
                <w:b w:val="false"/>
                <w:bCs w:val="false"/>
                <w:sz w:val="20"/>
                <w:szCs w:val="20"/>
              </w:rPr>
              <w:t xml:space="preserve">Primary database</w:t>
            </w:r>
          </w:p>
        </w:tc>
        <w:tc>
          <w:tcPr>
            <w:tcW w:type="dxa" w:w="3600"/>
            <w:tcMar>
              <w:top w:type="dxa" w:w="80"/>
              <w:left w:type="dxa" w:w="100"/>
              <w:bottom w:type="dxa" w:w="80"/>
              <w:right w:type="dxa" w:w="100"/>
            </w:tcMar>
          </w:tcPr>
          <w:p>
            <w:r>
              <w:rPr>
                <w:b w:val="false"/>
                <w:bCs w:val="false"/>
                <w:sz w:val="20"/>
                <w:szCs w:val="20"/>
              </w:rPr>
              <w:t xml:space="preserve">PostgreSQL (managed, e.g. RDS/Aurora)</w:t>
            </w:r>
          </w:p>
        </w:tc>
        <w:tc>
          <w:tcPr>
            <w:tcW w:type="dxa" w:w="3560"/>
            <w:tcMar>
              <w:top w:type="dxa" w:w="80"/>
              <w:left w:type="dxa" w:w="100"/>
              <w:bottom w:type="dxa" w:w="80"/>
              <w:right w:type="dxa" w:w="100"/>
            </w:tcMar>
          </w:tcPr>
          <w:p>
            <w:r>
              <w:rPr>
                <w:b w:val="false"/>
                <w:bCs w:val="false"/>
                <w:sz w:val="20"/>
                <w:szCs w:val="20"/>
              </w:rPr>
              <w:t xml:space="preserve">ACID transactions for ledger correctness; row-level security for tenant isolation</w:t>
            </w:r>
          </w:p>
        </w:tc>
      </w:tr>
      <w:tr>
        <w:tc>
          <w:tcPr>
            <w:tcW w:type="dxa" w:w="2200"/>
            <w:tcMar>
              <w:top w:type="dxa" w:w="80"/>
              <w:left w:type="dxa" w:w="100"/>
              <w:bottom w:type="dxa" w:w="80"/>
              <w:right w:type="dxa" w:w="100"/>
            </w:tcMar>
          </w:tcPr>
          <w:p>
            <w:r>
              <w:rPr>
                <w:b w:val="false"/>
                <w:bCs w:val="false"/>
                <w:sz w:val="20"/>
                <w:szCs w:val="20"/>
              </w:rPr>
              <w:t xml:space="preserve">Ledger storage</w:t>
            </w:r>
          </w:p>
        </w:tc>
        <w:tc>
          <w:tcPr>
            <w:tcW w:type="dxa" w:w="3600"/>
            <w:tcMar>
              <w:top w:type="dxa" w:w="80"/>
              <w:left w:type="dxa" w:w="100"/>
              <w:bottom w:type="dxa" w:w="80"/>
              <w:right w:type="dxa" w:w="100"/>
            </w:tcMar>
          </w:tcPr>
          <w:p>
            <w:r>
              <w:rPr>
                <w:b w:val="false"/>
                <w:bCs w:val="false"/>
                <w:sz w:val="20"/>
                <w:szCs w:val="20"/>
              </w:rPr>
              <w:t xml:space="preserve">Append-only table + PostgreSQL, or a dedicated ledger DB (e.g. immudb)</w:t>
            </w:r>
          </w:p>
        </w:tc>
        <w:tc>
          <w:tcPr>
            <w:tcW w:type="dxa" w:w="3560"/>
            <w:tcMar>
              <w:top w:type="dxa" w:w="80"/>
              <w:left w:type="dxa" w:w="100"/>
              <w:bottom w:type="dxa" w:w="80"/>
              <w:right w:type="dxa" w:w="100"/>
            </w:tcMar>
          </w:tcPr>
          <w:p>
            <w:r>
              <w:rPr>
                <w:b w:val="false"/>
                <w:bCs w:val="false"/>
                <w:sz w:val="20"/>
                <w:szCs w:val="20"/>
              </w:rPr>
              <w:t xml:space="preserve">REQ-032 and REQ-063 require tamper-evident, unchangeable records</w:t>
            </w:r>
          </w:p>
        </w:tc>
      </w:tr>
      <w:tr>
        <w:tc>
          <w:tcPr>
            <w:tcW w:type="dxa" w:w="2200"/>
            <w:tcMar>
              <w:top w:type="dxa" w:w="80"/>
              <w:left w:type="dxa" w:w="100"/>
              <w:bottom w:type="dxa" w:w="80"/>
              <w:right w:type="dxa" w:w="100"/>
            </w:tcMar>
          </w:tcPr>
          <w:p>
            <w:r>
              <w:rPr>
                <w:b w:val="false"/>
                <w:bCs w:val="false"/>
                <w:sz w:val="20"/>
                <w:szCs w:val="20"/>
              </w:rPr>
              <w:t xml:space="preserve">Event bus</w:t>
            </w:r>
          </w:p>
        </w:tc>
        <w:tc>
          <w:tcPr>
            <w:tcW w:type="dxa" w:w="3600"/>
            <w:tcMar>
              <w:top w:type="dxa" w:w="80"/>
              <w:left w:type="dxa" w:w="100"/>
              <w:bottom w:type="dxa" w:w="80"/>
              <w:right w:type="dxa" w:w="100"/>
            </w:tcMar>
          </w:tcPr>
          <w:p>
            <w:r>
              <w:rPr>
                <w:b w:val="false"/>
                <w:bCs w:val="false"/>
                <w:sz w:val="20"/>
                <w:szCs w:val="20"/>
              </w:rPr>
              <w:t xml:space="preserve">Kafka or a managed equivalent (e.g. AWS MSK)</w:t>
            </w:r>
          </w:p>
        </w:tc>
        <w:tc>
          <w:tcPr>
            <w:tcW w:type="dxa" w:w="3560"/>
            <w:tcMar>
              <w:top w:type="dxa" w:w="80"/>
              <w:left w:type="dxa" w:w="100"/>
              <w:bottom w:type="dxa" w:w="80"/>
              <w:right w:type="dxa" w:w="100"/>
            </w:tcMar>
          </w:tcPr>
          <w:p>
            <w:r>
              <w:rPr>
                <w:b w:val="false"/>
                <w:bCs w:val="false"/>
                <w:sz w:val="20"/>
                <w:szCs w:val="20"/>
              </w:rPr>
              <w:t xml:space="preserve">Decouples compliance/notification from the transaction hot path</w:t>
            </w:r>
          </w:p>
        </w:tc>
      </w:tr>
      <w:tr>
        <w:tc>
          <w:tcPr>
            <w:tcW w:type="dxa" w:w="2200"/>
            <w:tcMar>
              <w:top w:type="dxa" w:w="80"/>
              <w:left w:type="dxa" w:w="100"/>
              <w:bottom w:type="dxa" w:w="80"/>
              <w:right w:type="dxa" w:w="100"/>
            </w:tcMar>
          </w:tcPr>
          <w:p>
            <w:r>
              <w:rPr>
                <w:b w:val="false"/>
                <w:bCs w:val="false"/>
                <w:sz w:val="20"/>
                <w:szCs w:val="20"/>
              </w:rPr>
              <w:t xml:space="preserve">Cache/session</w:t>
            </w:r>
          </w:p>
        </w:tc>
        <w:tc>
          <w:tcPr>
            <w:tcW w:type="dxa" w:w="3600"/>
            <w:tcMar>
              <w:top w:type="dxa" w:w="80"/>
              <w:left w:type="dxa" w:w="100"/>
              <w:bottom w:type="dxa" w:w="80"/>
              <w:right w:type="dxa" w:w="100"/>
            </w:tcMar>
          </w:tcPr>
          <w:p>
            <w:r>
              <w:rPr>
                <w:b w:val="false"/>
                <w:bCs w:val="false"/>
                <w:sz w:val="20"/>
                <w:szCs w:val="20"/>
              </w:rPr>
              <w:t xml:space="preserve">Redis</w:t>
            </w:r>
          </w:p>
        </w:tc>
        <w:tc>
          <w:tcPr>
            <w:tcW w:type="dxa" w:w="3560"/>
            <w:tcMar>
              <w:top w:type="dxa" w:w="80"/>
              <w:left w:type="dxa" w:w="100"/>
              <w:bottom w:type="dxa" w:w="80"/>
              <w:right w:type="dxa" w:w="100"/>
            </w:tcMar>
          </w:tcPr>
          <w:p>
            <w:r>
              <w:rPr>
                <w:b w:val="false"/>
                <w:bCs w:val="false"/>
                <w:sz w:val="20"/>
                <w:szCs w:val="20"/>
              </w:rPr>
              <w:t xml:space="preserve">Rate limiting, session state, OTP codes</w:t>
            </w:r>
          </w:p>
        </w:tc>
      </w:tr>
      <w:tr>
        <w:tc>
          <w:tcPr>
            <w:tcW w:type="dxa" w:w="2200"/>
            <w:tcMar>
              <w:top w:type="dxa" w:w="80"/>
              <w:left w:type="dxa" w:w="100"/>
              <w:bottom w:type="dxa" w:w="80"/>
              <w:right w:type="dxa" w:w="100"/>
            </w:tcMar>
          </w:tcPr>
          <w:p>
            <w:r>
              <w:rPr>
                <w:b w:val="false"/>
                <w:bCs w:val="false"/>
                <w:sz w:val="20"/>
                <w:szCs w:val="20"/>
              </w:rPr>
              <w:t xml:space="preserve">Cloud/region</w:t>
            </w:r>
          </w:p>
        </w:tc>
        <w:tc>
          <w:tcPr>
            <w:tcW w:type="dxa" w:w="3600"/>
            <w:tcMar>
              <w:top w:type="dxa" w:w="80"/>
              <w:left w:type="dxa" w:w="100"/>
              <w:bottom w:type="dxa" w:w="80"/>
              <w:right w:type="dxa" w:w="100"/>
            </w:tcMar>
          </w:tcPr>
          <w:p>
            <w:r>
              <w:rPr>
                <w:b w:val="false"/>
                <w:bCs w:val="false"/>
                <w:sz w:val="20"/>
                <w:szCs w:val="20"/>
              </w:rPr>
              <w:t xml:space="preserve">AWS af-south-1 (Cape Town) pending data-residency legal review (BRS Section 6)</w:t>
            </w:r>
          </w:p>
        </w:tc>
        <w:tc>
          <w:tcPr>
            <w:tcW w:type="dxa" w:w="3560"/>
            <w:tcMar>
              <w:top w:type="dxa" w:w="80"/>
              <w:left w:type="dxa" w:w="100"/>
              <w:bottom w:type="dxa" w:w="80"/>
              <w:right w:type="dxa" w:w="100"/>
            </w:tcMar>
          </w:tcPr>
          <w:p>
            <w:r>
              <w:rPr>
                <w:b w:val="false"/>
                <w:bCs w:val="false"/>
                <w:sz w:val="20"/>
                <w:szCs w:val="20"/>
              </w:rPr>
              <w:t xml:space="preserve">Nearest AWS region with in-continent residency; confirm meets any Kenya-specific residency rule</w:t>
            </w:r>
          </w:p>
        </w:tc>
      </w:tr>
      <w:tr>
        <w:tc>
          <w:tcPr>
            <w:tcW w:type="dxa" w:w="2200"/>
            <w:tcMar>
              <w:top w:type="dxa" w:w="80"/>
              <w:left w:type="dxa" w:w="100"/>
              <w:bottom w:type="dxa" w:w="80"/>
              <w:right w:type="dxa" w:w="100"/>
            </w:tcMar>
          </w:tcPr>
          <w:p>
            <w:r>
              <w:rPr>
                <w:b w:val="false"/>
                <w:bCs w:val="false"/>
                <w:sz w:val="20"/>
                <w:szCs w:val="20"/>
              </w:rPr>
              <w:t xml:space="preserve">Secrets &amp; keys</w:t>
            </w:r>
          </w:p>
        </w:tc>
        <w:tc>
          <w:tcPr>
            <w:tcW w:type="dxa" w:w="3600"/>
            <w:tcMar>
              <w:top w:type="dxa" w:w="80"/>
              <w:left w:type="dxa" w:w="100"/>
              <w:bottom w:type="dxa" w:w="80"/>
              <w:right w:type="dxa" w:w="100"/>
            </w:tcMar>
          </w:tcPr>
          <w:p>
            <w:r>
              <w:rPr>
                <w:b w:val="false"/>
                <w:bCs w:val="false"/>
                <w:sz w:val="20"/>
                <w:szCs w:val="20"/>
              </w:rPr>
              <w:t xml:space="preserve">AWS KMS / CloudHSM or a dedicated custody vendor</w:t>
            </w:r>
          </w:p>
        </w:tc>
        <w:tc>
          <w:tcPr>
            <w:tcW w:type="dxa" w:w="3560"/>
            <w:tcMar>
              <w:top w:type="dxa" w:w="80"/>
              <w:left w:type="dxa" w:w="100"/>
              <w:bottom w:type="dxa" w:w="80"/>
              <w:right w:type="dxa" w:w="100"/>
            </w:tcMar>
          </w:tcPr>
          <w:p>
            <w:r>
              <w:rPr>
                <w:b w:val="false"/>
                <w:bCs w:val="false"/>
                <w:sz w:val="20"/>
                <w:szCs w:val="20"/>
              </w:rPr>
              <w:t xml:space="preserve">Wallet private keys and payment credentials must never sit in application config</w:t>
            </w:r>
          </w:p>
        </w:tc>
      </w:tr>
      <w:tr>
        <w:tc>
          <w:tcPr>
            <w:tcW w:type="dxa" w:w="2200"/>
            <w:tcMar>
              <w:top w:type="dxa" w:w="80"/>
              <w:left w:type="dxa" w:w="100"/>
              <w:bottom w:type="dxa" w:w="80"/>
              <w:right w:type="dxa" w:w="100"/>
            </w:tcMar>
          </w:tcPr>
          <w:p>
            <w:r>
              <w:rPr>
                <w:b w:val="false"/>
                <w:bCs w:val="false"/>
                <w:sz w:val="20"/>
                <w:szCs w:val="20"/>
              </w:rPr>
              <w:t xml:space="preserve">Observability</w:t>
            </w:r>
          </w:p>
        </w:tc>
        <w:tc>
          <w:tcPr>
            <w:tcW w:type="dxa" w:w="3600"/>
            <w:tcMar>
              <w:top w:type="dxa" w:w="80"/>
              <w:left w:type="dxa" w:w="100"/>
              <w:bottom w:type="dxa" w:w="80"/>
              <w:right w:type="dxa" w:w="100"/>
            </w:tcMar>
          </w:tcPr>
          <w:p>
            <w:r>
              <w:rPr>
                <w:b w:val="false"/>
                <w:bCs w:val="false"/>
                <w:sz w:val="20"/>
                <w:szCs w:val="20"/>
              </w:rPr>
              <w:t xml:space="preserve">Prometheus/Grafana + centralized logging (e.g. ELK/OpenSearch)</w:t>
            </w:r>
          </w:p>
        </w:tc>
        <w:tc>
          <w:tcPr>
            <w:tcW w:type="dxa" w:w="3560"/>
            <w:tcMar>
              <w:top w:type="dxa" w:w="80"/>
              <w:left w:type="dxa" w:w="100"/>
              <w:bottom w:type="dxa" w:w="80"/>
              <w:right w:type="dxa" w:w="100"/>
            </w:tcMar>
          </w:tcPr>
          <w:p>
            <w:r>
              <w:rPr>
                <w:b w:val="false"/>
                <w:bCs w:val="false"/>
                <w:sz w:val="20"/>
                <w:szCs w:val="20"/>
              </w:rPr>
              <w:t xml:space="preserve">NFR targets in BRS Section 5 need continuous measurement, not spot checks</w:t>
            </w:r>
          </w:p>
        </w:tc>
      </w:tr>
    </w:tbl>
    <w:p>
      <w:pPr>
        <w:spacing w:after="200" w:line="300"/>
        <w:jc w:val="left"/>
      </w:pPr>
      <w:r>
        <w:rPr>
          <w:b w:val="false"/>
          <w:bCs w:val="false"/>
          <w:i w:val="false"/>
          <w:iCs w:val="false"/>
        </w:rPr>
        <w:t xml:space="preserve">Data residency is called out unresolved in BRS Section 6 ("check with a lawyer whether data has to physically stay in-country"). This is a genuine architectural fork: if Kenyan law requires in-country storage, af-south-1 (South Africa) does not satisfy it, and the team would need an in-Kenya hosting provider or a hybrid model (compliance-sensitive data in-country, application tier elsewhere). This should be resolved before database region is finalized — changing region after launch means a live data migration under regulatory scrutiny.</w:t>
      </w:r>
    </w:p>
    <w:p>
      <w:r>
        <w:br w:type="page"/>
      </w:r>
    </w:p>
    <w:p>
      <w:pPr>
        <w:pStyle w:val="Heading1"/>
        <w:spacing w:after="240" w:before="480"/>
      </w:pPr>
      <w:r>
        <w:t xml:space="preserve">3. Identity &amp; Access — Engineering Detail (REQ-001 to REQ-004)</w:t>
      </w:r>
    </w:p>
    <w:p>
      <w:pPr>
        <w:spacing w:after="200" w:line="300"/>
        <w:jc w:val="left"/>
      </w:pPr>
      <w:r>
        <w:rPr>
          <w:b w:val="false"/>
          <w:bCs w:val="false"/>
          <w:i w:val="false"/>
          <w:iCs w:val="false"/>
        </w:rPr>
        <w:t xml:space="preserve">This module is conventional auth with two Kenya-specific wrinkles: phone-number-first identity (common for M-Pesa-linked users) and a hard requirement that account lockout explains itself to the user (REQ-003) rather than failing silently, which is both a UX and a security-logging requirement.</w:t>
      </w:r>
    </w:p>
    <w:p>
      <w:pPr>
        <w:pStyle w:val="Heading2"/>
        <w:spacing w:after="160" w:before="360"/>
      </w:pPr>
      <w:r>
        <w:t xml:space="preserve">3.1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shd w:fill="1F3864" w:color="auto" w:val="clear"/>
            <w:tcMar>
              <w:top w:type="dxa" w:w="80"/>
              <w:left w:type="dxa" w:w="100"/>
              <w:bottom w:type="dxa" w:w="80"/>
              <w:right w:type="dxa" w:w="100"/>
            </w:tcMar>
          </w:tcPr>
          <w:p>
            <w:r>
              <w:rPr>
                <w:b/>
                <w:bCs/>
                <w:color w:val="FFFFFF"/>
                <w:sz w:val="20"/>
                <w:szCs w:val="20"/>
              </w:rPr>
              <w:t xml:space="preserve">Table</w:t>
            </w:r>
          </w:p>
        </w:tc>
        <w:tc>
          <w:tcPr>
            <w:tcW w:type="dxa" w:w="4200"/>
            <w:shd w:fill="1F3864" w:color="auto" w:val="clear"/>
            <w:tcMar>
              <w:top w:type="dxa" w:w="80"/>
              <w:left w:type="dxa" w:w="100"/>
              <w:bottom w:type="dxa" w:w="80"/>
              <w:right w:type="dxa" w:w="100"/>
            </w:tcMar>
          </w:tcPr>
          <w:p>
            <w:r>
              <w:rPr>
                <w:b/>
                <w:bCs/>
                <w:color w:val="FFFFFF"/>
                <w:sz w:val="20"/>
                <w:szCs w:val="20"/>
              </w:rPr>
              <w:t xml:space="preserve">Key Fields</w:t>
            </w:r>
          </w:p>
        </w:tc>
        <w:tc>
          <w:tcPr>
            <w:tcW w:type="dxa" w:w="2760"/>
            <w:shd w:fill="1F3864" w:color="auto" w:val="clear"/>
            <w:tcMar>
              <w:top w:type="dxa" w:w="80"/>
              <w:left w:type="dxa" w:w="100"/>
              <w:bottom w:type="dxa" w:w="80"/>
              <w:right w:type="dxa" w:w="100"/>
            </w:tcMar>
          </w:tcPr>
          <w:p>
            <w:r>
              <w:rPr>
                <w:b/>
                <w:bCs/>
                <w:color w:val="FFFFFF"/>
                <w:sz w:val="20"/>
                <w:szCs w:val="20"/>
              </w:rPr>
              <w:t xml:space="preserve">Notes</w:t>
            </w:r>
          </w:p>
        </w:tc>
      </w:tr>
      <w:tr>
        <w:tc>
          <w:tcPr>
            <w:tcW w:type="dxa" w:w="2400"/>
            <w:tcMar>
              <w:top w:type="dxa" w:w="80"/>
              <w:left w:type="dxa" w:w="100"/>
              <w:bottom w:type="dxa" w:w="80"/>
              <w:right w:type="dxa" w:w="100"/>
            </w:tcMar>
          </w:tcPr>
          <w:p>
            <w:r>
              <w:rPr>
                <w:b w:val="false"/>
                <w:bCs w:val="false"/>
                <w:sz w:val="20"/>
                <w:szCs w:val="20"/>
              </w:rPr>
              <w:t xml:space="preserve">users</w:t>
            </w:r>
          </w:p>
        </w:tc>
        <w:tc>
          <w:tcPr>
            <w:tcW w:type="dxa" w:w="4200"/>
            <w:tcMar>
              <w:top w:type="dxa" w:w="80"/>
              <w:left w:type="dxa" w:w="100"/>
              <w:bottom w:type="dxa" w:w="80"/>
              <w:right w:type="dxa" w:w="100"/>
            </w:tcMar>
          </w:tcPr>
          <w:p>
            <w:r>
              <w:rPr>
                <w:b w:val="false"/>
                <w:bCs w:val="false"/>
                <w:sz w:val="20"/>
                <w:szCs w:val="20"/>
              </w:rPr>
              <w:t xml:space="preserve">id, email, phone, password_hash, mfa_enabled, mfa_method, created_at</w:t>
            </w:r>
          </w:p>
        </w:tc>
        <w:tc>
          <w:tcPr>
            <w:tcW w:type="dxa" w:w="2760"/>
            <w:tcMar>
              <w:top w:type="dxa" w:w="80"/>
              <w:left w:type="dxa" w:w="100"/>
              <w:bottom w:type="dxa" w:w="80"/>
              <w:right w:type="dxa" w:w="100"/>
            </w:tcMar>
          </w:tcPr>
          <w:p>
            <w:r>
              <w:rPr>
                <w:b w:val="false"/>
                <w:bCs w:val="false"/>
                <w:sz w:val="20"/>
                <w:szCs w:val="20"/>
              </w:rPr>
              <w:t xml:space="preserve">email OR phone required, not both mandatory, per REQ-001</w:t>
            </w:r>
          </w:p>
        </w:tc>
      </w:tr>
      <w:tr>
        <w:tc>
          <w:tcPr>
            <w:tcW w:type="dxa" w:w="2400"/>
            <w:tcMar>
              <w:top w:type="dxa" w:w="80"/>
              <w:left w:type="dxa" w:w="100"/>
              <w:bottom w:type="dxa" w:w="80"/>
              <w:right w:type="dxa" w:w="100"/>
            </w:tcMar>
          </w:tcPr>
          <w:p>
            <w:r>
              <w:rPr>
                <w:b w:val="false"/>
                <w:bCs w:val="false"/>
                <w:sz w:val="20"/>
                <w:szCs w:val="20"/>
              </w:rPr>
              <w:t xml:space="preserve">auth_attempts</w:t>
            </w:r>
          </w:p>
        </w:tc>
        <w:tc>
          <w:tcPr>
            <w:tcW w:type="dxa" w:w="4200"/>
            <w:tcMar>
              <w:top w:type="dxa" w:w="80"/>
              <w:left w:type="dxa" w:w="100"/>
              <w:bottom w:type="dxa" w:w="80"/>
              <w:right w:type="dxa" w:w="100"/>
            </w:tcMar>
          </w:tcPr>
          <w:p>
            <w:r>
              <w:rPr>
                <w:b w:val="false"/>
                <w:bCs w:val="false"/>
                <w:sz w:val="20"/>
                <w:szCs w:val="20"/>
              </w:rPr>
              <w:t xml:space="preserve">user_id, ip, result, attempted_at</w:t>
            </w:r>
          </w:p>
        </w:tc>
        <w:tc>
          <w:tcPr>
            <w:tcW w:type="dxa" w:w="2760"/>
            <w:tcMar>
              <w:top w:type="dxa" w:w="80"/>
              <w:left w:type="dxa" w:w="100"/>
              <w:bottom w:type="dxa" w:w="80"/>
              <w:right w:type="dxa" w:w="100"/>
            </w:tcMar>
          </w:tcPr>
          <w:p>
            <w:r>
              <w:rPr>
                <w:b w:val="false"/>
                <w:bCs w:val="false"/>
                <w:sz w:val="20"/>
                <w:szCs w:val="20"/>
              </w:rPr>
              <w:t xml:space="preserve">Drives the 5-strikes lockout in REQ-003; also feeds fraud signals</w:t>
            </w:r>
          </w:p>
        </w:tc>
      </w:tr>
      <w:tr>
        <w:tc>
          <w:tcPr>
            <w:tcW w:type="dxa" w:w="2400"/>
            <w:tcMar>
              <w:top w:type="dxa" w:w="80"/>
              <w:left w:type="dxa" w:w="100"/>
              <w:bottom w:type="dxa" w:w="80"/>
              <w:right w:type="dxa" w:w="100"/>
            </w:tcMar>
          </w:tcPr>
          <w:p>
            <w:r>
              <w:rPr>
                <w:b w:val="false"/>
                <w:bCs w:val="false"/>
                <w:sz w:val="20"/>
                <w:szCs w:val="20"/>
              </w:rPr>
              <w:t xml:space="preserve">mfa_secrets</w:t>
            </w:r>
          </w:p>
        </w:tc>
        <w:tc>
          <w:tcPr>
            <w:tcW w:type="dxa" w:w="4200"/>
            <w:tcMar>
              <w:top w:type="dxa" w:w="80"/>
              <w:left w:type="dxa" w:w="100"/>
              <w:bottom w:type="dxa" w:w="80"/>
              <w:right w:type="dxa" w:w="100"/>
            </w:tcMar>
          </w:tcPr>
          <w:p>
            <w:r>
              <w:rPr>
                <w:b w:val="false"/>
                <w:bCs w:val="false"/>
                <w:sz w:val="20"/>
                <w:szCs w:val="20"/>
              </w:rPr>
              <w:t xml:space="preserve">user_id, method (sms/totp), secret_encrypted, verified_at</w:t>
            </w:r>
          </w:p>
        </w:tc>
        <w:tc>
          <w:tcPr>
            <w:tcW w:type="dxa" w:w="2760"/>
            <w:tcMar>
              <w:top w:type="dxa" w:w="80"/>
              <w:left w:type="dxa" w:w="100"/>
              <w:bottom w:type="dxa" w:w="80"/>
              <w:right w:type="dxa" w:w="100"/>
            </w:tcMar>
          </w:tcPr>
          <w:p>
            <w:r>
              <w:rPr>
                <w:b w:val="false"/>
                <w:bCs w:val="false"/>
                <w:sz w:val="20"/>
                <w:szCs w:val="20"/>
              </w:rPr>
              <w:t xml:space="preserve">TOTP secret encrypted at rest; SMS uses OTP store in Redis, not persisted</w:t>
            </w:r>
          </w:p>
        </w:tc>
      </w:tr>
      <w:tr>
        <w:tc>
          <w:tcPr>
            <w:tcW w:type="dxa" w:w="2400"/>
            <w:tcMar>
              <w:top w:type="dxa" w:w="80"/>
              <w:left w:type="dxa" w:w="100"/>
              <w:bottom w:type="dxa" w:w="80"/>
              <w:right w:type="dxa" w:w="100"/>
            </w:tcMar>
          </w:tcPr>
          <w:p>
            <w:r>
              <w:rPr>
                <w:b w:val="false"/>
                <w:bCs w:val="false"/>
                <w:sz w:val="20"/>
                <w:szCs w:val="20"/>
              </w:rPr>
              <w:t xml:space="preserve">password_reset_tokens</w:t>
            </w:r>
          </w:p>
        </w:tc>
        <w:tc>
          <w:tcPr>
            <w:tcW w:type="dxa" w:w="4200"/>
            <w:tcMar>
              <w:top w:type="dxa" w:w="80"/>
              <w:left w:type="dxa" w:w="100"/>
              <w:bottom w:type="dxa" w:w="80"/>
              <w:right w:type="dxa" w:w="100"/>
            </w:tcMar>
          </w:tcPr>
          <w:p>
            <w:r>
              <w:rPr>
                <w:b w:val="false"/>
                <w:bCs w:val="false"/>
                <w:sz w:val="20"/>
                <w:szCs w:val="20"/>
              </w:rPr>
              <w:t xml:space="preserve">user_id, token_hash, expires_at, used_at</w:t>
            </w:r>
          </w:p>
        </w:tc>
        <w:tc>
          <w:tcPr>
            <w:tcW w:type="dxa" w:w="2760"/>
            <w:tcMar>
              <w:top w:type="dxa" w:w="80"/>
              <w:left w:type="dxa" w:w="100"/>
              <w:bottom w:type="dxa" w:w="80"/>
              <w:right w:type="dxa" w:w="100"/>
            </w:tcMar>
          </w:tcPr>
          <w:p>
            <w:r>
              <w:rPr>
                <w:b w:val="false"/>
                <w:bCs w:val="false"/>
                <w:sz w:val="20"/>
                <w:szCs w:val="20"/>
              </w:rPr>
              <w:t xml:space="preserve">Single-use, 30-minute TTL per REQ-004; store only the hash, never the raw token</w:t>
            </w:r>
          </w:p>
        </w:tc>
      </w:tr>
    </w:tbl>
    <w:p>
      <w:pPr>
        <w:pStyle w:val="Heading2"/>
        <w:spacing w:after="160" w:before="360"/>
      </w:pPr>
      <w:r>
        <w:t xml:space="preserve">3.2 Key Design Decisions</w:t>
      </w:r>
    </w:p>
    <w:p>
      <w:pPr>
        <w:pStyle w:val="ListParagraph"/>
        <w:numPr>
          <w:ilvl w:val="0"/>
          <w:numId w:val="2"/>
        </w:numPr>
        <w:spacing w:after="100"/>
      </w:pPr>
      <w:r>
        <w:t xml:space="preserve">Password policy (REQ-001) enforced both client-side (immediate feedback) and server-side (source of truth) — never trust client-only validation for a security control.</w:t>
      </w:r>
    </w:p>
    <w:p>
      <w:pPr>
        <w:pStyle w:val="ListParagraph"/>
        <w:numPr>
          <w:ilvl w:val="0"/>
          <w:numId w:val="2"/>
        </w:numPr>
        <w:spacing w:after="100"/>
      </w:pPr>
      <w:r>
        <w:t xml:space="preserve">Account lockout (REQ-003) should lock the account, not the IP — locking IPs is trivially bypassed and hurts users on shared/carrier-grade NAT connections common on Kenyan mobile networks.</w:t>
      </w:r>
    </w:p>
    <w:p>
      <w:pPr>
        <w:pStyle w:val="ListParagraph"/>
        <w:numPr>
          <w:ilvl w:val="0"/>
          <w:numId w:val="2"/>
        </w:numPr>
        <w:spacing w:after="100"/>
      </w:pPr>
      <w:r>
        <w:t xml:space="preserve">Password reset tokens are single-use and time-boxed (REQ-004); implement by storing a hash of the token and marking it used inside the same transaction that changes the password, to close the race condition where a token could be used twice under concurrent requests.</w:t>
      </w:r>
    </w:p>
    <w:p>
      <w:pPr>
        <w:pStyle w:val="ListParagraph"/>
        <w:numPr>
          <w:ilvl w:val="0"/>
          <w:numId w:val="2"/>
        </w:numPr>
        <w:spacing w:after="100"/>
      </w:pPr>
      <w:r>
        <w:t xml:space="preserve">MFA (REQ-002): SMS OTP is the practical default for the Kenyan market given SIM-based identity is already tied to M-Pesa, but SMS OTP is phishable (SIM-swap risk) — TOTP (authenticator app) should be offered and, for Enhanced-tier users handling larger sums, encouraged or required.</w:t>
      </w:r>
    </w:p>
    <w:p>
      <w:pPr>
        <w:pStyle w:val="ListParagraph"/>
        <w:numPr>
          <w:ilvl w:val="0"/>
          <w:numId w:val="2"/>
        </w:numPr>
        <w:spacing w:after="100"/>
      </w:pPr>
      <w:r>
        <w:t xml:space="preserve">Disabling MFA must re-verify identity (BRS acceptance criteria) — implement as a step-up auth flow, not a simple toggle, so a stolen session token alone cannot turn off the user's second factor.</w:t>
      </w:r>
    </w:p>
    <w:p>
      <w:pPr>
        <w:pStyle w:val="Heading1"/>
        <w:spacing w:after="240" w:before="480"/>
      </w:pPr>
      <w:r>
        <w:t xml:space="preserve">4. KYC / Identity Verification — Engineering Detail (REQ-010 to REQ-014)</w:t>
      </w:r>
    </w:p>
    <w:p>
      <w:pPr>
        <w:spacing w:after="200" w:line="300"/>
        <w:jc w:val="left"/>
      </w:pPr>
      <w:r>
        <w:rPr>
          <w:b w:val="false"/>
          <w:bCs w:val="false"/>
          <w:i w:val="false"/>
          <w:iCs w:val="false"/>
        </w:rPr>
        <w:t xml:space="preserve">This is the module the rest of the app is gated behind (REQ-014: no wallet before verification), and it's also the module with the most outstanding legal dependency (BRS Section 8: work can't start until a lawyer confirms requirements). The engineering design below should be treated as a target architecture to validate against legal guidance, not a final spec.</w:t>
      </w:r>
    </w:p>
    <w:p>
      <w:pPr>
        <w:pStyle w:val="Heading2"/>
        <w:spacing w:after="160" w:before="360"/>
      </w:pPr>
      <w:r>
        <w:t xml:space="preserve">4.1 Verification Pipeline</w:t>
      </w:r>
    </w:p>
    <w:p>
      <w:pPr>
        <w:spacing w:after="200" w:line="300"/>
        <w:jc w:val="left"/>
      </w:pPr>
      <w:r>
        <w:rPr>
          <w:b w:val="false"/>
          <w:bCs w:val="false"/>
          <w:i w:val="false"/>
          <w:iCs w:val="false"/>
        </w:rPr>
        <w:t xml:space="preserve">A four-stage pipeline maps cleanly onto REQ-010 through REQ-012:</w:t>
      </w:r>
    </w:p>
    <w:p>
      <w:pPr>
        <w:pStyle w:val="ListParagraph"/>
        <w:numPr>
          <w:ilvl w:val="0"/>
          <w:numId w:val="3"/>
        </w:numPr>
        <w:spacing w:after="100"/>
      </w:pPr>
      <w:r>
        <w:t xml:space="preserve">Capture — National ID number, KRA PIN, government ID photo (front/back), and a liveness selfie, collected through the mobile app's camera flow with basic client-side quality checks (blur/glare detection) before upload, to reduce round-trips on a review queue that a human will otherwise have to reject.</w:t>
      </w:r>
    </w:p>
    <w:p>
      <w:pPr>
        <w:pStyle w:val="ListParagraph"/>
        <w:numPr>
          <w:ilvl w:val="0"/>
          <w:numId w:val="3"/>
        </w:numPr>
        <w:spacing w:after="100"/>
      </w:pPr>
      <w:r>
        <w:t xml:space="preserve">Automated match — a KYC/liveness vendor (e.g. Smile Identity, which has strong Kenya/East Africa document coverage, or a comparable provider) compares the selfie against the submitted ID (REQ-011). This should run as an asynchronous job, not inline with the signup request, since these calls can take seconds and should never block the app.</w:t>
      </w:r>
    </w:p>
    <w:p>
      <w:pPr>
        <w:pStyle w:val="ListParagraph"/>
        <w:numPr>
          <w:ilvl w:val="0"/>
          <w:numId w:val="3"/>
        </w:numPr>
        <w:spacing w:after="100"/>
      </w:pPr>
      <w:r>
        <w:t xml:space="preserve">Manual review — any non-match, low-confidence match, or flagged document routes to a Compliance Officer queue (REQ-011's acceptance criteria explicitly rules out auto-rejection). This queue is a first-class feature of the Admin module (Section 9 below), not an afterthought.</w:t>
      </w:r>
    </w:p>
    <w:p>
      <w:pPr>
        <w:pStyle w:val="ListParagraph"/>
        <w:numPr>
          <w:ilvl w:val="0"/>
          <w:numId w:val="3"/>
        </w:numPr>
        <w:spacing w:after="100"/>
      </w:pPr>
      <w:r>
        <w:t xml:space="preserve">Tiering — once verified, the user is assigned Basic/Verified/Enhanced (REQ-012), each carrying a transaction-limit configuration that the Compliance Engine checks on every transaction.</w:t>
      </w:r>
    </w:p>
    <w:p>
      <w:pPr>
        <w:pStyle w:val="Heading2"/>
        <w:spacing w:after="160" w:before="360"/>
      </w:pPr>
      <w:r>
        <w:t xml:space="preserve">4.2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shd w:fill="1F3864" w:color="auto" w:val="clear"/>
            <w:tcMar>
              <w:top w:type="dxa" w:w="80"/>
              <w:left w:type="dxa" w:w="100"/>
              <w:bottom w:type="dxa" w:w="80"/>
              <w:right w:type="dxa" w:w="100"/>
            </w:tcMar>
          </w:tcPr>
          <w:p>
            <w:r>
              <w:rPr>
                <w:b/>
                <w:bCs/>
                <w:color w:val="FFFFFF"/>
                <w:sz w:val="20"/>
                <w:szCs w:val="20"/>
              </w:rPr>
              <w:t xml:space="preserve">Table</w:t>
            </w:r>
          </w:p>
        </w:tc>
        <w:tc>
          <w:tcPr>
            <w:tcW w:type="dxa" w:w="4200"/>
            <w:shd w:fill="1F3864" w:color="auto" w:val="clear"/>
            <w:tcMar>
              <w:top w:type="dxa" w:w="80"/>
              <w:left w:type="dxa" w:w="100"/>
              <w:bottom w:type="dxa" w:w="80"/>
              <w:right w:type="dxa" w:w="100"/>
            </w:tcMar>
          </w:tcPr>
          <w:p>
            <w:r>
              <w:rPr>
                <w:b/>
                <w:bCs/>
                <w:color w:val="FFFFFF"/>
                <w:sz w:val="20"/>
                <w:szCs w:val="20"/>
              </w:rPr>
              <w:t xml:space="preserve">Key Fields</w:t>
            </w:r>
          </w:p>
        </w:tc>
        <w:tc>
          <w:tcPr>
            <w:tcW w:type="dxa" w:w="2560"/>
            <w:shd w:fill="1F3864" w:color="auto" w:val="clear"/>
            <w:tcMar>
              <w:top w:type="dxa" w:w="80"/>
              <w:left w:type="dxa" w:w="100"/>
              <w:bottom w:type="dxa" w:w="80"/>
              <w:right w:type="dxa" w:w="100"/>
            </w:tcMar>
          </w:tcPr>
          <w:p>
            <w:r>
              <w:rPr>
                <w:b/>
                <w:bCs/>
                <w:color w:val="FFFFFF"/>
                <w:sz w:val="20"/>
                <w:szCs w:val="20"/>
              </w:rPr>
              <w:t xml:space="preserve">Notes</w:t>
            </w:r>
          </w:p>
        </w:tc>
      </w:tr>
      <w:tr>
        <w:tc>
          <w:tcPr>
            <w:tcW w:type="dxa" w:w="2600"/>
            <w:tcMar>
              <w:top w:type="dxa" w:w="80"/>
              <w:left w:type="dxa" w:w="100"/>
              <w:bottom w:type="dxa" w:w="80"/>
              <w:right w:type="dxa" w:w="100"/>
            </w:tcMar>
          </w:tcPr>
          <w:p>
            <w:r>
              <w:rPr>
                <w:b w:val="false"/>
                <w:bCs w:val="false"/>
                <w:sz w:val="20"/>
                <w:szCs w:val="20"/>
              </w:rPr>
              <w:t xml:space="preserve">kyc_submissions</w:t>
            </w:r>
          </w:p>
        </w:tc>
        <w:tc>
          <w:tcPr>
            <w:tcW w:type="dxa" w:w="4200"/>
            <w:tcMar>
              <w:top w:type="dxa" w:w="80"/>
              <w:left w:type="dxa" w:w="100"/>
              <w:bottom w:type="dxa" w:w="80"/>
              <w:right w:type="dxa" w:w="100"/>
            </w:tcMar>
          </w:tcPr>
          <w:p>
            <w:r>
              <w:rPr>
                <w:b w:val="false"/>
                <w:bCs w:val="false"/>
                <w:sz w:val="20"/>
                <w:szCs w:val="20"/>
              </w:rPr>
              <w:t xml:space="preserve">user_id, national_id, kra_pin, id_doc_url, selfie_url, status, submitted_at</w:t>
            </w:r>
          </w:p>
        </w:tc>
        <w:tc>
          <w:tcPr>
            <w:tcW w:type="dxa" w:w="2560"/>
            <w:tcMar>
              <w:top w:type="dxa" w:w="80"/>
              <w:left w:type="dxa" w:w="100"/>
              <w:bottom w:type="dxa" w:w="80"/>
              <w:right w:type="dxa" w:w="100"/>
            </w:tcMar>
          </w:tcPr>
          <w:p>
            <w:r>
              <w:rPr>
                <w:b w:val="false"/>
                <w:bCs w:val="false"/>
                <w:sz w:val="20"/>
                <w:szCs w:val="20"/>
              </w:rPr>
              <w:t xml:space="preserve">Documents stored in encrypted object storage, never inline in the DB</w:t>
            </w:r>
          </w:p>
        </w:tc>
      </w:tr>
      <w:tr>
        <w:tc>
          <w:tcPr>
            <w:tcW w:type="dxa" w:w="2600"/>
            <w:tcMar>
              <w:top w:type="dxa" w:w="80"/>
              <w:left w:type="dxa" w:w="100"/>
              <w:bottom w:type="dxa" w:w="80"/>
              <w:right w:type="dxa" w:w="100"/>
            </w:tcMar>
          </w:tcPr>
          <w:p>
            <w:r>
              <w:rPr>
                <w:b w:val="false"/>
                <w:bCs w:val="false"/>
                <w:sz w:val="20"/>
                <w:szCs w:val="20"/>
              </w:rPr>
              <w:t xml:space="preserve">kyc_review_cases</w:t>
            </w:r>
          </w:p>
        </w:tc>
        <w:tc>
          <w:tcPr>
            <w:tcW w:type="dxa" w:w="4200"/>
            <w:tcMar>
              <w:top w:type="dxa" w:w="80"/>
              <w:left w:type="dxa" w:w="100"/>
              <w:bottom w:type="dxa" w:w="80"/>
              <w:right w:type="dxa" w:w="100"/>
            </w:tcMar>
          </w:tcPr>
          <w:p>
            <w:r>
              <w:rPr>
                <w:b w:val="false"/>
                <w:bCs w:val="false"/>
                <w:sz w:val="20"/>
                <w:szCs w:val="20"/>
              </w:rPr>
              <w:t xml:space="preserve">submission_id, assigned_officer_id, decision, notes, decided_at</w:t>
            </w:r>
          </w:p>
        </w:tc>
        <w:tc>
          <w:tcPr>
            <w:tcW w:type="dxa" w:w="2560"/>
            <w:tcMar>
              <w:top w:type="dxa" w:w="80"/>
              <w:left w:type="dxa" w:w="100"/>
              <w:bottom w:type="dxa" w:w="80"/>
              <w:right w:type="dxa" w:w="100"/>
            </w:tcMar>
          </w:tcPr>
          <w:p>
            <w:r>
              <w:rPr>
                <w:b w:val="false"/>
                <w:bCs w:val="false"/>
                <w:sz w:val="20"/>
                <w:szCs w:val="20"/>
              </w:rPr>
              <w:t xml:space="preserve">Every decision is attributable to a named Compliance Officer — feeds REQ-063 audit trail</w:t>
            </w:r>
          </w:p>
        </w:tc>
      </w:tr>
      <w:tr>
        <w:tc>
          <w:tcPr>
            <w:tcW w:type="dxa" w:w="2600"/>
            <w:tcMar>
              <w:top w:type="dxa" w:w="80"/>
              <w:left w:type="dxa" w:w="100"/>
              <w:bottom w:type="dxa" w:w="80"/>
              <w:right w:type="dxa" w:w="100"/>
            </w:tcMar>
          </w:tcPr>
          <w:p>
            <w:r>
              <w:rPr>
                <w:b w:val="false"/>
                <w:bCs w:val="false"/>
                <w:sz w:val="20"/>
                <w:szCs w:val="20"/>
              </w:rPr>
              <w:t xml:space="preserve">user_tiers</w:t>
            </w:r>
          </w:p>
        </w:tc>
        <w:tc>
          <w:tcPr>
            <w:tcW w:type="dxa" w:w="4200"/>
            <w:tcMar>
              <w:top w:type="dxa" w:w="80"/>
              <w:left w:type="dxa" w:w="100"/>
              <w:bottom w:type="dxa" w:w="80"/>
              <w:right w:type="dxa" w:w="100"/>
            </w:tcMar>
          </w:tcPr>
          <w:p>
            <w:r>
              <w:rPr>
                <w:b w:val="false"/>
                <w:bCs w:val="false"/>
                <w:sz w:val="20"/>
                <w:szCs w:val="20"/>
              </w:rPr>
              <w:t xml:space="preserve">user_id, tier, daily_limit, monthly_limit, effective_from</w:t>
            </w:r>
          </w:p>
        </w:tc>
        <w:tc>
          <w:tcPr>
            <w:tcW w:type="dxa" w:w="2560"/>
            <w:tcMar>
              <w:top w:type="dxa" w:w="80"/>
              <w:left w:type="dxa" w:w="100"/>
              <w:bottom w:type="dxa" w:w="80"/>
              <w:right w:type="dxa" w:w="100"/>
            </w:tcMar>
          </w:tcPr>
          <w:p>
            <w:r>
              <w:rPr>
                <w:b w:val="false"/>
                <w:bCs w:val="false"/>
                <w:sz w:val="20"/>
                <w:szCs w:val="20"/>
              </w:rPr>
              <w:t xml:space="preserve">Versioned so limit changes don't rewrite history</w:t>
            </w:r>
          </w:p>
        </w:tc>
      </w:tr>
      <w:tr>
        <w:tc>
          <w:tcPr>
            <w:tcW w:type="dxa" w:w="2600"/>
            <w:tcMar>
              <w:top w:type="dxa" w:w="80"/>
              <w:left w:type="dxa" w:w="100"/>
              <w:bottom w:type="dxa" w:w="80"/>
              <w:right w:type="dxa" w:w="100"/>
            </w:tcMar>
          </w:tcPr>
          <w:p>
            <w:r>
              <w:rPr>
                <w:b w:val="false"/>
                <w:bCs w:val="false"/>
                <w:sz w:val="20"/>
                <w:szCs w:val="20"/>
              </w:rPr>
              <w:t xml:space="preserve">compliance_holds</w:t>
            </w:r>
          </w:p>
        </w:tc>
        <w:tc>
          <w:tcPr>
            <w:tcW w:type="dxa" w:w="4200"/>
            <w:tcMar>
              <w:top w:type="dxa" w:w="80"/>
              <w:left w:type="dxa" w:w="100"/>
              <w:bottom w:type="dxa" w:w="80"/>
              <w:right w:type="dxa" w:w="100"/>
            </w:tcMar>
          </w:tcPr>
          <w:p>
            <w:r>
              <w:rPr>
                <w:b w:val="false"/>
                <w:bCs w:val="false"/>
                <w:sz w:val="20"/>
                <w:szCs w:val="20"/>
              </w:rPr>
              <w:t xml:space="preserve">transaction_id, reason, threshold_rule_id, status, released_by</w:t>
            </w:r>
          </w:p>
        </w:tc>
        <w:tc>
          <w:tcPr>
            <w:tcW w:type="dxa" w:w="2560"/>
            <w:tcMar>
              <w:top w:type="dxa" w:w="80"/>
              <w:left w:type="dxa" w:w="100"/>
              <w:bottom w:type="dxa" w:w="80"/>
              <w:right w:type="dxa" w:w="100"/>
            </w:tcMar>
          </w:tcPr>
          <w:p>
            <w:r>
              <w:rPr>
                <w:b w:val="false"/>
                <w:bCs w:val="false"/>
                <w:sz w:val="20"/>
                <w:szCs w:val="20"/>
              </w:rPr>
              <w:t xml:space="preserve">Implements REQ-013; threshold_rule_id points to a configurable rule, not a hardcoded number</w:t>
            </w:r>
          </w:p>
        </w:tc>
      </w:tr>
    </w:tbl>
    <w:p>
      <w:pPr>
        <w:pStyle w:val="Heading2"/>
        <w:spacing w:after="160" w:before="360"/>
      </w:pPr>
      <w:r>
        <w:t xml:space="preserve">4.3 Engineering Notes and Risks</w:t>
      </w:r>
    </w:p>
    <w:p>
      <w:pPr>
        <w:pStyle w:val="ListParagraph"/>
        <w:numPr>
          <w:ilvl w:val="0"/>
          <w:numId w:val="2"/>
        </w:numPr>
        <w:spacing w:after="100"/>
      </w:pPr>
      <w:r>
        <w:t xml:space="preserve">REQ-013 explicitly requires the reporting threshold to be configurable from settings, not code — this should be modeled as a rules table (or a lightweight rules engine) the Compliance module reads at transaction time, so a threshold change is an admin action, not a deploy.</w:t>
      </w:r>
    </w:p>
    <w:p>
      <w:pPr>
        <w:pStyle w:val="ListParagraph"/>
        <w:numPr>
          <w:ilvl w:val="0"/>
          <w:numId w:val="2"/>
        </w:numPr>
        <w:spacing w:after="100"/>
      </w:pPr>
      <w:r>
        <w:t xml:space="preserve">REQ-014 ("technically impossible to activate a wallet before verification") is a hard invariant — enforce it at the data layer (a foreign-key/status check that wallet creation requires kyc_submissions.status = 'verified'), not just in application logic that a future code change could accidentally bypass.</w:t>
      </w:r>
    </w:p>
    <w:p>
      <w:pPr>
        <w:pStyle w:val="ListParagraph"/>
        <w:numPr>
          <w:ilvl w:val="0"/>
          <w:numId w:val="2"/>
        </w:numPr>
        <w:spacing w:after="100"/>
      </w:pPr>
      <w:r>
        <w:t xml:space="preserve">Document storage for National ID scans and selfies is the single highest-sensitivity dataset in the system. It should sit in its own encrypted bucket with restricted IAM access, separate audit logging on read access (who viewed whose ID and when), and a retention policy that is currently undefined pending legal input (BRS Section 6) — build the deletion/retention job now with a configurable retention period, so it's a config change once legal confirms the number, not a new feature.</w:t>
      </w:r>
    </w:p>
    <w:p>
      <w:pPr>
        <w:pStyle w:val="ListParagraph"/>
        <w:numPr>
          <w:ilvl w:val="0"/>
          <w:numId w:val="2"/>
        </w:numPr>
        <w:spacing w:after="100"/>
      </w:pPr>
      <w:r>
        <w:t xml:space="preserve">Vendor dependency risk: the automated selfie-match step depends on a third-party KYC vendor's uptime and accuracy. Design the pipeline so a vendor outage degrades to "everything queues for manual review" rather than blocking signups outright.</w:t>
      </w:r>
    </w:p>
    <w:p>
      <w:pPr>
        <w:pStyle w:val="Heading1"/>
        <w:spacing w:after="240" w:before="480"/>
      </w:pPr>
      <w:r>
        <w:t xml:space="preserve">5. Wallet &amp; Custody — Engineering Detail (REQ-020 to REQ-023)</w:t>
      </w:r>
    </w:p>
    <w:p>
      <w:pPr>
        <w:spacing w:after="200" w:line="300"/>
        <w:jc w:val="left"/>
      </w:pPr>
      <w:r>
        <w:rPr>
          <w:b w:val="false"/>
          <w:bCs w:val="false"/>
          <w:i w:val="false"/>
          <w:iCs w:val="false"/>
        </w:rPr>
        <w:t xml:space="preserve">BRS Section 8 flags the custody model itself (who holds the private keys — the company or the user) as an open decision, explicitly blocking REQ-022's proper design. This is the single most consequential unresolved decision in the entire BRS: custodial and non-custodial wallets are close to different products at the architecture level, and the choice affects security architecture, regulatory obligations, insurance/bonding requirements, and support-ticket volume.</w:t>
      </w:r>
    </w:p>
    <w:p>
      <w:pPr>
        <w:pStyle w:val="Heading2"/>
        <w:spacing w:after="160" w:before="360"/>
      </w:pPr>
      <w:r>
        <w:t xml:space="preserve">5.1 The Two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rPr>
          <w:tblHeader/>
        </w:trPr>
        <w:tc>
          <w:tcPr>
            <w:tcW w:type="dxa" w:w="2000"/>
            <w:shd w:fill="1F3864" w:color="auto" w:val="clear"/>
            <w:tcMar>
              <w:top w:type="dxa" w:w="80"/>
              <w:left w:type="dxa" w:w="100"/>
              <w:bottom w:type="dxa" w:w="80"/>
              <w:right w:type="dxa" w:w="100"/>
            </w:tcMar>
          </w:tcPr>
          <w:p>
            <w:r>
              <w:rPr>
                <w:b/>
                <w:bCs/>
                <w:color w:val="FFFFFF"/>
                <w:sz w:val="20"/>
                <w:szCs w:val="20"/>
              </w:rPr>
              <w:t xml:space="preserve"/>
            </w:r>
          </w:p>
        </w:tc>
        <w:tc>
          <w:tcPr>
            <w:tcW w:type="dxa" w:w="3760"/>
            <w:shd w:fill="1F3864" w:color="auto" w:val="clear"/>
            <w:tcMar>
              <w:top w:type="dxa" w:w="80"/>
              <w:left w:type="dxa" w:w="100"/>
              <w:bottom w:type="dxa" w:w="80"/>
              <w:right w:type="dxa" w:w="100"/>
            </w:tcMar>
          </w:tcPr>
          <w:p>
            <w:r>
              <w:rPr>
                <w:b/>
                <w:bCs/>
                <w:color w:val="FFFFFF"/>
                <w:sz w:val="20"/>
                <w:szCs w:val="20"/>
              </w:rPr>
              <w:t xml:space="preserve">Custodial (company holds keys)</w:t>
            </w:r>
          </w:p>
        </w:tc>
        <w:tc>
          <w:tcPr>
            <w:tcW w:type="dxa" w:w="3600"/>
            <w:shd w:fill="1F3864" w:color="auto" w:val="clear"/>
            <w:tcMar>
              <w:top w:type="dxa" w:w="80"/>
              <w:left w:type="dxa" w:w="100"/>
              <w:bottom w:type="dxa" w:w="80"/>
              <w:right w:type="dxa" w:w="100"/>
            </w:tcMar>
          </w:tcPr>
          <w:p>
            <w:r>
              <w:rPr>
                <w:b/>
                <w:bCs/>
                <w:color w:val="FFFFFF"/>
                <w:sz w:val="20"/>
                <w:szCs w:val="20"/>
              </w:rPr>
              <w:t xml:space="preserve">Non-custodial (user holds keys)</w:t>
            </w:r>
          </w:p>
        </w:tc>
      </w:tr>
      <w:tr>
        <w:tc>
          <w:tcPr>
            <w:tcW w:type="dxa" w:w="2000"/>
            <w:tcMar>
              <w:top w:type="dxa" w:w="80"/>
              <w:left w:type="dxa" w:w="100"/>
              <w:bottom w:type="dxa" w:w="80"/>
              <w:right w:type="dxa" w:w="100"/>
            </w:tcMar>
          </w:tcPr>
          <w:p>
            <w:r>
              <w:rPr>
                <w:b w:val="false"/>
                <w:bCs w:val="false"/>
                <w:sz w:val="20"/>
                <w:szCs w:val="20"/>
              </w:rPr>
              <w:t xml:space="preserve">Key management</w:t>
            </w:r>
          </w:p>
        </w:tc>
        <w:tc>
          <w:tcPr>
            <w:tcW w:type="dxa" w:w="3760"/>
            <w:tcMar>
              <w:top w:type="dxa" w:w="80"/>
              <w:left w:type="dxa" w:w="100"/>
              <w:bottom w:type="dxa" w:w="80"/>
              <w:right w:type="dxa" w:w="100"/>
            </w:tcMar>
          </w:tcPr>
          <w:p>
            <w:r>
              <w:rPr>
                <w:b w:val="false"/>
                <w:bCs w:val="false"/>
                <w:sz w:val="20"/>
                <w:szCs w:val="20"/>
              </w:rPr>
              <w:t xml:space="preserve">HSM/MPC-based hot-warm-cold wallet tiering; company is a de facto key-management business</w:t>
            </w:r>
          </w:p>
        </w:tc>
        <w:tc>
          <w:tcPr>
            <w:tcW w:type="dxa" w:w="3600"/>
            <w:tcMar>
              <w:top w:type="dxa" w:w="80"/>
              <w:left w:type="dxa" w:w="100"/>
              <w:bottom w:type="dxa" w:w="80"/>
              <w:right w:type="dxa" w:w="100"/>
            </w:tcMar>
          </w:tcPr>
          <w:p>
            <w:r>
              <w:rPr>
                <w:b w:val="false"/>
                <w:bCs w:val="false"/>
                <w:sz w:val="20"/>
                <w:szCs w:val="20"/>
              </w:rPr>
              <w:t xml:space="preserve">Keys generated and stored on-device (secure enclave); company never sees private keys</w:t>
            </w:r>
          </w:p>
        </w:tc>
      </w:tr>
      <w:tr>
        <w:tc>
          <w:tcPr>
            <w:tcW w:type="dxa" w:w="2000"/>
            <w:tcMar>
              <w:top w:type="dxa" w:w="80"/>
              <w:left w:type="dxa" w:w="100"/>
              <w:bottom w:type="dxa" w:w="80"/>
              <w:right w:type="dxa" w:w="100"/>
            </w:tcMar>
          </w:tcPr>
          <w:p>
            <w:r>
              <w:rPr>
                <w:b w:val="false"/>
                <w:bCs w:val="false"/>
                <w:sz w:val="20"/>
                <w:szCs w:val="20"/>
              </w:rPr>
              <w:t xml:space="preserve">Regulatory posture</w:t>
            </w:r>
          </w:p>
        </w:tc>
        <w:tc>
          <w:tcPr>
            <w:tcW w:type="dxa" w:w="3760"/>
            <w:tcMar>
              <w:top w:type="dxa" w:w="80"/>
              <w:left w:type="dxa" w:w="100"/>
              <w:bottom w:type="dxa" w:w="80"/>
              <w:right w:type="dxa" w:w="100"/>
            </w:tcMar>
          </w:tcPr>
          <w:p>
            <w:r>
              <w:rPr>
                <w:b w:val="false"/>
                <w:bCs w:val="false"/>
                <w:sz w:val="20"/>
                <w:szCs w:val="20"/>
              </w:rPr>
              <w:t xml:space="preserve">Likely triggers stricter CBK/CMA custody, bonding, and reserve-proof obligations</w:t>
            </w:r>
          </w:p>
        </w:tc>
        <w:tc>
          <w:tcPr>
            <w:tcW w:type="dxa" w:w="3600"/>
            <w:tcMar>
              <w:top w:type="dxa" w:w="80"/>
              <w:left w:type="dxa" w:w="100"/>
              <w:bottom w:type="dxa" w:w="80"/>
              <w:right w:type="dxa" w:w="100"/>
            </w:tcMar>
          </w:tcPr>
          <w:p>
            <w:r>
              <w:rPr>
                <w:b w:val="false"/>
                <w:bCs w:val="false"/>
                <w:sz w:val="20"/>
                <w:szCs w:val="20"/>
              </w:rPr>
              <w:t xml:space="preserve">Lighter custody obligations, but weaker fraud recourse for users, and support cannot recover lost keys</w:t>
            </w:r>
          </w:p>
        </w:tc>
      </w:tr>
      <w:tr>
        <w:tc>
          <w:tcPr>
            <w:tcW w:type="dxa" w:w="2000"/>
            <w:tcMar>
              <w:top w:type="dxa" w:w="80"/>
              <w:left w:type="dxa" w:w="100"/>
              <w:bottom w:type="dxa" w:w="80"/>
              <w:right w:type="dxa" w:w="100"/>
            </w:tcMar>
          </w:tcPr>
          <w:p>
            <w:r>
              <w:rPr>
                <w:b w:val="false"/>
                <w:bCs w:val="false"/>
                <w:sz w:val="20"/>
                <w:szCs w:val="20"/>
              </w:rPr>
              <w:t xml:space="preserve">UX</w:t>
            </w:r>
          </w:p>
        </w:tc>
        <w:tc>
          <w:tcPr>
            <w:tcW w:type="dxa" w:w="3760"/>
            <w:tcMar>
              <w:top w:type="dxa" w:w="80"/>
              <w:left w:type="dxa" w:w="100"/>
              <w:bottom w:type="dxa" w:w="80"/>
              <w:right w:type="dxa" w:w="100"/>
            </w:tcMar>
          </w:tcPr>
          <w:p>
            <w:r>
              <w:rPr>
                <w:b w:val="false"/>
                <w:bCs w:val="false"/>
                <w:sz w:val="20"/>
                <w:szCs w:val="20"/>
              </w:rPr>
              <w:t xml:space="preserve">Simpler for users — no seed phrases, easy recovery via KYC</w:t>
            </w:r>
          </w:p>
        </w:tc>
        <w:tc>
          <w:tcPr>
            <w:tcW w:type="dxa" w:w="3600"/>
            <w:tcMar>
              <w:top w:type="dxa" w:w="80"/>
              <w:left w:type="dxa" w:w="100"/>
              <w:bottom w:type="dxa" w:w="80"/>
              <w:right w:type="dxa" w:w="100"/>
            </w:tcMar>
          </w:tcPr>
          <w:p>
            <w:r>
              <w:rPr>
                <w:b w:val="false"/>
                <w:bCs w:val="false"/>
                <w:sz w:val="20"/>
                <w:szCs w:val="20"/>
              </w:rPr>
              <w:t xml:space="preserve">User bears seed-phrase backup responsibility; recovery flows are harder to build well</w:t>
            </w:r>
          </w:p>
        </w:tc>
      </w:tr>
      <w:tr>
        <w:tc>
          <w:tcPr>
            <w:tcW w:type="dxa" w:w="2000"/>
            <w:tcMar>
              <w:top w:type="dxa" w:w="80"/>
              <w:left w:type="dxa" w:w="100"/>
              <w:bottom w:type="dxa" w:w="80"/>
              <w:right w:type="dxa" w:w="100"/>
            </w:tcMar>
          </w:tcPr>
          <w:p>
            <w:r>
              <w:rPr>
                <w:b w:val="false"/>
                <w:bCs w:val="false"/>
                <w:sz w:val="20"/>
                <w:szCs w:val="20"/>
              </w:rPr>
              <w:t xml:space="preserve">Engineering lift</w:t>
            </w:r>
          </w:p>
        </w:tc>
        <w:tc>
          <w:tcPr>
            <w:tcW w:type="dxa" w:w="3760"/>
            <w:tcMar>
              <w:top w:type="dxa" w:w="80"/>
              <w:left w:type="dxa" w:w="100"/>
              <w:bottom w:type="dxa" w:w="80"/>
              <w:right w:type="dxa" w:w="100"/>
            </w:tcMar>
          </w:tcPr>
          <w:p>
            <w:r>
              <w:rPr>
                <w:b w:val="false"/>
                <w:bCs w:val="false"/>
                <w:sz w:val="20"/>
                <w:szCs w:val="20"/>
              </w:rPr>
              <w:t xml:space="preserve">Higher: withdrawal approval workflows, cold-storage operations, key-ceremony processes</w:t>
            </w:r>
          </w:p>
        </w:tc>
        <w:tc>
          <w:tcPr>
            <w:tcW w:type="dxa" w:w="3600"/>
            <w:tcMar>
              <w:top w:type="dxa" w:w="80"/>
              <w:left w:type="dxa" w:w="100"/>
              <w:bottom w:type="dxa" w:w="80"/>
              <w:right w:type="dxa" w:w="100"/>
            </w:tcMar>
          </w:tcPr>
          <w:p>
            <w:r>
              <w:rPr>
                <w:b w:val="false"/>
                <w:bCs w:val="false"/>
                <w:sz w:val="20"/>
                <w:szCs w:val="20"/>
              </w:rPr>
              <w:t xml:space="preserve">Higher on a different axis: secure enclave integration, transaction signing UX, device-loss recovery</w:t>
            </w:r>
          </w:p>
        </w:tc>
      </w:tr>
    </w:tbl>
    <w:p>
      <w:pPr>
        <w:spacing w:after="200" w:line="300"/>
        <w:jc w:val="left"/>
      </w:pPr>
      <w:r>
        <w:rPr>
          <w:b w:val="false"/>
          <w:bCs w:val="false"/>
          <w:i w:val="false"/>
          <w:iCs w:val="false"/>
        </w:rPr>
        <w:t xml:space="preserve">A reasonable MVP default — pending the legal/security sign-off REQ-022 explicitly requires — is custodial with tiered hot/warm/cold storage, since it best supports the friendly recovery flows and support-agent account assistance implied elsewhere in the BRS (Support Agent role in Section 3, account lookup in REQ-060). This document treats that as an assumption to validate, not a decision, in line with the BRS's own framing.</w:t>
      </w:r>
    </w:p>
    <w:p>
      <w:pPr>
        <w:pStyle w:val="Heading2"/>
        <w:spacing w:after="160" w:before="360"/>
      </w:pPr>
      <w:r>
        <w:t xml:space="preserve">5.2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shd w:fill="1F3864" w:color="auto" w:val="clear"/>
            <w:tcMar>
              <w:top w:type="dxa" w:w="80"/>
              <w:left w:type="dxa" w:w="100"/>
              <w:bottom w:type="dxa" w:w="80"/>
              <w:right w:type="dxa" w:w="100"/>
            </w:tcMar>
          </w:tcPr>
          <w:p>
            <w:r>
              <w:rPr>
                <w:b/>
                <w:bCs/>
                <w:color w:val="FFFFFF"/>
                <w:sz w:val="20"/>
                <w:szCs w:val="20"/>
              </w:rPr>
              <w:t xml:space="preserve">Table</w:t>
            </w:r>
          </w:p>
        </w:tc>
        <w:tc>
          <w:tcPr>
            <w:tcW w:type="dxa" w:w="4200"/>
            <w:shd w:fill="1F3864" w:color="auto" w:val="clear"/>
            <w:tcMar>
              <w:top w:type="dxa" w:w="80"/>
              <w:left w:type="dxa" w:w="100"/>
              <w:bottom w:type="dxa" w:w="80"/>
              <w:right w:type="dxa" w:w="100"/>
            </w:tcMar>
          </w:tcPr>
          <w:p>
            <w:r>
              <w:rPr>
                <w:b/>
                <w:bCs/>
                <w:color w:val="FFFFFF"/>
                <w:sz w:val="20"/>
                <w:szCs w:val="20"/>
              </w:rPr>
              <w:t xml:space="preserve">Key Fields</w:t>
            </w:r>
          </w:p>
        </w:tc>
        <w:tc>
          <w:tcPr>
            <w:tcW w:type="dxa" w:w="2360"/>
            <w:shd w:fill="1F3864" w:color="auto" w:val="clear"/>
            <w:tcMar>
              <w:top w:type="dxa" w:w="80"/>
              <w:left w:type="dxa" w:w="100"/>
              <w:bottom w:type="dxa" w:w="80"/>
              <w:right w:type="dxa" w:w="100"/>
            </w:tcMar>
          </w:tcPr>
          <w:p>
            <w:r>
              <w:rPr>
                <w:b/>
                <w:bCs/>
                <w:color w:val="FFFFFF"/>
                <w:sz w:val="20"/>
                <w:szCs w:val="20"/>
              </w:rPr>
              <w:t xml:space="preserve">Notes</w:t>
            </w:r>
          </w:p>
        </w:tc>
      </w:tr>
      <w:tr>
        <w:tc>
          <w:tcPr>
            <w:tcW w:type="dxa" w:w="2800"/>
            <w:tcMar>
              <w:top w:type="dxa" w:w="80"/>
              <w:left w:type="dxa" w:w="100"/>
              <w:bottom w:type="dxa" w:w="80"/>
              <w:right w:type="dxa" w:w="100"/>
            </w:tcMar>
          </w:tcPr>
          <w:p>
            <w:r>
              <w:rPr>
                <w:b w:val="false"/>
                <w:bCs w:val="false"/>
                <w:sz w:val="20"/>
                <w:szCs w:val="20"/>
              </w:rPr>
              <w:t xml:space="preserve">wallets</w:t>
            </w:r>
          </w:p>
        </w:tc>
        <w:tc>
          <w:tcPr>
            <w:tcW w:type="dxa" w:w="4200"/>
            <w:tcMar>
              <w:top w:type="dxa" w:w="80"/>
              <w:left w:type="dxa" w:w="100"/>
              <w:bottom w:type="dxa" w:w="80"/>
              <w:right w:type="dxa" w:w="100"/>
            </w:tcMar>
          </w:tcPr>
          <w:p>
            <w:r>
              <w:rPr>
                <w:b w:val="false"/>
                <w:bCs w:val="false"/>
                <w:sz w:val="20"/>
                <w:szCs w:val="20"/>
              </w:rPr>
              <w:t xml:space="preserve">user_id, asset_code, custody_type, status, created_at</w:t>
            </w:r>
          </w:p>
        </w:tc>
        <w:tc>
          <w:tcPr>
            <w:tcW w:type="dxa" w:w="2360"/>
            <w:tcMar>
              <w:top w:type="dxa" w:w="80"/>
              <w:left w:type="dxa" w:w="100"/>
              <w:bottom w:type="dxa" w:w="80"/>
              <w:right w:type="dxa" w:w="100"/>
            </w:tcMar>
          </w:tcPr>
          <w:p>
            <w:r>
              <w:rPr>
                <w:b w:val="false"/>
                <w:bCs w:val="false"/>
                <w:sz w:val="20"/>
                <w:szCs w:val="20"/>
              </w:rPr>
              <w:t xml:space="preserve">One row per user per asset; created only after KYC gate (REQ-014)</w:t>
            </w:r>
          </w:p>
        </w:tc>
      </w:tr>
      <w:tr>
        <w:tc>
          <w:tcPr>
            <w:tcW w:type="dxa" w:w="2800"/>
            <w:tcMar>
              <w:top w:type="dxa" w:w="80"/>
              <w:left w:type="dxa" w:w="100"/>
              <w:bottom w:type="dxa" w:w="80"/>
              <w:right w:type="dxa" w:w="100"/>
            </w:tcMar>
          </w:tcPr>
          <w:p>
            <w:r>
              <w:rPr>
                <w:b w:val="false"/>
                <w:bCs w:val="false"/>
                <w:sz w:val="20"/>
                <w:szCs w:val="20"/>
              </w:rPr>
              <w:t xml:space="preserve">wallet_balances</w:t>
            </w:r>
          </w:p>
        </w:tc>
        <w:tc>
          <w:tcPr>
            <w:tcW w:type="dxa" w:w="4200"/>
            <w:tcMar>
              <w:top w:type="dxa" w:w="80"/>
              <w:left w:type="dxa" w:w="100"/>
              <w:bottom w:type="dxa" w:w="80"/>
              <w:right w:type="dxa" w:w="100"/>
            </w:tcMar>
          </w:tcPr>
          <w:p>
            <w:r>
              <w:rPr>
                <w:b w:val="false"/>
                <w:bCs w:val="false"/>
                <w:sz w:val="20"/>
                <w:szCs w:val="20"/>
              </w:rPr>
              <w:t xml:space="preserve">wallet_id, available, held, updated_at</w:t>
            </w:r>
          </w:p>
        </w:tc>
        <w:tc>
          <w:tcPr>
            <w:tcW w:type="dxa" w:w="2360"/>
            <w:tcMar>
              <w:top w:type="dxa" w:w="80"/>
              <w:left w:type="dxa" w:w="100"/>
              <w:bottom w:type="dxa" w:w="80"/>
              <w:right w:type="dxa" w:w="100"/>
            </w:tcMar>
          </w:tcPr>
          <w:p>
            <w:r>
              <w:rPr>
                <w:b w:val="false"/>
                <w:bCs w:val="false"/>
                <w:sz w:val="20"/>
                <w:szCs w:val="20"/>
              </w:rPr>
              <w:t xml:space="preserve">'held' supports compliance holds (REQ-013) without touching 'available'</w:t>
            </w:r>
          </w:p>
        </w:tc>
      </w:tr>
      <w:tr>
        <w:tc>
          <w:tcPr>
            <w:tcW w:type="dxa" w:w="2800"/>
            <w:tcMar>
              <w:top w:type="dxa" w:w="80"/>
              <w:left w:type="dxa" w:w="100"/>
              <w:bottom w:type="dxa" w:w="80"/>
              <w:right w:type="dxa" w:w="100"/>
            </w:tcMar>
          </w:tcPr>
          <w:p>
            <w:r>
              <w:rPr>
                <w:b w:val="false"/>
                <w:bCs w:val="false"/>
                <w:sz w:val="20"/>
                <w:szCs w:val="20"/>
              </w:rPr>
              <w:t xml:space="preserve">ledger_entries</w:t>
            </w:r>
          </w:p>
        </w:tc>
        <w:tc>
          <w:tcPr>
            <w:tcW w:type="dxa" w:w="4200"/>
            <w:tcMar>
              <w:top w:type="dxa" w:w="80"/>
              <w:left w:type="dxa" w:w="100"/>
              <w:bottom w:type="dxa" w:w="80"/>
              <w:right w:type="dxa" w:w="100"/>
            </w:tcMar>
          </w:tcPr>
          <w:p>
            <w:r>
              <w:rPr>
                <w:b w:val="false"/>
                <w:bCs w:val="false"/>
                <w:sz w:val="20"/>
                <w:szCs w:val="20"/>
              </w:rPr>
              <w:t xml:space="preserve">id, wallet_id, tx_type, amount, balance_after, ref_id, created_at (append-only)</w:t>
            </w:r>
          </w:p>
        </w:tc>
        <w:tc>
          <w:tcPr>
            <w:tcW w:type="dxa" w:w="2360"/>
            <w:tcMar>
              <w:top w:type="dxa" w:w="80"/>
              <w:left w:type="dxa" w:w="100"/>
              <w:bottom w:type="dxa" w:w="80"/>
              <w:right w:type="dxa" w:w="100"/>
            </w:tcMar>
          </w:tcPr>
          <w:p>
            <w:r>
              <w:rPr>
                <w:b w:val="false"/>
                <w:bCs w:val="false"/>
                <w:sz w:val="20"/>
                <w:szCs w:val="20"/>
              </w:rPr>
              <w:t xml:space="preserve">Never UPDATE or DELETE — corrections are new offsetting entries, satisfying REQ-032/REQ-063</w:t>
            </w:r>
          </w:p>
        </w:tc>
      </w:tr>
      <w:tr>
        <w:tc>
          <w:tcPr>
            <w:tcW w:type="dxa" w:w="2800"/>
            <w:tcMar>
              <w:top w:type="dxa" w:w="80"/>
              <w:left w:type="dxa" w:w="100"/>
              <w:bottom w:type="dxa" w:w="80"/>
              <w:right w:type="dxa" w:w="100"/>
            </w:tcMar>
          </w:tcPr>
          <w:p>
            <w:r>
              <w:rPr>
                <w:b w:val="false"/>
                <w:bCs w:val="false"/>
                <w:sz w:val="20"/>
                <w:szCs w:val="20"/>
              </w:rPr>
              <w:t xml:space="preserve">key_material (custodial path)</w:t>
            </w:r>
          </w:p>
        </w:tc>
        <w:tc>
          <w:tcPr>
            <w:tcW w:type="dxa" w:w="4200"/>
            <w:tcMar>
              <w:top w:type="dxa" w:w="80"/>
              <w:left w:type="dxa" w:w="100"/>
              <w:bottom w:type="dxa" w:w="80"/>
              <w:right w:type="dxa" w:w="100"/>
            </w:tcMar>
          </w:tcPr>
          <w:p>
            <w:r>
              <w:rPr>
                <w:b w:val="false"/>
                <w:bCs w:val="false"/>
                <w:sz w:val="20"/>
                <w:szCs w:val="20"/>
              </w:rPr>
              <w:t xml:space="preserve">wallet_id, tier (hot/warm/cold), key_ref (HSM pointer), rotated_at</w:t>
            </w:r>
          </w:p>
        </w:tc>
        <w:tc>
          <w:tcPr>
            <w:tcW w:type="dxa" w:w="2360"/>
            <w:tcMar>
              <w:top w:type="dxa" w:w="80"/>
              <w:left w:type="dxa" w:w="100"/>
              <w:bottom w:type="dxa" w:w="80"/>
              <w:right w:type="dxa" w:w="100"/>
            </w:tcMar>
          </w:tcPr>
          <w:p>
            <w:r>
              <w:rPr>
                <w:b w:val="false"/>
                <w:bCs w:val="false"/>
                <w:sz w:val="20"/>
                <w:szCs w:val="20"/>
              </w:rPr>
              <w:t xml:space="preserve">Never store raw private keys in the application database, even encrypted</w:t>
            </w:r>
          </w:p>
        </w:tc>
      </w:tr>
    </w:tbl>
    <w:p>
      <w:pPr>
        <w:pStyle w:val="Heading2"/>
        <w:spacing w:after="160" w:before="360"/>
      </w:pPr>
      <w:r>
        <w:t xml:space="preserve">5.3 Engineering Notes</w:t>
      </w:r>
    </w:p>
    <w:p>
      <w:pPr>
        <w:pStyle w:val="ListParagraph"/>
        <w:numPr>
          <w:ilvl w:val="0"/>
          <w:numId w:val="2"/>
        </w:numPr>
        <w:spacing w:after="100"/>
      </w:pPr>
      <w:r>
        <w:t xml:space="preserve">REQ-020's 5-second balance update means balance reads should be served from the transactional database (or a tightly-synced cache invalidated on write), not a batch-updated analytics store.</w:t>
      </w:r>
    </w:p>
    <w:p>
      <w:pPr>
        <w:pStyle w:val="ListParagraph"/>
        <w:numPr>
          <w:ilvl w:val="0"/>
          <w:numId w:val="2"/>
        </w:numPr>
        <w:spacing w:after="100"/>
      </w:pPr>
      <w:r>
        <w:t xml:space="preserve">REQ-021's 90-day history with pagination (20 items/page) is a straightforward indexed query (wallet_id, created_at DESC) — the only design point worth flagging is ensuring the index supports the filter combinations (by type and by date) without full scans as transaction volume grows.</w:t>
      </w:r>
    </w:p>
    <w:p>
      <w:pPr>
        <w:pStyle w:val="ListParagraph"/>
        <w:numPr>
          <w:ilvl w:val="0"/>
          <w:numId w:val="2"/>
        </w:numPr>
        <w:spacing w:after="100"/>
      </w:pPr>
      <w:r>
        <w:t xml:space="preserve">The ledger table is the system's source of truth and should be treated with database-level protections against modification (e.g., a database trigger or role permission that revokes UPDATE/DELETE on that table entirely, even for admins) — this is what makes REQ-032 and REQ-063 ("can't be edited or deleted afterward") actually true rather than just policy.</w:t>
      </w:r>
    </w:p>
    <w:p>
      <w:pPr>
        <w:pStyle w:val="ListParagraph"/>
        <w:numPr>
          <w:ilvl w:val="0"/>
          <w:numId w:val="2"/>
        </w:numPr>
        <w:spacing w:after="100"/>
      </w:pPr>
      <w:r>
        <w:t xml:space="preserve">Wallet balance should always be derivable by summing ledger entries; storing a running balance (wallet_balances) is a performance optimization, and periodic jobs should reconcile it against the ledger sum to catch drift early — the same discipline as REQ-042's payment-provider reconciliation, applied internally.</w:t>
      </w:r>
    </w:p>
    <w:p>
      <w:r>
        <w:br w:type="page"/>
      </w:r>
    </w:p>
    <w:p>
      <w:pPr>
        <w:pStyle w:val="Heading1"/>
        <w:spacing w:after="240" w:before="480"/>
      </w:pPr>
      <w:r>
        <w:t xml:space="preserve">6. Currency Conversion — Engineering Detail (REQ-030 to REQ-032)</w:t>
      </w:r>
    </w:p>
    <w:p>
      <w:pPr>
        <w:pStyle w:val="Heading2"/>
        <w:spacing w:after="160" w:before="360"/>
      </w:pPr>
      <w:r>
        <w:t xml:space="preserve">6.1 Rate Sourcing and Quote Locking</w:t>
      </w:r>
    </w:p>
    <w:p>
      <w:pPr>
        <w:spacing w:after="200" w:line="300"/>
        <w:jc w:val="left"/>
      </w:pPr>
      <w:r>
        <w:rPr>
          <w:b w:val="false"/>
          <w:bCs w:val="false"/>
          <w:i w:val="false"/>
          <w:iCs w:val="false"/>
        </w:rPr>
        <w:t xml:space="preserve">"Real time" rates (REQ-030) in practice means: source live prices from one or more liquidity/price providers, apply a spread, and present a quote that is locked for a short window (commonly 10–30 seconds) during which the user can confirm. The 0.5% tolerance in the BRS acceptance criteria is best read as a ceiling on slippage between quote and execution, not a target — the system should aim tighter and treat approaching that ceiling as a signal to re-quote rather than execute.</w:t>
      </w:r>
    </w:p>
    <w:p>
      <w:pPr>
        <w:pStyle w:val="ListParagraph"/>
        <w:numPr>
          <w:ilvl w:val="0"/>
          <w:numId w:val="2"/>
        </w:numPr>
        <w:spacing w:after="100"/>
      </w:pPr>
      <w:r>
        <w:t xml:space="preserve">Use at least one primary and one fallback price source; a single price feed is a single point of failure for the entire conversion feature.</w:t>
      </w:r>
    </w:p>
    <w:p>
      <w:pPr>
        <w:pStyle w:val="ListParagraph"/>
        <w:numPr>
          <w:ilvl w:val="0"/>
          <w:numId w:val="2"/>
        </w:numPr>
        <w:spacing w:after="100"/>
      </w:pPr>
      <w:r>
        <w:t xml:space="preserve">The quote itself should be a persisted, time-stamped object (not just a number shown in the UI) so that REQ-031's fee/amount summary and REQ-032's permanent record are built from the same data the user actually saw and confirmed.</w:t>
      </w:r>
    </w:p>
    <w:p>
      <w:pPr>
        <w:pStyle w:val="ListParagraph"/>
        <w:numPr>
          <w:ilvl w:val="0"/>
          <w:numId w:val="2"/>
        </w:numPr>
        <w:spacing w:after="100"/>
      </w:pPr>
      <w:r>
        <w:t xml:space="preserve">Fee calculation (REQ-031) should be a pure function of (asset, amount, user tier, promo state) so it's testable in isolation and auditable — compliance and finance teams will ask 'why was this fee applied' long after the code that computed it has changed.</w:t>
      </w:r>
    </w:p>
    <w:p>
      <w:pPr>
        <w:pStyle w:val="Heading2"/>
        <w:spacing w:after="160" w:before="360"/>
      </w:pPr>
      <w:r>
        <w:t xml:space="preserve">6.2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shd w:fill="1F3864" w:color="auto" w:val="clear"/>
            <w:tcMar>
              <w:top w:type="dxa" w:w="80"/>
              <w:left w:type="dxa" w:w="100"/>
              <w:bottom w:type="dxa" w:w="80"/>
              <w:right w:type="dxa" w:w="100"/>
            </w:tcMar>
          </w:tcPr>
          <w:p>
            <w:r>
              <w:rPr>
                <w:b/>
                <w:bCs/>
                <w:color w:val="FFFFFF"/>
                <w:sz w:val="20"/>
                <w:szCs w:val="20"/>
              </w:rPr>
              <w:t xml:space="preserve">Table</w:t>
            </w:r>
          </w:p>
        </w:tc>
        <w:tc>
          <w:tcPr>
            <w:tcW w:type="dxa" w:w="4200"/>
            <w:shd w:fill="1F3864" w:color="auto" w:val="clear"/>
            <w:tcMar>
              <w:top w:type="dxa" w:w="80"/>
              <w:left w:type="dxa" w:w="100"/>
              <w:bottom w:type="dxa" w:w="80"/>
              <w:right w:type="dxa" w:w="100"/>
            </w:tcMar>
          </w:tcPr>
          <w:p>
            <w:r>
              <w:rPr>
                <w:b/>
                <w:bCs/>
                <w:color w:val="FFFFFF"/>
                <w:sz w:val="20"/>
                <w:szCs w:val="20"/>
              </w:rPr>
              <w:t xml:space="preserve">Key Fields</w:t>
            </w:r>
          </w:p>
        </w:tc>
        <w:tc>
          <w:tcPr>
            <w:tcW w:type="dxa" w:w="2560"/>
            <w:shd w:fill="1F3864" w:color="auto" w:val="clear"/>
            <w:tcMar>
              <w:top w:type="dxa" w:w="80"/>
              <w:left w:type="dxa" w:w="100"/>
              <w:bottom w:type="dxa" w:w="80"/>
              <w:right w:type="dxa" w:w="100"/>
            </w:tcMar>
          </w:tcPr>
          <w:p>
            <w:r>
              <w:rPr>
                <w:b/>
                <w:bCs/>
                <w:color w:val="FFFFFF"/>
                <w:sz w:val="20"/>
                <w:szCs w:val="20"/>
              </w:rPr>
              <w:t xml:space="preserve">Notes</w:t>
            </w:r>
          </w:p>
        </w:tc>
      </w:tr>
      <w:tr>
        <w:tc>
          <w:tcPr>
            <w:tcW w:type="dxa" w:w="2600"/>
            <w:tcMar>
              <w:top w:type="dxa" w:w="80"/>
              <w:left w:type="dxa" w:w="100"/>
              <w:bottom w:type="dxa" w:w="80"/>
              <w:right w:type="dxa" w:w="100"/>
            </w:tcMar>
          </w:tcPr>
          <w:p>
            <w:r>
              <w:rPr>
                <w:b w:val="false"/>
                <w:bCs w:val="false"/>
                <w:sz w:val="20"/>
                <w:szCs w:val="20"/>
              </w:rPr>
              <w:t xml:space="preserve">fx_quotes</w:t>
            </w:r>
          </w:p>
        </w:tc>
        <w:tc>
          <w:tcPr>
            <w:tcW w:type="dxa" w:w="4200"/>
            <w:tcMar>
              <w:top w:type="dxa" w:w="80"/>
              <w:left w:type="dxa" w:w="100"/>
              <w:bottom w:type="dxa" w:w="80"/>
              <w:right w:type="dxa" w:w="100"/>
            </w:tcMar>
          </w:tcPr>
          <w:p>
            <w:r>
              <w:rPr>
                <w:b w:val="false"/>
                <w:bCs w:val="false"/>
                <w:sz w:val="20"/>
                <w:szCs w:val="20"/>
              </w:rPr>
              <w:t xml:space="preserve">id, user_id, from_asset, to_asset, rate, fee, expires_at, status</w:t>
            </w:r>
          </w:p>
        </w:tc>
        <w:tc>
          <w:tcPr>
            <w:tcW w:type="dxa" w:w="2560"/>
            <w:tcMar>
              <w:top w:type="dxa" w:w="80"/>
              <w:left w:type="dxa" w:w="100"/>
              <w:bottom w:type="dxa" w:w="80"/>
              <w:right w:type="dxa" w:w="100"/>
            </w:tcMar>
          </w:tcPr>
          <w:p>
            <w:r>
              <w:rPr>
                <w:b w:val="false"/>
                <w:bCs w:val="false"/>
                <w:sz w:val="20"/>
                <w:szCs w:val="20"/>
              </w:rPr>
              <w:t xml:space="preserve">status: issued/confirmed/expired — expired quotes cannot be executed</w:t>
            </w:r>
          </w:p>
        </w:tc>
      </w:tr>
      <w:tr>
        <w:tc>
          <w:tcPr>
            <w:tcW w:type="dxa" w:w="2600"/>
            <w:tcMar>
              <w:top w:type="dxa" w:w="80"/>
              <w:left w:type="dxa" w:w="100"/>
              <w:bottom w:type="dxa" w:w="80"/>
              <w:right w:type="dxa" w:w="100"/>
            </w:tcMar>
          </w:tcPr>
          <w:p>
            <w:r>
              <w:rPr>
                <w:b w:val="false"/>
                <w:bCs w:val="false"/>
                <w:sz w:val="20"/>
                <w:szCs w:val="20"/>
              </w:rPr>
              <w:t xml:space="preserve">conversions</w:t>
            </w:r>
          </w:p>
        </w:tc>
        <w:tc>
          <w:tcPr>
            <w:tcW w:type="dxa" w:w="4200"/>
            <w:tcMar>
              <w:top w:type="dxa" w:w="80"/>
              <w:left w:type="dxa" w:w="100"/>
              <w:bottom w:type="dxa" w:w="80"/>
              <w:right w:type="dxa" w:w="100"/>
            </w:tcMar>
          </w:tcPr>
          <w:p>
            <w:r>
              <w:rPr>
                <w:b w:val="false"/>
                <w:bCs w:val="false"/>
                <w:sz w:val="20"/>
                <w:szCs w:val="20"/>
              </w:rPr>
              <w:t xml:space="preserve">quote_id, wallet_debit_id, wallet_credit_id, executed_rate, executed_at</w:t>
            </w:r>
          </w:p>
        </w:tc>
        <w:tc>
          <w:tcPr>
            <w:tcW w:type="dxa" w:w="2560"/>
            <w:tcMar>
              <w:top w:type="dxa" w:w="80"/>
              <w:left w:type="dxa" w:w="100"/>
              <w:bottom w:type="dxa" w:w="80"/>
              <w:right w:type="dxa" w:w="100"/>
            </w:tcMar>
          </w:tcPr>
          <w:p>
            <w:r>
              <w:rPr>
                <w:b w:val="false"/>
                <w:bCs w:val="false"/>
                <w:sz w:val="20"/>
                <w:szCs w:val="20"/>
              </w:rPr>
              <w:t xml:space="preserve">executed_rate captured even if it matches the quote, for audit clarity</w:t>
            </w:r>
          </w:p>
        </w:tc>
      </w:tr>
    </w:tbl>
    <w:p>
      <w:pPr>
        <w:pStyle w:val="Heading1"/>
        <w:spacing w:after="240" w:before="480"/>
      </w:pPr>
      <w:r>
        <w:t xml:space="preserve">7. Payments / Fiat Rails — Engineering Detail (REQ-040 to REQ-042)</w:t>
      </w:r>
    </w:p>
    <w:p>
      <w:pPr>
        <w:pStyle w:val="Heading2"/>
        <w:spacing w:after="160" w:before="360"/>
      </w:pPr>
      <w:r>
        <w:t xml:space="preserve">7.1 M-Pesa (Daraja) Integration</w:t>
      </w:r>
    </w:p>
    <w:p>
      <w:pPr>
        <w:spacing w:after="200" w:line="300"/>
        <w:jc w:val="left"/>
      </w:pPr>
      <w:r>
        <w:rPr>
          <w:b w:val="false"/>
          <w:bCs w:val="false"/>
          <w:i w:val="false"/>
          <w:iCs w:val="false"/>
        </w:rPr>
        <w:t xml:space="preserve">Safaricom's Daraja API is the backbone of REQ-040 and deserves specific engineering attention because it is asynchronous and callback-driven, not a simple request/response API:</w:t>
      </w:r>
    </w:p>
    <w:p>
      <w:pPr>
        <w:pStyle w:val="ListParagraph"/>
        <w:numPr>
          <w:ilvl w:val="0"/>
          <w:numId w:val="2"/>
        </w:numPr>
        <w:spacing w:after="100"/>
      </w:pPr>
      <w:r>
        <w:t xml:space="preserve">STK Push (Lipa Na M-Pesa Online) initiates a payment prompt on the user's phone; the initial API call only confirms the prompt was sent, not that payment succeeded — actual confirmation arrives later via a callback URL.</w:t>
      </w:r>
    </w:p>
    <w:p>
      <w:pPr>
        <w:pStyle w:val="ListParagraph"/>
        <w:numPr>
          <w:ilvl w:val="0"/>
          <w:numId w:val="2"/>
        </w:numPr>
        <w:spacing w:after="100"/>
      </w:pPr>
      <w:r>
        <w:t xml:space="preserve">The system must expose a public, authenticated callback endpoint and treat it as untrusted input (verify signatures/IP allowlisting per Safaricom's documentation) — this is a common integration mistake worth calling out explicitly.</w:t>
      </w:r>
    </w:p>
    <w:p>
      <w:pPr>
        <w:pStyle w:val="ListParagraph"/>
        <w:numPr>
          <w:ilvl w:val="0"/>
          <w:numId w:val="2"/>
        </w:numPr>
        <w:spacing w:after="100"/>
      </w:pPr>
      <w:r>
        <w:t xml:space="preserve">Callback delivery is not always guaranteed exactly-once or immediate; design a reconciliation job (see REQ-042 below) as a safety net, not an optional extra, and make the callback handler idempotent (keyed on Safaricom's transaction reference) so a duplicate callback can't double-credit a wallet.</w:t>
      </w:r>
    </w:p>
    <w:p>
      <w:pPr>
        <w:pStyle w:val="ListParagraph"/>
        <w:numPr>
          <w:ilvl w:val="0"/>
          <w:numId w:val="2"/>
        </w:numPr>
        <w:spacing w:after="100"/>
      </w:pPr>
      <w:r>
        <w:t xml:space="preserve">Sandbox access (flagged as a dependency in BRS Section 8) is required before this can be tested end-to-end — this should be requested from Safaricom in parallel with early development, since partner-side provisioning delays are a common launch-timeline risk.</w:t>
      </w:r>
    </w:p>
    <w:p>
      <w:pPr>
        <w:pStyle w:val="Heading2"/>
        <w:spacing w:after="160" w:before="360"/>
      </w:pPr>
      <w:r>
        <w:t xml:space="preserve">7.2 Bank Transfer and Airtel Money</w:t>
      </w:r>
    </w:p>
    <w:p>
      <w:pPr>
        <w:spacing w:after="200" w:line="300"/>
        <w:jc w:val="left"/>
      </w:pPr>
      <w:r>
        <w:rPr>
          <w:b w:val="false"/>
          <w:bCs w:val="false"/>
          <w:i w:val="false"/>
          <w:iCs w:val="false"/>
        </w:rPr>
        <w:t xml:space="preserve">Bank transfer (Must) likely means integrating with a payment aggregator or a specific partner bank's API rather than raw SWIFT/EFT rails; Airtel Money (marked optional in the BRS) can follow the same integration pattern as M-Pesa once that pattern is proven, so building the payments module with a pluggable "payment provider" interface from the start avoids rework when Airtel Money is prioritized.</w:t>
      </w:r>
    </w:p>
    <w:p>
      <w:pPr>
        <w:pStyle w:val="Heading2"/>
        <w:spacing w:after="160" w:before="360"/>
      </w:pPr>
      <w:r>
        <w:t xml:space="preserve">7.3 Reconciliation (REQ-042)</w:t>
      </w:r>
    </w:p>
    <w:p>
      <w:pPr>
        <w:spacing w:after="200" w:line="300"/>
        <w:jc w:val="left"/>
      </w:pPr>
      <w:r>
        <w:rPr>
          <w:b w:val="false"/>
          <w:bCs w:val="false"/>
          <w:i w:val="false"/>
          <w:iCs w:val="false"/>
        </w:rPr>
        <w:t xml:space="preserve">Daily reconciliation is a compliance control as much as an engineering one. A concrete design:</w:t>
      </w:r>
    </w:p>
    <w:p>
      <w:pPr>
        <w:pStyle w:val="ListParagraph"/>
        <w:numPr>
          <w:ilvl w:val="0"/>
          <w:numId w:val="3"/>
        </w:numPr>
        <w:spacing w:after="100"/>
      </w:pPr>
      <w:r>
        <w:t xml:space="preserve">Pull the provider's settlement/statement file (or API equivalent) for the prior day.</w:t>
      </w:r>
    </w:p>
    <w:p>
      <w:pPr>
        <w:pStyle w:val="ListParagraph"/>
        <w:numPr>
          <w:ilvl w:val="0"/>
          <w:numId w:val="3"/>
        </w:numPr>
        <w:spacing w:after="100"/>
      </w:pPr>
      <w:r>
        <w:t xml:space="preserve">Match each provider transaction to an internal ledger entry by provider reference ID.</w:t>
      </w:r>
    </w:p>
    <w:p>
      <w:pPr>
        <w:pStyle w:val="ListParagraph"/>
        <w:numPr>
          <w:ilvl w:val="0"/>
          <w:numId w:val="3"/>
        </w:numPr>
        <w:spacing w:after="100"/>
      </w:pPr>
      <w:r>
        <w:t xml:space="preserve">Flag: provider transactions with no internal match (money moved that the system doesn't know about — a serious issue), and internal transactions with no provider match (the system thinks money moved but the provider disagrees).</w:t>
      </w:r>
    </w:p>
    <w:p>
      <w:pPr>
        <w:pStyle w:val="ListParagraph"/>
        <w:numPr>
          <w:ilvl w:val="0"/>
          <w:numId w:val="3"/>
        </w:numPr>
        <w:spacing w:after="100"/>
      </w:pPr>
      <w:r>
        <w:t xml:space="preserve">Alert the on-call/finance team automatically for any mismatch beyond a small configured tolerance, per the BRS acceptance criteria — this should be a page-worthy alert, not a report nobody reads until month-end.</w:t>
      </w:r>
    </w:p>
    <w:p>
      <w:pPr>
        <w:pStyle w:val="Heading1"/>
        <w:spacing w:after="240" w:before="480"/>
      </w:pPr>
      <w:r>
        <w:t xml:space="preserve">8. Compliance Engine — Engineering Detail (REQ-050 to REQ-053)</w:t>
      </w:r>
    </w:p>
    <w:p>
      <w:pPr>
        <w:spacing w:after="200" w:line="300"/>
        <w:jc w:val="left"/>
      </w:pPr>
      <w:r>
        <w:rPr>
          <w:b w:val="false"/>
          <w:bCs w:val="false"/>
          <w:i w:val="false"/>
          <w:iCs w:val="false"/>
        </w:rPr>
        <w:t xml:space="preserve">This module is best thought of as "compliance-as-code": rules that used to live in a policy document become executable checks in the transaction path. Two requirements are architecturally interesting:</w:t>
      </w:r>
    </w:p>
    <w:p>
      <w:pPr>
        <w:pStyle w:val="Heading2"/>
        <w:spacing w:after="160" w:before="360"/>
      </w:pPr>
      <w:r>
        <w:t xml:space="preserve">8.1 Regulator Reporting (REQ-050, REQ-051)</w:t>
      </w:r>
    </w:p>
    <w:p>
      <w:pPr>
        <w:pStyle w:val="ListParagraph"/>
        <w:numPr>
          <w:ilvl w:val="0"/>
          <w:numId w:val="2"/>
        </w:numPr>
        <w:spacing w:after="100"/>
      </w:pPr>
      <w:r>
        <w:t xml:space="preserve">CBK/CMA reports should be generated from the same ledger and KYC data the rest of the app uses — never a parallel data pipeline that can drift from what users actually experienced.</w:t>
      </w:r>
    </w:p>
    <w:p>
      <w:pPr>
        <w:pStyle w:val="ListParagraph"/>
        <w:numPr>
          <w:ilvl w:val="0"/>
          <w:numId w:val="2"/>
        </w:numPr>
        <w:spacing w:after="100"/>
      </w:pPr>
      <w:r>
        <w:t xml:space="preserve">Report formats should be modeled as versioned templates, since BRS Section 6 already flags that "the rules-and-regulations sections are likely to shift as licensing moves forward" — a hardcoded report format will need re-engineering with every regulatory update otherwise.</w:t>
      </w:r>
    </w:p>
    <w:p>
      <w:pPr>
        <w:pStyle w:val="ListParagraph"/>
        <w:numPr>
          <w:ilvl w:val="0"/>
          <w:numId w:val="2"/>
        </w:numPr>
        <w:spacing w:after="100"/>
      </w:pPr>
      <w:r>
        <w:t xml:space="preserve">KRA tax computation (REQ-051) should use a configurable, dated rate table (rate + effective date range), the same pattern as the compliance threshold in REQ-013, so a rate change is a data update, not a deploy.</w:t>
      </w:r>
    </w:p>
    <w:p>
      <w:pPr>
        <w:pStyle w:val="Heading2"/>
        <w:spacing w:after="160" w:before="360"/>
      </w:pPr>
      <w:r>
        <w:t xml:space="preserve">8.2 Asset Listing Approval (REQ-052) and No-Credit Guarantee (REQ-053)</w:t>
      </w:r>
    </w:p>
    <w:p>
      <w:pPr>
        <w:spacing w:after="200" w:line="300"/>
        <w:jc w:val="left"/>
      </w:pPr>
      <w:r>
        <w:rPr>
          <w:b w:val="false"/>
          <w:bCs w:val="false"/>
          <w:i w:val="false"/>
          <w:iCs w:val="false"/>
        </w:rPr>
        <w:t xml:space="preserve">REQ-052 implies an asset_listings table with a status field (pending/approved/rejected) that every trading/conversion query filters on — an unapproved asset should be invisible to the conversion engine, not merely hidden in the UI. REQ-053 ("no borrowing or lending anywhere in the app") is really a statement about what not to build; the main engineering discipline is architectural — resist any future feature request to add margin, credit lines, or crypto lending without a deliberate compliance review, since the BRS treats this as a hard boundary, not a soft preference (BRS Section 9 confirms this is explicitly out of scope for the foreseeable roadmap).</w:t>
      </w:r>
    </w:p>
    <w:p>
      <w:r>
        <w:br w:type="page"/>
      </w:r>
    </w:p>
    <w:p>
      <w:pPr>
        <w:pStyle w:val="Heading1"/>
        <w:spacing w:after="240" w:before="480"/>
      </w:pPr>
      <w:r>
        <w:t xml:space="preserve">9. Admin &amp; Ops Console — Engineering Detail (REQ-060 to REQ-063)</w:t>
      </w:r>
    </w:p>
    <w:p>
      <w:pPr>
        <w:spacing w:after="200" w:line="300"/>
        <w:jc w:val="left"/>
      </w:pPr>
      <w:r>
        <w:rPr>
          <w:b w:val="false"/>
          <w:bCs w:val="false"/>
          <w:i w:val="false"/>
          <w:iCs w:val="false"/>
        </w:rPr>
        <w:t xml:space="preserve">The admin console is a distinct application from the user-facing mobile app, with its own authentication (should require MFA unconditionally, unlike the optional MFA for end users), role-based access control matching the actors in BRS Section 3 (Compliance Officer, Support Agent, Admin), and a much higher bar for audit logging.</w:t>
      </w:r>
    </w:p>
    <w:p>
      <w:pPr>
        <w:pStyle w:val="Heading2"/>
        <w:spacing w:after="160" w:before="360"/>
      </w:pPr>
      <w:r>
        <w:t xml:space="preserve">9.1 Role-Based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shd w:fill="1F3864" w:color="auto" w:val="clear"/>
            <w:tcMar>
              <w:top w:type="dxa" w:w="80"/>
              <w:left w:type="dxa" w:w="100"/>
              <w:bottom w:type="dxa" w:w="80"/>
              <w:right w:type="dxa" w:w="100"/>
            </w:tcMar>
          </w:tcPr>
          <w:p>
            <w:r>
              <w:rPr>
                <w:b/>
                <w:bCs/>
                <w:color w:val="FFFFFF"/>
                <w:sz w:val="20"/>
                <w:szCs w:val="20"/>
              </w:rPr>
              <w:t xml:space="preserve">Role</w:t>
            </w:r>
          </w:p>
        </w:tc>
        <w:tc>
          <w:tcPr>
            <w:tcW w:type="dxa" w:w="4200"/>
            <w:shd w:fill="1F3864" w:color="auto" w:val="clear"/>
            <w:tcMar>
              <w:top w:type="dxa" w:w="80"/>
              <w:left w:type="dxa" w:w="100"/>
              <w:bottom w:type="dxa" w:w="80"/>
              <w:right w:type="dxa" w:w="100"/>
            </w:tcMar>
          </w:tcPr>
          <w:p>
            <w:r>
              <w:rPr>
                <w:b/>
                <w:bCs/>
                <w:color w:val="FFFFFF"/>
                <w:sz w:val="20"/>
                <w:szCs w:val="20"/>
              </w:rPr>
              <w:t xml:space="preserve">Can</w:t>
            </w:r>
          </w:p>
        </w:tc>
        <w:tc>
          <w:tcPr>
            <w:tcW w:type="dxa" w:w="2760"/>
            <w:shd w:fill="1F3864" w:color="auto" w:val="clear"/>
            <w:tcMar>
              <w:top w:type="dxa" w:w="80"/>
              <w:left w:type="dxa" w:w="100"/>
              <w:bottom w:type="dxa" w:w="80"/>
              <w:right w:type="dxa" w:w="100"/>
            </w:tcMar>
          </w:tcPr>
          <w:p>
            <w:r>
              <w:rPr>
                <w:b/>
                <w:bCs/>
                <w:color w:val="FFFFFF"/>
                <w:sz w:val="20"/>
                <w:szCs w:val="20"/>
              </w:rPr>
              <w:t xml:space="preserve">Cannot</w:t>
            </w:r>
          </w:p>
        </w:tc>
      </w:tr>
      <w:tr>
        <w:tc>
          <w:tcPr>
            <w:tcW w:type="dxa" w:w="2400"/>
            <w:tcMar>
              <w:top w:type="dxa" w:w="80"/>
              <w:left w:type="dxa" w:w="100"/>
              <w:bottom w:type="dxa" w:w="80"/>
              <w:right w:type="dxa" w:w="100"/>
            </w:tcMar>
          </w:tcPr>
          <w:p>
            <w:r>
              <w:rPr>
                <w:b w:val="false"/>
                <w:bCs w:val="false"/>
                <w:sz w:val="20"/>
                <w:szCs w:val="20"/>
              </w:rPr>
              <w:t xml:space="preserve">Support Agent</w:t>
            </w:r>
          </w:p>
        </w:tc>
        <w:tc>
          <w:tcPr>
            <w:tcW w:type="dxa" w:w="4200"/>
            <w:tcMar>
              <w:top w:type="dxa" w:w="80"/>
              <w:left w:type="dxa" w:w="100"/>
              <w:bottom w:type="dxa" w:w="80"/>
              <w:right w:type="dxa" w:w="100"/>
            </w:tcMar>
          </w:tcPr>
          <w:p>
            <w:r>
              <w:rPr>
                <w:b w:val="false"/>
                <w:bCs w:val="false"/>
                <w:sz w:val="20"/>
                <w:szCs w:val="20"/>
              </w:rPr>
              <w:t xml:space="preserve">Search/view user accounts and status (REQ-060), assist with support issues</w:t>
            </w:r>
          </w:p>
        </w:tc>
        <w:tc>
          <w:tcPr>
            <w:tcW w:type="dxa" w:w="2760"/>
            <w:tcMar>
              <w:top w:type="dxa" w:w="80"/>
              <w:left w:type="dxa" w:w="100"/>
              <w:bottom w:type="dxa" w:w="80"/>
              <w:right w:type="dxa" w:w="100"/>
            </w:tcMar>
          </w:tcPr>
          <w:p>
            <w:r>
              <w:rPr>
                <w:b w:val="false"/>
                <w:bCs w:val="false"/>
                <w:sz w:val="20"/>
                <w:szCs w:val="20"/>
              </w:rPr>
              <w:t xml:space="preserve">Approve/reject flagged transactions; change compliance rules</w:t>
            </w:r>
          </w:p>
        </w:tc>
      </w:tr>
      <w:tr>
        <w:tc>
          <w:tcPr>
            <w:tcW w:type="dxa" w:w="2400"/>
            <w:tcMar>
              <w:top w:type="dxa" w:w="80"/>
              <w:left w:type="dxa" w:w="100"/>
              <w:bottom w:type="dxa" w:w="80"/>
              <w:right w:type="dxa" w:w="100"/>
            </w:tcMar>
          </w:tcPr>
          <w:p>
            <w:r>
              <w:rPr>
                <w:b w:val="false"/>
                <w:bCs w:val="false"/>
                <w:sz w:val="20"/>
                <w:szCs w:val="20"/>
              </w:rPr>
              <w:t xml:space="preserve">Compliance Officer</w:t>
            </w:r>
          </w:p>
        </w:tc>
        <w:tc>
          <w:tcPr>
            <w:tcW w:type="dxa" w:w="4200"/>
            <w:tcMar>
              <w:top w:type="dxa" w:w="80"/>
              <w:left w:type="dxa" w:w="100"/>
              <w:bottom w:type="dxa" w:w="80"/>
              <w:right w:type="dxa" w:w="100"/>
            </w:tcMar>
          </w:tcPr>
          <w:p>
            <w:r>
              <w:rPr>
                <w:b w:val="false"/>
                <w:bCs w:val="false"/>
                <w:sz w:val="20"/>
                <w:szCs w:val="20"/>
              </w:rPr>
              <w:t xml:space="preserve">Review KYC edge cases, approve/reject/escalate held transactions (REQ-061)</w:t>
            </w:r>
          </w:p>
        </w:tc>
        <w:tc>
          <w:tcPr>
            <w:tcW w:type="dxa" w:w="2760"/>
            <w:tcMar>
              <w:top w:type="dxa" w:w="80"/>
              <w:left w:type="dxa" w:w="100"/>
              <w:bottom w:type="dxa" w:w="80"/>
              <w:right w:type="dxa" w:w="100"/>
            </w:tcMar>
          </w:tcPr>
          <w:p>
            <w:r>
              <w:rPr>
                <w:b w:val="false"/>
                <w:bCs w:val="false"/>
                <w:sz w:val="20"/>
                <w:szCs w:val="20"/>
              </w:rPr>
              <w:t xml:space="preserve">Manage system settings or approve new asset listings</w:t>
            </w:r>
          </w:p>
        </w:tc>
      </w:tr>
      <w:tr>
        <w:tc>
          <w:tcPr>
            <w:tcW w:type="dxa" w:w="2400"/>
            <w:tcMar>
              <w:top w:type="dxa" w:w="80"/>
              <w:left w:type="dxa" w:w="100"/>
              <w:bottom w:type="dxa" w:w="80"/>
              <w:right w:type="dxa" w:w="100"/>
            </w:tcMar>
          </w:tcPr>
          <w:p>
            <w:r>
              <w:rPr>
                <w:b w:val="false"/>
                <w:bCs w:val="false"/>
                <w:sz w:val="20"/>
                <w:szCs w:val="20"/>
              </w:rPr>
              <w:t xml:space="preserve">Admin</w:t>
            </w:r>
          </w:p>
        </w:tc>
        <w:tc>
          <w:tcPr>
            <w:tcW w:type="dxa" w:w="4200"/>
            <w:tcMar>
              <w:top w:type="dxa" w:w="80"/>
              <w:left w:type="dxa" w:w="100"/>
              <w:bottom w:type="dxa" w:w="80"/>
              <w:right w:type="dxa" w:w="100"/>
            </w:tcMar>
          </w:tcPr>
          <w:p>
            <w:r>
              <w:rPr>
                <w:b w:val="false"/>
                <w:bCs w:val="false"/>
                <w:sz w:val="20"/>
                <w:szCs w:val="20"/>
              </w:rPr>
              <w:t xml:space="preserve">Full access: settings, asset approval, report generation, all of the above</w:t>
            </w:r>
          </w:p>
        </w:tc>
        <w:tc>
          <w:tcPr>
            <w:tcW w:type="dxa" w:w="2760"/>
            <w:tcMar>
              <w:top w:type="dxa" w:w="80"/>
              <w:left w:type="dxa" w:w="100"/>
              <w:bottom w:type="dxa" w:w="80"/>
              <w:right w:type="dxa" w:w="100"/>
            </w:tcMar>
          </w:tcPr>
          <w:p>
            <w:r>
              <w:rPr>
                <w:b w:val="false"/>
                <w:bCs w:val="false"/>
                <w:sz w:val="20"/>
                <w:szCs w:val="20"/>
              </w:rPr>
              <w:t xml:space="preserve">N/A — but every admin action is still logged and immutable (REQ-063)</w:t>
            </w:r>
          </w:p>
        </w:tc>
      </w:tr>
    </w:tbl>
    <w:p>
      <w:pPr>
        <w:pStyle w:val="Heading2"/>
        <w:spacing w:after="160" w:before="360"/>
      </w:pPr>
      <w:r>
        <w:t xml:space="preserve">9.2 Audit Log Design (REQ-063)</w:t>
      </w:r>
    </w:p>
    <w:p>
      <w:pPr>
        <w:spacing w:after="200" w:line="300"/>
        <w:jc w:val="left"/>
      </w:pPr>
      <w:r>
        <w:rPr>
          <w:b w:val="false"/>
          <w:bCs w:val="false"/>
          <w:i w:val="false"/>
          <w:iCs w:val="false"/>
        </w:rPr>
        <w:t xml:space="preserve">A single append-only audit_log table, written to by every admin-facing action (not just compliance decisions), with at minimum: actor_id, action_type, target_entity, before/after state (where applicable), timestamp, and source IP. As with the ledger table (Section 5.3), the database role used by the application should not have UPDATE/DELETE grants on this table — enforcing immutability at the database layer is stronger than relying on application code to never issue those statements.</w:t>
      </w:r>
    </w:p>
    <w:p>
      <w:pPr>
        <w:pStyle w:val="Heading1"/>
        <w:spacing w:after="240" w:before="480"/>
      </w:pPr>
      <w:r>
        <w:t xml:space="preserve">10. Non-Functional Requirements — Engineering Targets</w:t>
      </w:r>
    </w:p>
    <w:p>
      <w:pPr>
        <w:spacing w:after="200" w:line="300"/>
        <w:jc w:val="left"/>
      </w:pPr>
      <w:r>
        <w:rPr>
          <w:b w:val="false"/>
          <w:bCs w:val="false"/>
          <w:i w:val="false"/>
          <w:iCs w:val="false"/>
        </w:rPr>
        <w:t xml:space="preserve">BRS Section 5 gives NFRs in product language; the table below restates each as something an engineer can build and test against.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864" w:color="auto" w:val="clear"/>
            <w:tcMar>
              <w:top w:type="dxa" w:w="80"/>
              <w:left w:type="dxa" w:w="100"/>
              <w:bottom w:type="dxa" w:w="80"/>
              <w:right w:type="dxa" w:w="100"/>
            </w:tcMar>
          </w:tcPr>
          <w:p>
            <w:r>
              <w:rPr>
                <w:b/>
                <w:bCs/>
                <w:color w:val="FFFFFF"/>
                <w:sz w:val="20"/>
                <w:szCs w:val="20"/>
              </w:rPr>
              <w:t xml:space="preserve">BRS Target</w:t>
            </w:r>
          </w:p>
        </w:tc>
        <w:tc>
          <w:tcPr>
            <w:tcW w:type="dxa" w:w="6160"/>
            <w:shd w:fill="1F3864" w:color="auto" w:val="clear"/>
            <w:tcMar>
              <w:top w:type="dxa" w:w="80"/>
              <w:left w:type="dxa" w:w="100"/>
              <w:bottom w:type="dxa" w:w="80"/>
              <w:right w:type="dxa" w:w="100"/>
            </w:tcMar>
          </w:tcPr>
          <w:p>
            <w:r>
              <w:rPr>
                <w:b/>
                <w:bCs/>
                <w:color w:val="FFFFFF"/>
                <w:sz w:val="20"/>
                <w:szCs w:val="20"/>
              </w:rPr>
              <w:t xml:space="preserve">Engineering Interpretation</w:t>
            </w:r>
          </w:p>
        </w:tc>
      </w:tr>
      <w:tr>
        <w:tc>
          <w:tcPr>
            <w:tcW w:type="dxa" w:w="3200"/>
            <w:tcMar>
              <w:top w:type="dxa" w:w="80"/>
              <w:left w:type="dxa" w:w="100"/>
              <w:bottom w:type="dxa" w:w="80"/>
              <w:right w:type="dxa" w:w="100"/>
            </w:tcMar>
          </w:tcPr>
          <w:p>
            <w:r>
              <w:rPr>
                <w:b w:val="false"/>
                <w:bCs w:val="false"/>
                <w:sz w:val="20"/>
                <w:szCs w:val="20"/>
              </w:rPr>
              <w:t xml:space="preserve">Response in &lt;2s, 95% of the time</w:t>
            </w:r>
          </w:p>
        </w:tc>
        <w:tc>
          <w:tcPr>
            <w:tcW w:type="dxa" w:w="6160"/>
            <w:tcMar>
              <w:top w:type="dxa" w:w="80"/>
              <w:left w:type="dxa" w:w="100"/>
              <w:bottom w:type="dxa" w:w="80"/>
              <w:right w:type="dxa" w:w="100"/>
            </w:tcMar>
          </w:tcPr>
          <w:p>
            <w:r>
              <w:rPr>
                <w:b w:val="false"/>
                <w:bCs w:val="false"/>
                <w:sz w:val="20"/>
                <w:szCs w:val="20"/>
              </w:rPr>
              <w:t xml:space="preserve">p95 API latency budget of ~1.2s (leaving headroom for mobile network variance); enforce via load testing before launch and continuous latency monitoring after</w:t>
            </w:r>
          </w:p>
        </w:tc>
      </w:tr>
      <w:tr>
        <w:tc>
          <w:tcPr>
            <w:tcW w:type="dxa" w:w="3200"/>
            <w:tcMar>
              <w:top w:type="dxa" w:w="80"/>
              <w:left w:type="dxa" w:w="100"/>
              <w:bottom w:type="dxa" w:w="80"/>
              <w:right w:type="dxa" w:w="100"/>
            </w:tcMar>
          </w:tcPr>
          <w:p>
            <w:r>
              <w:rPr>
                <w:b w:val="false"/>
                <w:bCs w:val="false"/>
                <w:sz w:val="20"/>
                <w:szCs w:val="20"/>
              </w:rPr>
              <w:t xml:space="preserve">99.5% uptime excluding maintenance</w:t>
            </w:r>
          </w:p>
        </w:tc>
        <w:tc>
          <w:tcPr>
            <w:tcW w:type="dxa" w:w="6160"/>
            <w:tcMar>
              <w:top w:type="dxa" w:w="80"/>
              <w:left w:type="dxa" w:w="100"/>
              <w:bottom w:type="dxa" w:w="80"/>
              <w:right w:type="dxa" w:w="100"/>
            </w:tcMar>
          </w:tcPr>
          <w:p>
            <w:r>
              <w:rPr>
                <w:b w:val="false"/>
                <w:bCs w:val="false"/>
                <w:sz w:val="20"/>
                <w:szCs w:val="20"/>
              </w:rPr>
              <w:t xml:space="preserve">≈3h39m of unplanned downtime/month budget; requires health checks, auto-restart, and a documented maintenance-window process communicated to users</w:t>
            </w:r>
          </w:p>
        </w:tc>
      </w:tr>
      <w:tr>
        <w:tc>
          <w:tcPr>
            <w:tcW w:type="dxa" w:w="3200"/>
            <w:tcMar>
              <w:top w:type="dxa" w:w="80"/>
              <w:left w:type="dxa" w:w="100"/>
              <w:bottom w:type="dxa" w:w="80"/>
              <w:right w:type="dxa" w:w="100"/>
            </w:tcMar>
          </w:tcPr>
          <w:p>
            <w:r>
              <w:rPr>
                <w:b w:val="false"/>
                <w:bCs w:val="false"/>
                <w:sz w:val="20"/>
                <w:szCs w:val="20"/>
              </w:rPr>
              <w:t xml:space="preserve">Encryption in transit and at rest</w:t>
            </w:r>
          </w:p>
        </w:tc>
        <w:tc>
          <w:tcPr>
            <w:tcW w:type="dxa" w:w="6160"/>
            <w:tcMar>
              <w:top w:type="dxa" w:w="80"/>
              <w:left w:type="dxa" w:w="100"/>
              <w:bottom w:type="dxa" w:w="80"/>
              <w:right w:type="dxa" w:w="100"/>
            </w:tcMar>
          </w:tcPr>
          <w:p>
            <w:r>
              <w:rPr>
                <w:b w:val="false"/>
                <w:bCs w:val="false"/>
                <w:sz w:val="20"/>
                <w:szCs w:val="20"/>
              </w:rPr>
              <w:t xml:space="preserve">TLS 1.2+ everywhere (including internal service calls); database and object storage encryption using KMS-managed keys, not default provider keys, for anything touching KYC/PII</w:t>
            </w:r>
          </w:p>
        </w:tc>
      </w:tr>
      <w:tr>
        <w:tc>
          <w:tcPr>
            <w:tcW w:type="dxa" w:w="3200"/>
            <w:tcMar>
              <w:top w:type="dxa" w:w="80"/>
              <w:left w:type="dxa" w:w="100"/>
              <w:bottom w:type="dxa" w:w="80"/>
              <w:right w:type="dxa" w:w="100"/>
            </w:tcMar>
          </w:tcPr>
          <w:p>
            <w:r>
              <w:rPr>
                <w:b w:val="false"/>
                <w:bCs w:val="false"/>
                <w:sz w:val="20"/>
                <w:szCs w:val="20"/>
              </w:rPr>
              <w:t xml:space="preserve">10x traffic headroom without rebuild</w:t>
            </w:r>
          </w:p>
        </w:tc>
        <w:tc>
          <w:tcPr>
            <w:tcW w:type="dxa" w:w="6160"/>
            <w:tcMar>
              <w:top w:type="dxa" w:w="80"/>
              <w:left w:type="dxa" w:w="100"/>
              <w:bottom w:type="dxa" w:w="80"/>
              <w:right w:type="dxa" w:w="100"/>
            </w:tcMar>
          </w:tcPr>
          <w:p>
            <w:r>
              <w:rPr>
                <w:b w:val="false"/>
                <w:bCs w:val="false"/>
                <w:sz w:val="20"/>
                <w:szCs w:val="20"/>
              </w:rPr>
              <w:t xml:space="preserve">Stateless app-tier autoscaling + read replicas sized for 10x current projected launch volume; load-test at that multiple before launch, not just at expected volume</w:t>
            </w:r>
          </w:p>
        </w:tc>
      </w:tr>
      <w:tr>
        <w:tc>
          <w:tcPr>
            <w:tcW w:type="dxa" w:w="3200"/>
            <w:tcMar>
              <w:top w:type="dxa" w:w="80"/>
              <w:left w:type="dxa" w:w="100"/>
              <w:bottom w:type="dxa" w:w="80"/>
              <w:right w:type="dxa" w:w="100"/>
            </w:tcMar>
          </w:tcPr>
          <w:p>
            <w:r>
              <w:rPr>
                <w:b w:val="false"/>
                <w:bCs w:val="false"/>
                <w:sz w:val="20"/>
                <w:szCs w:val="20"/>
              </w:rPr>
              <w:t xml:space="preserve">Permanent, unalterable logging</w:t>
            </w:r>
          </w:p>
        </w:tc>
        <w:tc>
          <w:tcPr>
            <w:tcW w:type="dxa" w:w="6160"/>
            <w:tcMar>
              <w:top w:type="dxa" w:w="80"/>
              <w:left w:type="dxa" w:w="100"/>
              <w:bottom w:type="dxa" w:w="80"/>
              <w:right w:type="dxa" w:w="100"/>
            </w:tcMar>
          </w:tcPr>
          <w:p>
            <w:r>
              <w:rPr>
                <w:b w:val="false"/>
                <w:bCs w:val="false"/>
                <w:sz w:val="20"/>
                <w:szCs w:val="20"/>
              </w:rPr>
              <w:t xml:space="preserve">Append-only tables + revoked UPDATE/DELETE grants for ledger and audit_log (see Sections 5.3, 9.2)</w:t>
            </w:r>
          </w:p>
        </w:tc>
      </w:tr>
      <w:tr>
        <w:tc>
          <w:tcPr>
            <w:tcW w:type="dxa" w:w="3200"/>
            <w:tcMar>
              <w:top w:type="dxa" w:w="80"/>
              <w:left w:type="dxa" w:w="100"/>
              <w:bottom w:type="dxa" w:w="80"/>
              <w:right w:type="dxa" w:w="100"/>
            </w:tcMar>
          </w:tcPr>
          <w:p>
            <w:r>
              <w:rPr>
                <w:b w:val="false"/>
                <w:bCs w:val="false"/>
                <w:sz w:val="20"/>
                <w:szCs w:val="20"/>
              </w:rPr>
              <w:t xml:space="preserve">Accessibility (mobile)</w:t>
            </w:r>
          </w:p>
        </w:tc>
        <w:tc>
          <w:tcPr>
            <w:tcW w:type="dxa" w:w="6160"/>
            <w:tcMar>
              <w:top w:type="dxa" w:w="80"/>
              <w:left w:type="dxa" w:w="100"/>
              <w:bottom w:type="dxa" w:w="80"/>
              <w:right w:type="dxa" w:w="100"/>
            </w:tcMar>
          </w:tcPr>
          <w:p>
            <w:r>
              <w:rPr>
                <w:b w:val="false"/>
                <w:bCs w:val="false"/>
                <w:sz w:val="20"/>
                <w:szCs w:val="20"/>
              </w:rPr>
              <w:t xml:space="preserve">Target WCAG 2.1 AA-equivalent practices adapted for mobile: screen-reader labels, sufficient contrast, scalable text, tappable-target sizing</w:t>
            </w:r>
          </w:p>
        </w:tc>
      </w:tr>
      <w:tr>
        <w:tc>
          <w:tcPr>
            <w:tcW w:type="dxa" w:w="3200"/>
            <w:tcMar>
              <w:top w:type="dxa" w:w="80"/>
              <w:left w:type="dxa" w:w="100"/>
              <w:bottom w:type="dxa" w:w="80"/>
              <w:right w:type="dxa" w:w="100"/>
            </w:tcMar>
          </w:tcPr>
          <w:p>
            <w:r>
              <w:rPr>
                <w:b w:val="false"/>
                <w:bCs w:val="false"/>
                <w:sz w:val="20"/>
                <w:szCs w:val="20"/>
              </w:rPr>
              <w:t xml:space="preserve">English default, Swahili nice-to-have</w:t>
            </w:r>
          </w:p>
        </w:tc>
        <w:tc>
          <w:tcPr>
            <w:tcW w:type="dxa" w:w="6160"/>
            <w:tcMar>
              <w:top w:type="dxa" w:w="80"/>
              <w:left w:type="dxa" w:w="100"/>
              <w:bottom w:type="dxa" w:w="80"/>
              <w:right w:type="dxa" w:w="100"/>
            </w:tcMar>
          </w:tcPr>
          <w:p>
            <w:r>
              <w:rPr>
                <w:b w:val="false"/>
                <w:bCs w:val="false"/>
                <w:sz w:val="20"/>
                <w:szCs w:val="20"/>
              </w:rPr>
              <w:t xml:space="preserve">Externalize all UI strings behind an i18n layer from day one — retrofitting a second language onto hardcoded strings is far more expensive than starting with the abstraction, even if Swahili ships after English</w:t>
            </w:r>
          </w:p>
        </w:tc>
      </w:tr>
    </w:tbl>
    <w:p>
      <w:pPr>
        <w:pStyle w:val="Heading1"/>
        <w:spacing w:after="240" w:before="480"/>
      </w:pPr>
      <w:r>
        <w:t xml:space="preserve">11. Data, Privacy, and Retention — Engineering Implementation</w:t>
      </w:r>
    </w:p>
    <w:p>
      <w:pPr>
        <w:spacing w:after="200" w:line="300"/>
        <w:jc w:val="left"/>
      </w:pPr>
      <w:r>
        <w:rPr>
          <w:b w:val="false"/>
          <w:bCs w:val="false"/>
          <w:i w:val="false"/>
          <w:iCs w:val="false"/>
        </w:rPr>
        <w:t xml:space="preserve">BRS Section 6 is explicit that retention period and data-residency rules are not yet legally confirmed. The correct engineering response to a not-yet-known compliance parameter is to build the mechanism now and leave the parameter configurable, rather than waiting to build the mechanism until the number is known:</w:t>
      </w:r>
    </w:p>
    <w:p>
      <w:pPr>
        <w:pStyle w:val="ListParagraph"/>
        <w:numPr>
          <w:ilvl w:val="0"/>
          <w:numId w:val="2"/>
        </w:numPr>
        <w:spacing w:after="100"/>
      </w:pPr>
      <w:r>
        <w:t xml:space="preserve">Model retention as a per-data-category policy (identity documents, transaction records, session logs, etc.) with a retention_days field per category, defaulting to "retain indefinitely" until legal confirms a real number — this avoids two failure modes: deleting data prematurely, or hardcoding a guessed retention window that has to be re-engineered later.</w:t>
      </w:r>
    </w:p>
    <w:p>
      <w:pPr>
        <w:pStyle w:val="ListParagraph"/>
        <w:numPr>
          <w:ilvl w:val="0"/>
          <w:numId w:val="2"/>
        </w:numPr>
        <w:spacing w:after="100"/>
      </w:pPr>
      <w:r>
        <w:t xml:space="preserve">Build the deletion/anonymization job as a scheduled process that reads the policy table, so enabling real retention later is a configuration change, not new development.</w:t>
      </w:r>
    </w:p>
    <w:p>
      <w:pPr>
        <w:pStyle w:val="ListParagraph"/>
        <w:numPr>
          <w:ilvl w:val="0"/>
          <w:numId w:val="2"/>
        </w:numPr>
        <w:spacing w:after="100"/>
      </w:pPr>
      <w:r>
        <w:t xml:space="preserve">For data residency: keep infrastructure-as-code region-parameterized (Terraform/CloudFormation variables, not hardcoded regions) so a residency finding that requires an in-Kenya provider doesn't mean rewriting deployment tooling from scratch.</w:t>
      </w:r>
    </w:p>
    <w:p>
      <w:pPr>
        <w:pStyle w:val="ListParagraph"/>
        <w:numPr>
          <w:ilvl w:val="0"/>
          <w:numId w:val="2"/>
        </w:numPr>
        <w:spacing w:after="100"/>
      </w:pPr>
      <w:r>
        <w:t xml:space="preserve">Payment details are explicitly required to be stored as tokens, not raw account/card numbers (BRS Section 6) — use the payment provider's or a PCI-compliant tokenization vault's token, and never let raw payment credentials touch application logs.</w:t>
      </w:r>
    </w:p>
    <w:p>
      <w:pPr>
        <w:pStyle w:val="Heading1"/>
        <w:spacing w:after="240" w:before="480"/>
      </w:pPr>
      <w:r>
        <w:t xml:space="preserve">12. Security Architecture</w:t>
      </w:r>
    </w:p>
    <w:p>
      <w:pPr>
        <w:spacing w:after="200" w:line="300"/>
        <w:jc w:val="left"/>
      </w:pPr>
      <w:r>
        <w:rPr>
          <w:b w:val="false"/>
          <w:bCs w:val="false"/>
          <w:i w:val="false"/>
          <w:iCs w:val="false"/>
        </w:rPr>
        <w:t xml:space="preserve">Beyond the NFR encryption baseline (Section 10), a few threat-model points specific to this system are worth engineering attention now rather than as a post-launch audit finding:</w:t>
      </w:r>
    </w:p>
    <w:p>
      <w:pPr>
        <w:pStyle w:val="ListParagraph"/>
        <w:numPr>
          <w:ilvl w:val="0"/>
          <w:numId w:val="2"/>
        </w:numPr>
        <w:spacing w:after="100"/>
      </w:pPr>
      <w:r>
        <w:t xml:space="preserve">SIM-swap risk: since phone-number-based accounts and SMS OTP are both in scope (REQ-001, REQ-002), a successful SIM swap against a user is a realistic account-takeover vector in the Kenyan market. Mitigations: require step-up verification (not just SMS OTP) for high-risk actions like adding a new payment method or changing withdrawal destinations, and monitor for rapid MFA-method or phone-number changes as a fraud signal.</w:t>
      </w:r>
    </w:p>
    <w:p>
      <w:pPr>
        <w:pStyle w:val="ListParagraph"/>
        <w:numPr>
          <w:ilvl w:val="0"/>
          <w:numId w:val="2"/>
        </w:numPr>
        <w:spacing w:after="100"/>
      </w:pPr>
      <w:r>
        <w:t xml:space="preserve">Secrets management: Daraja API credentials, bank partner credentials, and KYC vendor API keys should live in a secrets manager (not environment files in source control) with rotation policies and least-privilege service accounts per integration.</w:t>
      </w:r>
    </w:p>
    <w:p>
      <w:pPr>
        <w:pStyle w:val="ListParagraph"/>
        <w:numPr>
          <w:ilvl w:val="0"/>
          <w:numId w:val="2"/>
        </w:numPr>
        <w:spacing w:after="100"/>
      </w:pPr>
      <w:r>
        <w:t xml:space="preserve">Wallet key security (custodial path): hot wallet exposure should be minimized to only what's needed for expected withdrawal volume, with the majority of funds in warm/cold storage requiring multi-party approval to move — a standard custody pattern, but one that needs to be designed, not assumed, before REQ-022 is considered 'built.'</w:t>
      </w:r>
    </w:p>
    <w:p>
      <w:pPr>
        <w:pStyle w:val="ListParagraph"/>
        <w:numPr>
          <w:ilvl w:val="0"/>
          <w:numId w:val="2"/>
        </w:numPr>
        <w:spacing w:after="100"/>
      </w:pPr>
      <w:r>
        <w:t xml:space="preserve">Pre-launch audit: BRS Section 2 lists 'zero unresolved security or compliance issues from the pre-launch audit' as a launch goal — this implies budgeting time in the schedule for a third-party penetration test and remediation cycle before launch, not just before the audit is scheduled.</w:t>
      </w:r>
    </w:p>
    <w:p>
      <w:r>
        <w:br w:type="page"/>
      </w:r>
    </w:p>
    <w:p>
      <w:pPr>
        <w:pStyle w:val="Heading1"/>
        <w:spacing w:after="240" w:before="480"/>
      </w:pPr>
      <w:r>
        <w:t xml:space="preserve">13. API Surface (Representative)</w:t>
      </w:r>
    </w:p>
    <w:p>
      <w:pPr>
        <w:spacing w:after="200" w:line="300"/>
        <w:jc w:val="left"/>
      </w:pPr>
      <w:r>
        <w:rPr>
          <w:b w:val="false"/>
          <w:bCs w:val="false"/>
          <w:i w:val="false"/>
          <w:iCs w:val="false"/>
        </w:rPr>
        <w:t xml:space="preserve">A non-exhaustive but representative REST API surface, grouped by module, to ground the architecture in concrete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rPr>
          <w:tblHeader/>
        </w:trPr>
        <w:tc>
          <w:tcPr>
            <w:tcW w:type="dxa" w:w="3600"/>
            <w:shd w:fill="1F3864" w:color="auto" w:val="clear"/>
            <w:tcMar>
              <w:top w:type="dxa" w:w="80"/>
              <w:left w:type="dxa" w:w="100"/>
              <w:bottom w:type="dxa" w:w="80"/>
              <w:right w:type="dxa" w:w="100"/>
            </w:tcMar>
          </w:tcPr>
          <w:p>
            <w:r>
              <w:rPr>
                <w:b/>
                <w:bCs/>
                <w:color w:val="FFFFFF"/>
                <w:sz w:val="20"/>
                <w:szCs w:val="20"/>
              </w:rPr>
              <w:t xml:space="preserve">Endpoint</w:t>
            </w:r>
          </w:p>
        </w:tc>
        <w:tc>
          <w:tcPr>
            <w:tcW w:type="dxa" w:w="2160"/>
            <w:shd w:fill="1F3864" w:color="auto" w:val="clear"/>
            <w:tcMar>
              <w:top w:type="dxa" w:w="80"/>
              <w:left w:type="dxa" w:w="100"/>
              <w:bottom w:type="dxa" w:w="80"/>
              <w:right w:type="dxa" w:w="100"/>
            </w:tcMar>
          </w:tcPr>
          <w:p>
            <w:r>
              <w:rPr>
                <w:b/>
                <w:bCs/>
                <w:color w:val="FFFFFF"/>
                <w:sz w:val="20"/>
                <w:szCs w:val="20"/>
              </w:rPr>
              <w:t xml:space="preserve">Method</w:t>
            </w:r>
          </w:p>
        </w:tc>
        <w:tc>
          <w:tcPr>
            <w:tcW w:type="dxa" w:w="3600"/>
            <w:shd w:fill="1F3864" w:color="auto" w:val="clear"/>
            <w:tcMar>
              <w:top w:type="dxa" w:w="80"/>
              <w:left w:type="dxa" w:w="100"/>
              <w:bottom w:type="dxa" w:w="80"/>
              <w:right w:type="dxa" w:w="100"/>
            </w:tcMar>
          </w:tcPr>
          <w:p>
            <w:r>
              <w:rPr>
                <w:b/>
                <w:bCs/>
                <w:color w:val="FFFFFF"/>
                <w:sz w:val="20"/>
                <w:szCs w:val="20"/>
              </w:rPr>
              <w:t xml:space="preserve">Purpose</w:t>
            </w:r>
          </w:p>
        </w:tc>
      </w:tr>
      <w:tr>
        <w:tc>
          <w:tcPr>
            <w:tcW w:type="dxa" w:w="3600"/>
            <w:tcMar>
              <w:top w:type="dxa" w:w="80"/>
              <w:left w:type="dxa" w:w="100"/>
              <w:bottom w:type="dxa" w:w="80"/>
              <w:right w:type="dxa" w:w="100"/>
            </w:tcMar>
          </w:tcPr>
          <w:p>
            <w:r>
              <w:rPr>
                <w:b w:val="false"/>
                <w:bCs w:val="false"/>
                <w:sz w:val="20"/>
                <w:szCs w:val="20"/>
              </w:rPr>
              <w:t xml:space="preserve">/auth/signup</w:t>
            </w:r>
          </w:p>
        </w:tc>
        <w:tc>
          <w:tcPr>
            <w:tcW w:type="dxa" w:w="2160"/>
            <w:tcMar>
              <w:top w:type="dxa" w:w="80"/>
              <w:left w:type="dxa" w:w="100"/>
              <w:bottom w:type="dxa" w:w="80"/>
              <w:right w:type="dxa" w:w="100"/>
            </w:tcMar>
          </w:tcPr>
          <w:p>
            <w:r>
              <w:rPr>
                <w:b w:val="false"/>
                <w:bCs w:val="false"/>
                <w:sz w:val="20"/>
                <w:szCs w:val="20"/>
              </w:rPr>
              <w:t xml:space="preserve">POST</w:t>
            </w:r>
          </w:p>
        </w:tc>
        <w:tc>
          <w:tcPr>
            <w:tcW w:type="dxa" w:w="3600"/>
            <w:tcMar>
              <w:top w:type="dxa" w:w="80"/>
              <w:left w:type="dxa" w:w="100"/>
              <w:bottom w:type="dxa" w:w="80"/>
              <w:right w:type="dxa" w:w="100"/>
            </w:tcMar>
          </w:tcPr>
          <w:p>
            <w:r>
              <w:rPr>
                <w:b w:val="false"/>
                <w:bCs w:val="false"/>
                <w:sz w:val="20"/>
                <w:szCs w:val="20"/>
              </w:rPr>
              <w:t xml:space="preserve">REQ-001</w:t>
            </w:r>
          </w:p>
        </w:tc>
      </w:tr>
      <w:tr>
        <w:tc>
          <w:tcPr>
            <w:tcW w:type="dxa" w:w="3600"/>
            <w:tcMar>
              <w:top w:type="dxa" w:w="80"/>
              <w:left w:type="dxa" w:w="100"/>
              <w:bottom w:type="dxa" w:w="80"/>
              <w:right w:type="dxa" w:w="100"/>
            </w:tcMar>
          </w:tcPr>
          <w:p>
            <w:r>
              <w:rPr>
                <w:b w:val="false"/>
                <w:bCs w:val="false"/>
                <w:sz w:val="20"/>
                <w:szCs w:val="20"/>
              </w:rPr>
              <w:t xml:space="preserve">/auth/login</w:t>
            </w:r>
          </w:p>
        </w:tc>
        <w:tc>
          <w:tcPr>
            <w:tcW w:type="dxa" w:w="2160"/>
            <w:tcMar>
              <w:top w:type="dxa" w:w="80"/>
              <w:left w:type="dxa" w:w="100"/>
              <w:bottom w:type="dxa" w:w="80"/>
              <w:right w:type="dxa" w:w="100"/>
            </w:tcMar>
          </w:tcPr>
          <w:p>
            <w:r>
              <w:rPr>
                <w:b w:val="false"/>
                <w:bCs w:val="false"/>
                <w:sz w:val="20"/>
                <w:szCs w:val="20"/>
              </w:rPr>
              <w:t xml:space="preserve">POST</w:t>
            </w:r>
          </w:p>
        </w:tc>
        <w:tc>
          <w:tcPr>
            <w:tcW w:type="dxa" w:w="3600"/>
            <w:tcMar>
              <w:top w:type="dxa" w:w="80"/>
              <w:left w:type="dxa" w:w="100"/>
              <w:bottom w:type="dxa" w:w="80"/>
              <w:right w:type="dxa" w:w="100"/>
            </w:tcMar>
          </w:tcPr>
          <w:p>
            <w:r>
              <w:rPr>
                <w:b w:val="false"/>
                <w:bCs w:val="false"/>
                <w:sz w:val="20"/>
                <w:szCs w:val="20"/>
              </w:rPr>
              <w:t xml:space="preserve">REQ-001, REQ-003</w:t>
            </w:r>
          </w:p>
        </w:tc>
      </w:tr>
      <w:tr>
        <w:tc>
          <w:tcPr>
            <w:tcW w:type="dxa" w:w="3600"/>
            <w:tcMar>
              <w:top w:type="dxa" w:w="80"/>
              <w:left w:type="dxa" w:w="100"/>
              <w:bottom w:type="dxa" w:w="80"/>
              <w:right w:type="dxa" w:w="100"/>
            </w:tcMar>
          </w:tcPr>
          <w:p>
            <w:r>
              <w:rPr>
                <w:b w:val="false"/>
                <w:bCs w:val="false"/>
                <w:sz w:val="20"/>
                <w:szCs w:val="20"/>
              </w:rPr>
              <w:t xml:space="preserve">/auth/mfa/enable</w:t>
            </w:r>
          </w:p>
        </w:tc>
        <w:tc>
          <w:tcPr>
            <w:tcW w:type="dxa" w:w="2160"/>
            <w:tcMar>
              <w:top w:type="dxa" w:w="80"/>
              <w:left w:type="dxa" w:w="100"/>
              <w:bottom w:type="dxa" w:w="80"/>
              <w:right w:type="dxa" w:w="100"/>
            </w:tcMar>
          </w:tcPr>
          <w:p>
            <w:r>
              <w:rPr>
                <w:b w:val="false"/>
                <w:bCs w:val="false"/>
                <w:sz w:val="20"/>
                <w:szCs w:val="20"/>
              </w:rPr>
              <w:t xml:space="preserve">POST</w:t>
            </w:r>
          </w:p>
        </w:tc>
        <w:tc>
          <w:tcPr>
            <w:tcW w:type="dxa" w:w="3600"/>
            <w:tcMar>
              <w:top w:type="dxa" w:w="80"/>
              <w:left w:type="dxa" w:w="100"/>
              <w:bottom w:type="dxa" w:w="80"/>
              <w:right w:type="dxa" w:w="100"/>
            </w:tcMar>
          </w:tcPr>
          <w:p>
            <w:r>
              <w:rPr>
                <w:b w:val="false"/>
                <w:bCs w:val="false"/>
                <w:sz w:val="20"/>
                <w:szCs w:val="20"/>
              </w:rPr>
              <w:t xml:space="preserve">REQ-002</w:t>
            </w:r>
          </w:p>
        </w:tc>
      </w:tr>
      <w:tr>
        <w:tc>
          <w:tcPr>
            <w:tcW w:type="dxa" w:w="3600"/>
            <w:tcMar>
              <w:top w:type="dxa" w:w="80"/>
              <w:left w:type="dxa" w:w="100"/>
              <w:bottom w:type="dxa" w:w="80"/>
              <w:right w:type="dxa" w:w="100"/>
            </w:tcMar>
          </w:tcPr>
          <w:p>
            <w:r>
              <w:rPr>
                <w:b w:val="false"/>
                <w:bCs w:val="false"/>
                <w:sz w:val="20"/>
                <w:szCs w:val="20"/>
              </w:rPr>
              <w:t xml:space="preserve">/auth/password/reset</w:t>
            </w:r>
          </w:p>
        </w:tc>
        <w:tc>
          <w:tcPr>
            <w:tcW w:type="dxa" w:w="2160"/>
            <w:tcMar>
              <w:top w:type="dxa" w:w="80"/>
              <w:left w:type="dxa" w:w="100"/>
              <w:bottom w:type="dxa" w:w="80"/>
              <w:right w:type="dxa" w:w="100"/>
            </w:tcMar>
          </w:tcPr>
          <w:p>
            <w:r>
              <w:rPr>
                <w:b w:val="false"/>
                <w:bCs w:val="false"/>
                <w:sz w:val="20"/>
                <w:szCs w:val="20"/>
              </w:rPr>
              <w:t xml:space="preserve">POST</w:t>
            </w:r>
          </w:p>
        </w:tc>
        <w:tc>
          <w:tcPr>
            <w:tcW w:type="dxa" w:w="3600"/>
            <w:tcMar>
              <w:top w:type="dxa" w:w="80"/>
              <w:left w:type="dxa" w:w="100"/>
              <w:bottom w:type="dxa" w:w="80"/>
              <w:right w:type="dxa" w:w="100"/>
            </w:tcMar>
          </w:tcPr>
          <w:p>
            <w:r>
              <w:rPr>
                <w:b w:val="false"/>
                <w:bCs w:val="false"/>
                <w:sz w:val="20"/>
                <w:szCs w:val="20"/>
              </w:rPr>
              <w:t xml:space="preserve">REQ-004</w:t>
            </w:r>
          </w:p>
        </w:tc>
      </w:tr>
      <w:tr>
        <w:tc>
          <w:tcPr>
            <w:tcW w:type="dxa" w:w="3600"/>
            <w:tcMar>
              <w:top w:type="dxa" w:w="80"/>
              <w:left w:type="dxa" w:w="100"/>
              <w:bottom w:type="dxa" w:w="80"/>
              <w:right w:type="dxa" w:w="100"/>
            </w:tcMar>
          </w:tcPr>
          <w:p>
            <w:r>
              <w:rPr>
                <w:b w:val="false"/>
                <w:bCs w:val="false"/>
                <w:sz w:val="20"/>
                <w:szCs w:val="20"/>
              </w:rPr>
              <w:t xml:space="preserve">/kyc/submissions</w:t>
            </w:r>
          </w:p>
        </w:tc>
        <w:tc>
          <w:tcPr>
            <w:tcW w:type="dxa" w:w="2160"/>
            <w:tcMar>
              <w:top w:type="dxa" w:w="80"/>
              <w:left w:type="dxa" w:w="100"/>
              <w:bottom w:type="dxa" w:w="80"/>
              <w:right w:type="dxa" w:w="100"/>
            </w:tcMar>
          </w:tcPr>
          <w:p>
            <w:r>
              <w:rPr>
                <w:b w:val="false"/>
                <w:bCs w:val="false"/>
                <w:sz w:val="20"/>
                <w:szCs w:val="20"/>
              </w:rPr>
              <w:t xml:space="preserve">POST</w:t>
            </w:r>
          </w:p>
        </w:tc>
        <w:tc>
          <w:tcPr>
            <w:tcW w:type="dxa" w:w="3600"/>
            <w:tcMar>
              <w:top w:type="dxa" w:w="80"/>
              <w:left w:type="dxa" w:w="100"/>
              <w:bottom w:type="dxa" w:w="80"/>
              <w:right w:type="dxa" w:w="100"/>
            </w:tcMar>
          </w:tcPr>
          <w:p>
            <w:r>
              <w:rPr>
                <w:b w:val="false"/>
                <w:bCs w:val="false"/>
                <w:sz w:val="20"/>
                <w:szCs w:val="20"/>
              </w:rPr>
              <w:t xml:space="preserve">REQ-010</w:t>
            </w:r>
          </w:p>
        </w:tc>
      </w:tr>
      <w:tr>
        <w:tc>
          <w:tcPr>
            <w:tcW w:type="dxa" w:w="3600"/>
            <w:tcMar>
              <w:top w:type="dxa" w:w="80"/>
              <w:left w:type="dxa" w:w="100"/>
              <w:bottom w:type="dxa" w:w="80"/>
              <w:right w:type="dxa" w:w="100"/>
            </w:tcMar>
          </w:tcPr>
          <w:p>
            <w:r>
              <w:rPr>
                <w:b w:val="false"/>
                <w:bCs w:val="false"/>
                <w:sz w:val="20"/>
                <w:szCs w:val="20"/>
              </w:rPr>
              <w:t xml:space="preserve">/kyc/submissions/{id}/status</w:t>
            </w:r>
          </w:p>
        </w:tc>
        <w:tc>
          <w:tcPr>
            <w:tcW w:type="dxa" w:w="2160"/>
            <w:tcMar>
              <w:top w:type="dxa" w:w="80"/>
              <w:left w:type="dxa" w:w="100"/>
              <w:bottom w:type="dxa" w:w="80"/>
              <w:right w:type="dxa" w:w="100"/>
            </w:tcMar>
          </w:tcPr>
          <w:p>
            <w:r>
              <w:rPr>
                <w:b w:val="false"/>
                <w:bCs w:val="false"/>
                <w:sz w:val="20"/>
                <w:szCs w:val="20"/>
              </w:rPr>
              <w:t xml:space="preserve">GET</w:t>
            </w:r>
          </w:p>
        </w:tc>
        <w:tc>
          <w:tcPr>
            <w:tcW w:type="dxa" w:w="3600"/>
            <w:tcMar>
              <w:top w:type="dxa" w:w="80"/>
              <w:left w:type="dxa" w:w="100"/>
              <w:bottom w:type="dxa" w:w="80"/>
              <w:right w:type="dxa" w:w="100"/>
            </w:tcMar>
          </w:tcPr>
          <w:p>
            <w:r>
              <w:rPr>
                <w:b w:val="false"/>
                <w:bCs w:val="false"/>
                <w:sz w:val="20"/>
                <w:szCs w:val="20"/>
              </w:rPr>
              <w:t xml:space="preserve">REQ-011, REQ-012</w:t>
            </w:r>
          </w:p>
        </w:tc>
      </w:tr>
      <w:tr>
        <w:tc>
          <w:tcPr>
            <w:tcW w:type="dxa" w:w="3600"/>
            <w:tcMar>
              <w:top w:type="dxa" w:w="80"/>
              <w:left w:type="dxa" w:w="100"/>
              <w:bottom w:type="dxa" w:w="80"/>
              <w:right w:type="dxa" w:w="100"/>
            </w:tcMar>
          </w:tcPr>
          <w:p>
            <w:r>
              <w:rPr>
                <w:b w:val="false"/>
                <w:bCs w:val="false"/>
                <w:sz w:val="20"/>
                <w:szCs w:val="20"/>
              </w:rPr>
              <w:t xml:space="preserve">/wallets</w:t>
            </w:r>
          </w:p>
        </w:tc>
        <w:tc>
          <w:tcPr>
            <w:tcW w:type="dxa" w:w="2160"/>
            <w:tcMar>
              <w:top w:type="dxa" w:w="80"/>
              <w:left w:type="dxa" w:w="100"/>
              <w:bottom w:type="dxa" w:w="80"/>
              <w:right w:type="dxa" w:w="100"/>
            </w:tcMar>
          </w:tcPr>
          <w:p>
            <w:r>
              <w:rPr>
                <w:b w:val="false"/>
                <w:bCs w:val="false"/>
                <w:sz w:val="20"/>
                <w:szCs w:val="20"/>
              </w:rPr>
              <w:t xml:space="preserve">GET</w:t>
            </w:r>
          </w:p>
        </w:tc>
        <w:tc>
          <w:tcPr>
            <w:tcW w:type="dxa" w:w="3600"/>
            <w:tcMar>
              <w:top w:type="dxa" w:w="80"/>
              <w:left w:type="dxa" w:w="100"/>
              <w:bottom w:type="dxa" w:w="80"/>
              <w:right w:type="dxa" w:w="100"/>
            </w:tcMar>
          </w:tcPr>
          <w:p>
            <w:r>
              <w:rPr>
                <w:b w:val="false"/>
                <w:bCs w:val="false"/>
                <w:sz w:val="20"/>
                <w:szCs w:val="20"/>
              </w:rPr>
              <w:t xml:space="preserve">REQ-020</w:t>
            </w:r>
          </w:p>
        </w:tc>
      </w:tr>
      <w:tr>
        <w:tc>
          <w:tcPr>
            <w:tcW w:type="dxa" w:w="3600"/>
            <w:tcMar>
              <w:top w:type="dxa" w:w="80"/>
              <w:left w:type="dxa" w:w="100"/>
              <w:bottom w:type="dxa" w:w="80"/>
              <w:right w:type="dxa" w:w="100"/>
            </w:tcMar>
          </w:tcPr>
          <w:p>
            <w:r>
              <w:rPr>
                <w:b w:val="false"/>
                <w:bCs w:val="false"/>
                <w:sz w:val="20"/>
                <w:szCs w:val="20"/>
              </w:rPr>
              <w:t xml:space="preserve">/wallets/{id}/transactions</w:t>
            </w:r>
          </w:p>
        </w:tc>
        <w:tc>
          <w:tcPr>
            <w:tcW w:type="dxa" w:w="2160"/>
            <w:tcMar>
              <w:top w:type="dxa" w:w="80"/>
              <w:left w:type="dxa" w:w="100"/>
              <w:bottom w:type="dxa" w:w="80"/>
              <w:right w:type="dxa" w:w="100"/>
            </w:tcMar>
          </w:tcPr>
          <w:p>
            <w:r>
              <w:rPr>
                <w:b w:val="false"/>
                <w:bCs w:val="false"/>
                <w:sz w:val="20"/>
                <w:szCs w:val="20"/>
              </w:rPr>
              <w:t xml:space="preserve">GET</w:t>
            </w:r>
          </w:p>
        </w:tc>
        <w:tc>
          <w:tcPr>
            <w:tcW w:type="dxa" w:w="3600"/>
            <w:tcMar>
              <w:top w:type="dxa" w:w="80"/>
              <w:left w:type="dxa" w:w="100"/>
              <w:bottom w:type="dxa" w:w="80"/>
              <w:right w:type="dxa" w:w="100"/>
            </w:tcMar>
          </w:tcPr>
          <w:p>
            <w:r>
              <w:rPr>
                <w:b w:val="false"/>
                <w:bCs w:val="false"/>
                <w:sz w:val="20"/>
                <w:szCs w:val="20"/>
              </w:rPr>
              <w:t xml:space="preserve">REQ-021</w:t>
            </w:r>
          </w:p>
        </w:tc>
      </w:tr>
      <w:tr>
        <w:tc>
          <w:tcPr>
            <w:tcW w:type="dxa" w:w="3600"/>
            <w:tcMar>
              <w:top w:type="dxa" w:w="80"/>
              <w:left w:type="dxa" w:w="100"/>
              <w:bottom w:type="dxa" w:w="80"/>
              <w:right w:type="dxa" w:w="100"/>
            </w:tcMar>
          </w:tcPr>
          <w:p>
            <w:r>
              <w:rPr>
                <w:b w:val="false"/>
                <w:bCs w:val="false"/>
                <w:sz w:val="20"/>
                <w:szCs w:val="20"/>
              </w:rPr>
              <w:t xml:space="preserve">/fx/quote</w:t>
            </w:r>
          </w:p>
        </w:tc>
        <w:tc>
          <w:tcPr>
            <w:tcW w:type="dxa" w:w="2160"/>
            <w:tcMar>
              <w:top w:type="dxa" w:w="80"/>
              <w:left w:type="dxa" w:w="100"/>
              <w:bottom w:type="dxa" w:w="80"/>
              <w:right w:type="dxa" w:w="100"/>
            </w:tcMar>
          </w:tcPr>
          <w:p>
            <w:r>
              <w:rPr>
                <w:b w:val="false"/>
                <w:bCs w:val="false"/>
                <w:sz w:val="20"/>
                <w:szCs w:val="20"/>
              </w:rPr>
              <w:t xml:space="preserve">POST</w:t>
            </w:r>
          </w:p>
        </w:tc>
        <w:tc>
          <w:tcPr>
            <w:tcW w:type="dxa" w:w="3600"/>
            <w:tcMar>
              <w:top w:type="dxa" w:w="80"/>
              <w:left w:type="dxa" w:w="100"/>
              <w:bottom w:type="dxa" w:w="80"/>
              <w:right w:type="dxa" w:w="100"/>
            </w:tcMar>
          </w:tcPr>
          <w:p>
            <w:r>
              <w:rPr>
                <w:b w:val="false"/>
                <w:bCs w:val="false"/>
                <w:sz w:val="20"/>
                <w:szCs w:val="20"/>
              </w:rPr>
              <w:t xml:space="preserve">REQ-030, REQ-031</w:t>
            </w:r>
          </w:p>
        </w:tc>
      </w:tr>
      <w:tr>
        <w:tc>
          <w:tcPr>
            <w:tcW w:type="dxa" w:w="3600"/>
            <w:tcMar>
              <w:top w:type="dxa" w:w="80"/>
              <w:left w:type="dxa" w:w="100"/>
              <w:bottom w:type="dxa" w:w="80"/>
              <w:right w:type="dxa" w:w="100"/>
            </w:tcMar>
          </w:tcPr>
          <w:p>
            <w:r>
              <w:rPr>
                <w:b w:val="false"/>
                <w:bCs w:val="false"/>
                <w:sz w:val="20"/>
                <w:szCs w:val="20"/>
              </w:rPr>
              <w:t xml:space="preserve">/fx/quote/{id}/confirm</w:t>
            </w:r>
          </w:p>
        </w:tc>
        <w:tc>
          <w:tcPr>
            <w:tcW w:type="dxa" w:w="2160"/>
            <w:tcMar>
              <w:top w:type="dxa" w:w="80"/>
              <w:left w:type="dxa" w:w="100"/>
              <w:bottom w:type="dxa" w:w="80"/>
              <w:right w:type="dxa" w:w="100"/>
            </w:tcMar>
          </w:tcPr>
          <w:p>
            <w:r>
              <w:rPr>
                <w:b w:val="false"/>
                <w:bCs w:val="false"/>
                <w:sz w:val="20"/>
                <w:szCs w:val="20"/>
              </w:rPr>
              <w:t xml:space="preserve">POST</w:t>
            </w:r>
          </w:p>
        </w:tc>
        <w:tc>
          <w:tcPr>
            <w:tcW w:type="dxa" w:w="3600"/>
            <w:tcMar>
              <w:top w:type="dxa" w:w="80"/>
              <w:left w:type="dxa" w:w="100"/>
              <w:bottom w:type="dxa" w:w="80"/>
              <w:right w:type="dxa" w:w="100"/>
            </w:tcMar>
          </w:tcPr>
          <w:p>
            <w:r>
              <w:rPr>
                <w:b w:val="false"/>
                <w:bCs w:val="false"/>
                <w:sz w:val="20"/>
                <w:szCs w:val="20"/>
              </w:rPr>
              <w:t xml:space="preserve">REQ-032</w:t>
            </w:r>
          </w:p>
        </w:tc>
      </w:tr>
      <w:tr>
        <w:tc>
          <w:tcPr>
            <w:tcW w:type="dxa" w:w="3600"/>
            <w:tcMar>
              <w:top w:type="dxa" w:w="80"/>
              <w:left w:type="dxa" w:w="100"/>
              <w:bottom w:type="dxa" w:w="80"/>
              <w:right w:type="dxa" w:w="100"/>
            </w:tcMar>
          </w:tcPr>
          <w:p>
            <w:r>
              <w:rPr>
                <w:b w:val="false"/>
                <w:bCs w:val="false"/>
                <w:sz w:val="20"/>
                <w:szCs w:val="20"/>
              </w:rPr>
              <w:t xml:space="preserve">/payments/mpesa/stk-push</w:t>
            </w:r>
          </w:p>
        </w:tc>
        <w:tc>
          <w:tcPr>
            <w:tcW w:type="dxa" w:w="2160"/>
            <w:tcMar>
              <w:top w:type="dxa" w:w="80"/>
              <w:left w:type="dxa" w:w="100"/>
              <w:bottom w:type="dxa" w:w="80"/>
              <w:right w:type="dxa" w:w="100"/>
            </w:tcMar>
          </w:tcPr>
          <w:p>
            <w:r>
              <w:rPr>
                <w:b w:val="false"/>
                <w:bCs w:val="false"/>
                <w:sz w:val="20"/>
                <w:szCs w:val="20"/>
              </w:rPr>
              <w:t xml:space="preserve">POST</w:t>
            </w:r>
          </w:p>
        </w:tc>
        <w:tc>
          <w:tcPr>
            <w:tcW w:type="dxa" w:w="3600"/>
            <w:tcMar>
              <w:top w:type="dxa" w:w="80"/>
              <w:left w:type="dxa" w:w="100"/>
              <w:bottom w:type="dxa" w:w="80"/>
              <w:right w:type="dxa" w:w="100"/>
            </w:tcMar>
          </w:tcPr>
          <w:p>
            <w:r>
              <w:rPr>
                <w:b w:val="false"/>
                <w:bCs w:val="false"/>
                <w:sz w:val="20"/>
                <w:szCs w:val="20"/>
              </w:rPr>
              <w:t xml:space="preserve">REQ-040</w:t>
            </w:r>
          </w:p>
        </w:tc>
      </w:tr>
      <w:tr>
        <w:tc>
          <w:tcPr>
            <w:tcW w:type="dxa" w:w="3600"/>
            <w:tcMar>
              <w:top w:type="dxa" w:w="80"/>
              <w:left w:type="dxa" w:w="100"/>
              <w:bottom w:type="dxa" w:w="80"/>
              <w:right w:type="dxa" w:w="100"/>
            </w:tcMar>
          </w:tcPr>
          <w:p>
            <w:r>
              <w:rPr>
                <w:b w:val="false"/>
                <w:bCs w:val="false"/>
                <w:sz w:val="20"/>
                <w:szCs w:val="20"/>
              </w:rPr>
              <w:t xml:space="preserve">/payments/mpesa/callback</w:t>
            </w:r>
          </w:p>
        </w:tc>
        <w:tc>
          <w:tcPr>
            <w:tcW w:type="dxa" w:w="2160"/>
            <w:tcMar>
              <w:top w:type="dxa" w:w="80"/>
              <w:left w:type="dxa" w:w="100"/>
              <w:bottom w:type="dxa" w:w="80"/>
              <w:right w:type="dxa" w:w="100"/>
            </w:tcMar>
          </w:tcPr>
          <w:p>
            <w:r>
              <w:rPr>
                <w:b w:val="false"/>
                <w:bCs w:val="false"/>
                <w:sz w:val="20"/>
                <w:szCs w:val="20"/>
              </w:rPr>
              <w:t xml:space="preserve">POST (webhook)</w:t>
            </w:r>
          </w:p>
        </w:tc>
        <w:tc>
          <w:tcPr>
            <w:tcW w:type="dxa" w:w="3600"/>
            <w:tcMar>
              <w:top w:type="dxa" w:w="80"/>
              <w:left w:type="dxa" w:w="100"/>
              <w:bottom w:type="dxa" w:w="80"/>
              <w:right w:type="dxa" w:w="100"/>
            </w:tcMar>
          </w:tcPr>
          <w:p>
            <w:r>
              <w:rPr>
                <w:b w:val="false"/>
                <w:bCs w:val="false"/>
                <w:sz w:val="20"/>
                <w:szCs w:val="20"/>
              </w:rPr>
              <w:t xml:space="preserve">REQ-040, REQ-042</w:t>
            </w:r>
          </w:p>
        </w:tc>
      </w:tr>
      <w:tr>
        <w:tc>
          <w:tcPr>
            <w:tcW w:type="dxa" w:w="3600"/>
            <w:tcMar>
              <w:top w:type="dxa" w:w="80"/>
              <w:left w:type="dxa" w:w="100"/>
              <w:bottom w:type="dxa" w:w="80"/>
              <w:right w:type="dxa" w:w="100"/>
            </w:tcMar>
          </w:tcPr>
          <w:p>
            <w:r>
              <w:rPr>
                <w:b w:val="false"/>
                <w:bCs w:val="false"/>
                <w:sz w:val="20"/>
                <w:szCs w:val="20"/>
              </w:rPr>
              <w:t xml:space="preserve">/admin/users/search</w:t>
            </w:r>
          </w:p>
        </w:tc>
        <w:tc>
          <w:tcPr>
            <w:tcW w:type="dxa" w:w="2160"/>
            <w:tcMar>
              <w:top w:type="dxa" w:w="80"/>
              <w:left w:type="dxa" w:w="100"/>
              <w:bottom w:type="dxa" w:w="80"/>
              <w:right w:type="dxa" w:w="100"/>
            </w:tcMar>
          </w:tcPr>
          <w:p>
            <w:r>
              <w:rPr>
                <w:b w:val="false"/>
                <w:bCs w:val="false"/>
                <w:sz w:val="20"/>
                <w:szCs w:val="20"/>
              </w:rPr>
              <w:t xml:space="preserve">GET</w:t>
            </w:r>
          </w:p>
        </w:tc>
        <w:tc>
          <w:tcPr>
            <w:tcW w:type="dxa" w:w="3600"/>
            <w:tcMar>
              <w:top w:type="dxa" w:w="80"/>
              <w:left w:type="dxa" w:w="100"/>
              <w:bottom w:type="dxa" w:w="80"/>
              <w:right w:type="dxa" w:w="100"/>
            </w:tcMar>
          </w:tcPr>
          <w:p>
            <w:r>
              <w:rPr>
                <w:b w:val="false"/>
                <w:bCs w:val="false"/>
                <w:sz w:val="20"/>
                <w:szCs w:val="20"/>
              </w:rPr>
              <w:t xml:space="preserve">REQ-060</w:t>
            </w:r>
          </w:p>
        </w:tc>
      </w:tr>
      <w:tr>
        <w:tc>
          <w:tcPr>
            <w:tcW w:type="dxa" w:w="3600"/>
            <w:tcMar>
              <w:top w:type="dxa" w:w="80"/>
              <w:left w:type="dxa" w:w="100"/>
              <w:bottom w:type="dxa" w:w="80"/>
              <w:right w:type="dxa" w:w="100"/>
            </w:tcMar>
          </w:tcPr>
          <w:p>
            <w:r>
              <w:rPr>
                <w:b w:val="false"/>
                <w:bCs w:val="false"/>
                <w:sz w:val="20"/>
                <w:szCs w:val="20"/>
              </w:rPr>
              <w:t xml:space="preserve">/admin/compliance/cases/{id}/decision</w:t>
            </w:r>
          </w:p>
        </w:tc>
        <w:tc>
          <w:tcPr>
            <w:tcW w:type="dxa" w:w="2160"/>
            <w:tcMar>
              <w:top w:type="dxa" w:w="80"/>
              <w:left w:type="dxa" w:w="100"/>
              <w:bottom w:type="dxa" w:w="80"/>
              <w:right w:type="dxa" w:w="100"/>
            </w:tcMar>
          </w:tcPr>
          <w:p>
            <w:r>
              <w:rPr>
                <w:b w:val="false"/>
                <w:bCs w:val="false"/>
                <w:sz w:val="20"/>
                <w:szCs w:val="20"/>
              </w:rPr>
              <w:t xml:space="preserve">POST</w:t>
            </w:r>
          </w:p>
        </w:tc>
        <w:tc>
          <w:tcPr>
            <w:tcW w:type="dxa" w:w="3600"/>
            <w:tcMar>
              <w:top w:type="dxa" w:w="80"/>
              <w:left w:type="dxa" w:w="100"/>
              <w:bottom w:type="dxa" w:w="80"/>
              <w:right w:type="dxa" w:w="100"/>
            </w:tcMar>
          </w:tcPr>
          <w:p>
            <w:r>
              <w:rPr>
                <w:b w:val="false"/>
                <w:bCs w:val="false"/>
                <w:sz w:val="20"/>
                <w:szCs w:val="20"/>
              </w:rPr>
              <w:t xml:space="preserve">REQ-061</w:t>
            </w:r>
          </w:p>
        </w:tc>
      </w:tr>
      <w:tr>
        <w:tc>
          <w:tcPr>
            <w:tcW w:type="dxa" w:w="3600"/>
            <w:tcMar>
              <w:top w:type="dxa" w:w="80"/>
              <w:left w:type="dxa" w:w="100"/>
              <w:bottom w:type="dxa" w:w="80"/>
              <w:right w:type="dxa" w:w="100"/>
            </w:tcMar>
          </w:tcPr>
          <w:p>
            <w:r>
              <w:rPr>
                <w:b w:val="false"/>
                <w:bCs w:val="false"/>
                <w:sz w:val="20"/>
                <w:szCs w:val="20"/>
              </w:rPr>
              <w:t xml:space="preserve">/admin/reports/regulatory</w:t>
            </w:r>
          </w:p>
        </w:tc>
        <w:tc>
          <w:tcPr>
            <w:tcW w:type="dxa" w:w="2160"/>
            <w:tcMar>
              <w:top w:type="dxa" w:w="80"/>
              <w:left w:type="dxa" w:w="100"/>
              <w:bottom w:type="dxa" w:w="80"/>
              <w:right w:type="dxa" w:w="100"/>
            </w:tcMar>
          </w:tcPr>
          <w:p>
            <w:r>
              <w:rPr>
                <w:b w:val="false"/>
                <w:bCs w:val="false"/>
                <w:sz w:val="20"/>
                <w:szCs w:val="20"/>
              </w:rPr>
              <w:t xml:space="preserve">GET/POST</w:t>
            </w:r>
          </w:p>
        </w:tc>
        <w:tc>
          <w:tcPr>
            <w:tcW w:type="dxa" w:w="3600"/>
            <w:tcMar>
              <w:top w:type="dxa" w:w="80"/>
              <w:left w:type="dxa" w:w="100"/>
              <w:bottom w:type="dxa" w:w="80"/>
              <w:right w:type="dxa" w:w="100"/>
            </w:tcMar>
          </w:tcPr>
          <w:p>
            <w:r>
              <w:rPr>
                <w:b w:val="false"/>
                <w:bCs w:val="false"/>
                <w:sz w:val="20"/>
                <w:szCs w:val="20"/>
              </w:rPr>
              <w:t xml:space="preserve">REQ-050, REQ-062</w:t>
            </w:r>
          </w:p>
        </w:tc>
      </w:tr>
    </w:tbl>
    <w:p>
      <w:pPr>
        <w:pStyle w:val="Heading1"/>
        <w:spacing w:after="240" w:before="480"/>
      </w:pPr>
      <w:r>
        <w:t xml:space="preserve">14. Testing &amp; Quality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color="auto" w:val="clear"/>
            <w:tcMar>
              <w:top w:type="dxa" w:w="80"/>
              <w:left w:type="dxa" w:w="100"/>
              <w:bottom w:type="dxa" w:w="80"/>
              <w:right w:type="dxa" w:w="100"/>
            </w:tcMar>
          </w:tcPr>
          <w:p>
            <w:r>
              <w:rPr>
                <w:b/>
                <w:bCs/>
                <w:color w:val="FFFFFF"/>
                <w:sz w:val="20"/>
                <w:szCs w:val="20"/>
              </w:rPr>
              <w:t xml:space="preserve">Layer</w:t>
            </w:r>
          </w:p>
        </w:tc>
        <w:tc>
          <w:tcPr>
            <w:tcW w:type="dxa" w:w="6760"/>
            <w:shd w:fill="1F3864" w:color="auto" w:val="clear"/>
            <w:tcMar>
              <w:top w:type="dxa" w:w="80"/>
              <w:left w:type="dxa" w:w="100"/>
              <w:bottom w:type="dxa" w:w="80"/>
              <w:right w:type="dxa" w:w="100"/>
            </w:tcMar>
          </w:tcPr>
          <w:p>
            <w:r>
              <w:rPr>
                <w:b/>
                <w:bCs/>
                <w:color w:val="FFFFFF"/>
                <w:sz w:val="20"/>
                <w:szCs w:val="20"/>
              </w:rPr>
              <w:t xml:space="preserve">Focus</w:t>
            </w:r>
          </w:p>
        </w:tc>
      </w:tr>
      <w:tr>
        <w:tc>
          <w:tcPr>
            <w:tcW w:type="dxa" w:w="2600"/>
            <w:tcMar>
              <w:top w:type="dxa" w:w="80"/>
              <w:left w:type="dxa" w:w="100"/>
              <w:bottom w:type="dxa" w:w="80"/>
              <w:right w:type="dxa" w:w="100"/>
            </w:tcMar>
          </w:tcPr>
          <w:p>
            <w:r>
              <w:rPr>
                <w:b w:val="false"/>
                <w:bCs w:val="false"/>
                <w:sz w:val="20"/>
                <w:szCs w:val="20"/>
              </w:rPr>
              <w:t xml:space="preserve">Unit tests</w:t>
            </w:r>
          </w:p>
        </w:tc>
        <w:tc>
          <w:tcPr>
            <w:tcW w:type="dxa" w:w="6760"/>
            <w:tcMar>
              <w:top w:type="dxa" w:w="80"/>
              <w:left w:type="dxa" w:w="100"/>
              <w:bottom w:type="dxa" w:w="80"/>
              <w:right w:type="dxa" w:w="100"/>
            </w:tcMar>
          </w:tcPr>
          <w:p>
            <w:r>
              <w:rPr>
                <w:b w:val="false"/>
                <w:bCs w:val="false"/>
                <w:sz w:val="20"/>
                <w:szCs w:val="20"/>
              </w:rPr>
              <w:t xml:space="preserve">Fee calculation, tier-limit checks, threshold rules, tax computation — pure functions with high branch coverage given their compliance sensitivity</w:t>
            </w:r>
          </w:p>
        </w:tc>
      </w:tr>
      <w:tr>
        <w:tc>
          <w:tcPr>
            <w:tcW w:type="dxa" w:w="2600"/>
            <w:tcMar>
              <w:top w:type="dxa" w:w="80"/>
              <w:left w:type="dxa" w:w="100"/>
              <w:bottom w:type="dxa" w:w="80"/>
              <w:right w:type="dxa" w:w="100"/>
            </w:tcMar>
          </w:tcPr>
          <w:p>
            <w:r>
              <w:rPr>
                <w:b w:val="false"/>
                <w:bCs w:val="false"/>
                <w:sz w:val="20"/>
                <w:szCs w:val="20"/>
              </w:rPr>
              <w:t xml:space="preserve">Integration tests</w:t>
            </w:r>
          </w:p>
        </w:tc>
        <w:tc>
          <w:tcPr>
            <w:tcW w:type="dxa" w:w="6760"/>
            <w:tcMar>
              <w:top w:type="dxa" w:w="80"/>
              <w:left w:type="dxa" w:w="100"/>
              <w:bottom w:type="dxa" w:w="80"/>
              <w:right w:type="dxa" w:w="100"/>
            </w:tcMar>
          </w:tcPr>
          <w:p>
            <w:r>
              <w:rPr>
                <w:b w:val="false"/>
                <w:bCs w:val="false"/>
                <w:sz w:val="20"/>
                <w:szCs w:val="20"/>
              </w:rPr>
              <w:t xml:space="preserve">Daraja sandbox flows, KYC vendor sandbox, database transaction boundaries around wallet/ledger writes</w:t>
            </w:r>
          </w:p>
        </w:tc>
      </w:tr>
      <w:tr>
        <w:tc>
          <w:tcPr>
            <w:tcW w:type="dxa" w:w="2600"/>
            <w:tcMar>
              <w:top w:type="dxa" w:w="80"/>
              <w:left w:type="dxa" w:w="100"/>
              <w:bottom w:type="dxa" w:w="80"/>
              <w:right w:type="dxa" w:w="100"/>
            </w:tcMar>
          </w:tcPr>
          <w:p>
            <w:r>
              <w:rPr>
                <w:b w:val="false"/>
                <w:bCs w:val="false"/>
                <w:sz w:val="20"/>
                <w:szCs w:val="20"/>
              </w:rPr>
              <w:t xml:space="preserve">Contract tests</w:t>
            </w:r>
          </w:p>
        </w:tc>
        <w:tc>
          <w:tcPr>
            <w:tcW w:type="dxa" w:w="6760"/>
            <w:tcMar>
              <w:top w:type="dxa" w:w="80"/>
              <w:left w:type="dxa" w:w="100"/>
              <w:bottom w:type="dxa" w:w="80"/>
              <w:right w:type="dxa" w:w="100"/>
            </w:tcMar>
          </w:tcPr>
          <w:p>
            <w:r>
              <w:rPr>
                <w:b w:val="false"/>
                <w:bCs w:val="false"/>
                <w:sz w:val="20"/>
                <w:szCs w:val="20"/>
              </w:rPr>
              <w:t xml:space="preserve">Callback payload shapes for M-Pesa/bank/Airtel — partner API changes are a real operational risk without these</w:t>
            </w:r>
          </w:p>
        </w:tc>
      </w:tr>
      <w:tr>
        <w:tc>
          <w:tcPr>
            <w:tcW w:type="dxa" w:w="2600"/>
            <w:tcMar>
              <w:top w:type="dxa" w:w="80"/>
              <w:left w:type="dxa" w:w="100"/>
              <w:bottom w:type="dxa" w:w="80"/>
              <w:right w:type="dxa" w:w="100"/>
            </w:tcMar>
          </w:tcPr>
          <w:p>
            <w:r>
              <w:rPr>
                <w:b w:val="false"/>
                <w:bCs w:val="false"/>
                <w:sz w:val="20"/>
                <w:szCs w:val="20"/>
              </w:rPr>
              <w:t xml:space="preserve">Load tests</w:t>
            </w:r>
          </w:p>
        </w:tc>
        <w:tc>
          <w:tcPr>
            <w:tcW w:type="dxa" w:w="6760"/>
            <w:tcMar>
              <w:top w:type="dxa" w:w="80"/>
              <w:left w:type="dxa" w:w="100"/>
              <w:bottom w:type="dxa" w:w="80"/>
              <w:right w:type="dxa" w:w="100"/>
            </w:tcMar>
          </w:tcPr>
          <w:p>
            <w:r>
              <w:rPr>
                <w:b w:val="false"/>
                <w:bCs w:val="false"/>
                <w:sz w:val="20"/>
                <w:szCs w:val="20"/>
              </w:rPr>
              <w:t xml:space="preserve">Signup and conversion flows at 10x projected launch volume (NFR target), with p95 latency assertions</w:t>
            </w:r>
          </w:p>
        </w:tc>
      </w:tr>
      <w:tr>
        <w:tc>
          <w:tcPr>
            <w:tcW w:type="dxa" w:w="2600"/>
            <w:tcMar>
              <w:top w:type="dxa" w:w="80"/>
              <w:left w:type="dxa" w:w="100"/>
              <w:bottom w:type="dxa" w:w="80"/>
              <w:right w:type="dxa" w:w="100"/>
            </w:tcMar>
          </w:tcPr>
          <w:p>
            <w:r>
              <w:rPr>
                <w:b w:val="false"/>
                <w:bCs w:val="false"/>
                <w:sz w:val="20"/>
                <w:szCs w:val="20"/>
              </w:rPr>
              <w:t xml:space="preserve">Security testing</w:t>
            </w:r>
          </w:p>
        </w:tc>
        <w:tc>
          <w:tcPr>
            <w:tcW w:type="dxa" w:w="6760"/>
            <w:tcMar>
              <w:top w:type="dxa" w:w="80"/>
              <w:left w:type="dxa" w:w="100"/>
              <w:bottom w:type="dxa" w:w="80"/>
              <w:right w:type="dxa" w:w="100"/>
            </w:tcMar>
          </w:tcPr>
          <w:p>
            <w:r>
              <w:rPr>
                <w:b w:val="false"/>
                <w:bCs w:val="false"/>
                <w:sz w:val="20"/>
                <w:szCs w:val="20"/>
              </w:rPr>
              <w:t xml:space="preserve">Third-party penetration test pre-launch (BRS Section 2 goal); automated dependency/vulnerability scanning in CI</w:t>
            </w:r>
          </w:p>
        </w:tc>
      </w:tr>
      <w:tr>
        <w:tc>
          <w:tcPr>
            <w:tcW w:type="dxa" w:w="2600"/>
            <w:tcMar>
              <w:top w:type="dxa" w:w="80"/>
              <w:left w:type="dxa" w:w="100"/>
              <w:bottom w:type="dxa" w:w="80"/>
              <w:right w:type="dxa" w:w="100"/>
            </w:tcMar>
          </w:tcPr>
          <w:p>
            <w:r>
              <w:rPr>
                <w:b w:val="false"/>
                <w:bCs w:val="false"/>
                <w:sz w:val="20"/>
                <w:szCs w:val="20"/>
              </w:rPr>
              <w:t xml:space="preserve">Compliance scenario testing</w:t>
            </w:r>
          </w:p>
        </w:tc>
        <w:tc>
          <w:tcPr>
            <w:tcW w:type="dxa" w:w="6760"/>
            <w:tcMar>
              <w:top w:type="dxa" w:w="80"/>
              <w:left w:type="dxa" w:w="100"/>
              <w:bottom w:type="dxa" w:w="80"/>
              <w:right w:type="dxa" w:w="100"/>
            </w:tcMar>
          </w:tcPr>
          <w:p>
            <w:r>
              <w:rPr>
                <w:b w:val="false"/>
                <w:bCs w:val="false"/>
                <w:sz w:val="20"/>
                <w:szCs w:val="20"/>
              </w:rPr>
              <w:t xml:space="preserve">Explicit test cases for: transaction just under/over the reporting threshold, KYC match failure routing to manual review, wallet creation blocked pre-verification, unapproved asset invisible to trading</w:t>
            </w:r>
          </w:p>
        </w:tc>
      </w:tr>
      <w:tr>
        <w:tc>
          <w:tcPr>
            <w:tcW w:type="dxa" w:w="2600"/>
            <w:tcMar>
              <w:top w:type="dxa" w:w="80"/>
              <w:left w:type="dxa" w:w="100"/>
              <w:bottom w:type="dxa" w:w="80"/>
              <w:right w:type="dxa" w:w="100"/>
            </w:tcMar>
          </w:tcPr>
          <w:p>
            <w:r>
              <w:rPr>
                <w:b w:val="false"/>
                <w:bCs w:val="false"/>
                <w:sz w:val="20"/>
                <w:szCs w:val="20"/>
              </w:rPr>
              <w:t xml:space="preserve">Reconciliation drills</w:t>
            </w:r>
          </w:p>
        </w:tc>
        <w:tc>
          <w:tcPr>
            <w:tcW w:type="dxa" w:w="6760"/>
            <w:tcMar>
              <w:top w:type="dxa" w:w="80"/>
              <w:left w:type="dxa" w:w="100"/>
              <w:bottom w:type="dxa" w:w="80"/>
              <w:right w:type="dxa" w:w="100"/>
            </w:tcMar>
          </w:tcPr>
          <w:p>
            <w:r>
              <w:rPr>
                <w:b w:val="false"/>
                <w:bCs w:val="false"/>
                <w:sz w:val="20"/>
                <w:szCs w:val="20"/>
              </w:rPr>
              <w:t xml:space="preserve">Deliberately inject a mismatch in a staging reconciliation run to confirm the alert actually fires (REQ-042)</w:t>
            </w:r>
          </w:p>
        </w:tc>
      </w:tr>
    </w:tbl>
    <w:p>
      <w:pPr>
        <w:pStyle w:val="Heading1"/>
        <w:spacing w:after="240" w:before="480"/>
      </w:pPr>
      <w:r>
        <w:t xml:space="preserve">15. Environments, Release Process, and Observability</w:t>
      </w:r>
    </w:p>
    <w:p>
      <w:pPr>
        <w:pStyle w:val="ListParagraph"/>
        <w:numPr>
          <w:ilvl w:val="0"/>
          <w:numId w:val="2"/>
        </w:numPr>
        <w:spacing w:after="100"/>
      </w:pPr>
      <w:r>
        <w:t xml:space="preserve">Environments: local → staging (with sandboxed Daraja/KYC vendor credentials) → production. Staging should mirror production configuration closely enough that the reconciliation and compliance-hold logic can be genuinely exercised before release.</w:t>
      </w:r>
    </w:p>
    <w:p>
      <w:pPr>
        <w:pStyle w:val="ListParagraph"/>
        <w:numPr>
          <w:ilvl w:val="0"/>
          <w:numId w:val="2"/>
        </w:numPr>
        <w:spacing w:after="100"/>
      </w:pPr>
      <w:r>
        <w:t xml:space="preserve">Release process: given the compliance sensitivity, favor smaller, frequently-reviewed releases with feature flags over big-bang deployments, especially for anything touching REQ-010–014, REQ-050–053. A feature flag lets compliance-sensitive logic be enabled for internal testing before it's live for all users.</w:t>
      </w:r>
    </w:p>
    <w:p>
      <w:pPr>
        <w:pStyle w:val="ListParagraph"/>
        <w:numPr>
          <w:ilvl w:val="0"/>
          <w:numId w:val="2"/>
        </w:numPr>
        <w:spacing w:after="100"/>
      </w:pPr>
      <w:r>
        <w:t xml:space="preserve">Observability: dashboards should track the NFR targets directly (p95/p99 latency, uptime, reconciliation mismatch count, KYC queue depth, compliance-hold queue age) so operational health is visible against the same numbers the BRS commits to, not a generic infra dashboard disconnected from product commitments.</w:t>
      </w:r>
    </w:p>
    <w:p>
      <w:pPr>
        <w:pStyle w:val="ListParagraph"/>
        <w:numPr>
          <w:ilvl w:val="0"/>
          <w:numId w:val="2"/>
        </w:numPr>
        <w:spacing w:after="100"/>
      </w:pPr>
      <w:r>
        <w:t xml:space="preserve">Incident response: given regulator involvement, define an escalation path for incidents that touch fund movement or KYC data specifically (distinct from a generic on-call rotation), since these may carry disclosure obligations to CBK/CMA that a standard engineering incident process won't know to trigger.</w:t>
      </w:r>
    </w:p>
    <w:p>
      <w:pPr>
        <w:pStyle w:val="Heading1"/>
        <w:spacing w:after="240" w:before="480"/>
      </w:pPr>
      <w:r>
        <w:t xml:space="preserve">16. Risk Register — Mapped to BRS Open Items (Section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shd w:fill="1F3864" w:color="auto" w:val="clear"/>
            <w:tcMar>
              <w:top w:type="dxa" w:w="80"/>
              <w:left w:type="dxa" w:w="100"/>
              <w:bottom w:type="dxa" w:w="80"/>
              <w:right w:type="dxa" w:w="100"/>
            </w:tcMar>
          </w:tcPr>
          <w:p>
            <w:r>
              <w:rPr>
                <w:b/>
                <w:bCs/>
                <w:color w:val="FFFFFF"/>
                <w:sz w:val="20"/>
                <w:szCs w:val="20"/>
              </w:rPr>
              <w:t xml:space="preserve">Open Item (from BRS)</w:t>
            </w:r>
          </w:p>
        </w:tc>
        <w:tc>
          <w:tcPr>
            <w:tcW w:type="dxa" w:w="3400"/>
            <w:shd w:fill="1F3864" w:color="auto" w:val="clear"/>
            <w:tcMar>
              <w:top w:type="dxa" w:w="80"/>
              <w:left w:type="dxa" w:w="100"/>
              <w:bottom w:type="dxa" w:w="80"/>
              <w:right w:type="dxa" w:w="100"/>
            </w:tcMar>
          </w:tcPr>
          <w:p>
            <w:r>
              <w:rPr>
                <w:b/>
                <w:bCs/>
                <w:color w:val="FFFFFF"/>
                <w:sz w:val="20"/>
                <w:szCs w:val="20"/>
              </w:rPr>
              <w:t xml:space="preserve">Engineering Impact if Unresolved</w:t>
            </w:r>
          </w:p>
        </w:tc>
        <w:tc>
          <w:tcPr>
            <w:tcW w:type="dxa" w:w="3160"/>
            <w:shd w:fill="1F3864" w:color="auto" w:val="clear"/>
            <w:tcMar>
              <w:top w:type="dxa" w:w="80"/>
              <w:left w:type="dxa" w:w="100"/>
              <w:bottom w:type="dxa" w:w="80"/>
              <w:right w:type="dxa" w:w="100"/>
            </w:tcMar>
          </w:tcPr>
          <w:p>
            <w:r>
              <w:rPr>
                <w:b/>
                <w:bCs/>
                <w:color w:val="FFFFFF"/>
                <w:sz w:val="20"/>
                <w:szCs w:val="20"/>
              </w:rPr>
              <w:t xml:space="preserve">Recommended Action</w:t>
            </w:r>
          </w:p>
        </w:tc>
      </w:tr>
      <w:tr>
        <w:tc>
          <w:tcPr>
            <w:tcW w:type="dxa" w:w="2800"/>
            <w:tcMar>
              <w:top w:type="dxa" w:w="80"/>
              <w:left w:type="dxa" w:w="100"/>
              <w:bottom w:type="dxa" w:w="80"/>
              <w:right w:type="dxa" w:w="100"/>
            </w:tcMar>
          </w:tcPr>
          <w:p>
            <w:r>
              <w:rPr>
                <w:b w:val="false"/>
                <w:bCs w:val="false"/>
                <w:sz w:val="20"/>
                <w:szCs w:val="20"/>
              </w:rPr>
              <w:t xml:space="preserve">Custody model (company vs. user holds keys)</w:t>
            </w:r>
          </w:p>
        </w:tc>
        <w:tc>
          <w:tcPr>
            <w:tcW w:type="dxa" w:w="3400"/>
            <w:tcMar>
              <w:top w:type="dxa" w:w="80"/>
              <w:left w:type="dxa" w:w="100"/>
              <w:bottom w:type="dxa" w:w="80"/>
              <w:right w:type="dxa" w:w="100"/>
            </w:tcMar>
          </w:tcPr>
          <w:p>
            <w:r>
              <w:rPr>
                <w:b w:val="false"/>
                <w:bCs w:val="false"/>
                <w:sz w:val="20"/>
                <w:szCs w:val="20"/>
              </w:rPr>
              <w:t xml:space="preserve">Blocks final wallet architecture (Section 5); affects security review scope</w:t>
            </w:r>
          </w:p>
        </w:tc>
        <w:tc>
          <w:tcPr>
            <w:tcW w:type="dxa" w:w="3160"/>
            <w:tcMar>
              <w:top w:type="dxa" w:w="80"/>
              <w:left w:type="dxa" w:w="100"/>
              <w:bottom w:type="dxa" w:w="80"/>
              <w:right w:type="dxa" w:w="100"/>
            </w:tcMar>
          </w:tcPr>
          <w:p>
            <w:r>
              <w:rPr>
                <w:b w:val="false"/>
                <w:bCs w:val="false"/>
                <w:sz w:val="20"/>
                <w:szCs w:val="20"/>
              </w:rPr>
              <w:t xml:space="preserve">Escalate for a decision before wallet module development begins in earnest</w:t>
            </w:r>
          </w:p>
        </w:tc>
      </w:tr>
      <w:tr>
        <w:tc>
          <w:tcPr>
            <w:tcW w:type="dxa" w:w="2800"/>
            <w:tcMar>
              <w:top w:type="dxa" w:w="80"/>
              <w:left w:type="dxa" w:w="100"/>
              <w:bottom w:type="dxa" w:w="80"/>
              <w:right w:type="dxa" w:w="100"/>
            </w:tcMar>
          </w:tcPr>
          <w:p>
            <w:r>
              <w:rPr>
                <w:b w:val="false"/>
                <w:bCs w:val="false"/>
                <w:sz w:val="20"/>
                <w:szCs w:val="20"/>
              </w:rPr>
              <w:t xml:space="preserve">Data retention period per CBK</w:t>
            </w:r>
          </w:p>
        </w:tc>
        <w:tc>
          <w:tcPr>
            <w:tcW w:type="dxa" w:w="3400"/>
            <w:tcMar>
              <w:top w:type="dxa" w:w="80"/>
              <w:left w:type="dxa" w:w="100"/>
              <w:bottom w:type="dxa" w:w="80"/>
              <w:right w:type="dxa" w:w="100"/>
            </w:tcMar>
          </w:tcPr>
          <w:p>
            <w:r>
              <w:rPr>
                <w:b w:val="false"/>
                <w:bCs w:val="false"/>
                <w:sz w:val="20"/>
                <w:szCs w:val="20"/>
              </w:rPr>
              <w:t xml:space="preserve">Retention job ships with an indefinite-retention default, which may itself be non-compliant if a maximum (not minimum) applies</w:t>
            </w:r>
          </w:p>
        </w:tc>
        <w:tc>
          <w:tcPr>
            <w:tcW w:type="dxa" w:w="3160"/>
            <w:tcMar>
              <w:top w:type="dxa" w:w="80"/>
              <w:left w:type="dxa" w:w="100"/>
              <w:bottom w:type="dxa" w:w="80"/>
              <w:right w:type="dxa" w:w="100"/>
            </w:tcMar>
          </w:tcPr>
          <w:p>
            <w:r>
              <w:rPr>
                <w:b w:val="false"/>
                <w:bCs w:val="false"/>
                <w:sz w:val="20"/>
                <w:szCs w:val="20"/>
              </w:rPr>
              <w:t xml:space="preserve">Build the mechanism now (Section 11); get the number before launch</w:t>
            </w:r>
          </w:p>
        </w:tc>
      </w:tr>
      <w:tr>
        <w:tc>
          <w:tcPr>
            <w:tcW w:type="dxa" w:w="2800"/>
            <w:tcMar>
              <w:top w:type="dxa" w:w="80"/>
              <w:left w:type="dxa" w:w="100"/>
              <w:bottom w:type="dxa" w:w="80"/>
              <w:right w:type="dxa" w:w="100"/>
            </w:tcMar>
          </w:tcPr>
          <w:p>
            <w:r>
              <w:rPr>
                <w:b w:val="false"/>
                <w:bCs w:val="false"/>
                <w:sz w:val="20"/>
                <w:szCs w:val="20"/>
              </w:rPr>
              <w:t xml:space="preserve">Data residency requirement</w:t>
            </w:r>
          </w:p>
        </w:tc>
        <w:tc>
          <w:tcPr>
            <w:tcW w:type="dxa" w:w="3400"/>
            <w:tcMar>
              <w:top w:type="dxa" w:w="80"/>
              <w:left w:type="dxa" w:w="100"/>
              <w:bottom w:type="dxa" w:w="80"/>
              <w:right w:type="dxa" w:w="100"/>
            </w:tcMar>
          </w:tcPr>
          <w:p>
            <w:r>
              <w:rPr>
                <w:b w:val="false"/>
                <w:bCs w:val="false"/>
                <w:sz w:val="20"/>
                <w:szCs w:val="20"/>
              </w:rPr>
              <w:t xml:space="preserve">Cloud region choice may need to change post-decision, forcing a data migration</w:t>
            </w:r>
          </w:p>
        </w:tc>
        <w:tc>
          <w:tcPr>
            <w:tcW w:type="dxa" w:w="3160"/>
            <w:tcMar>
              <w:top w:type="dxa" w:w="80"/>
              <w:left w:type="dxa" w:w="100"/>
              <w:bottom w:type="dxa" w:w="80"/>
              <w:right w:type="dxa" w:w="100"/>
            </w:tcMar>
          </w:tcPr>
          <w:p>
            <w:r>
              <w:rPr>
                <w:b w:val="false"/>
                <w:bCs w:val="false"/>
                <w:sz w:val="20"/>
                <w:szCs w:val="20"/>
              </w:rPr>
              <w:t xml:space="preserve">Parameterize infrastructure-as-code by region now; confirm requirement before committing to a region</w:t>
            </w:r>
          </w:p>
        </w:tc>
      </w:tr>
      <w:tr>
        <w:tc>
          <w:tcPr>
            <w:tcW w:type="dxa" w:w="2800"/>
            <w:tcMar>
              <w:top w:type="dxa" w:w="80"/>
              <w:left w:type="dxa" w:w="100"/>
              <w:bottom w:type="dxa" w:w="80"/>
              <w:right w:type="dxa" w:w="100"/>
            </w:tcMar>
          </w:tcPr>
          <w:p>
            <w:r>
              <w:rPr>
                <w:b w:val="false"/>
                <w:bCs w:val="false"/>
                <w:sz w:val="20"/>
                <w:szCs w:val="20"/>
              </w:rPr>
              <w:t xml:space="preserve">M-Pesa sandbox access timing</w:t>
            </w:r>
          </w:p>
        </w:tc>
        <w:tc>
          <w:tcPr>
            <w:tcW w:type="dxa" w:w="3400"/>
            <w:tcMar>
              <w:top w:type="dxa" w:w="80"/>
              <w:left w:type="dxa" w:w="100"/>
              <w:bottom w:type="dxa" w:w="80"/>
              <w:right w:type="dxa" w:w="100"/>
            </w:tcMar>
          </w:tcPr>
          <w:p>
            <w:r>
              <w:rPr>
                <w:b w:val="false"/>
                <w:bCs w:val="false"/>
                <w:sz w:val="20"/>
                <w:szCs w:val="20"/>
              </w:rPr>
              <w:t xml:space="preserve">Payments module cannot be integration-tested until access is granted</w:t>
            </w:r>
          </w:p>
        </w:tc>
        <w:tc>
          <w:tcPr>
            <w:tcW w:type="dxa" w:w="3160"/>
            <w:tcMar>
              <w:top w:type="dxa" w:w="80"/>
              <w:left w:type="dxa" w:w="100"/>
              <w:bottom w:type="dxa" w:w="80"/>
              <w:right w:type="dxa" w:w="100"/>
            </w:tcMar>
          </w:tcPr>
          <w:p>
            <w:r>
              <w:rPr>
                <w:b w:val="false"/>
                <w:bCs w:val="false"/>
                <w:sz w:val="20"/>
                <w:szCs w:val="20"/>
              </w:rPr>
              <w:t xml:space="preserve">Request sandbox access in parallel with early development, not after other modules are built</w:t>
            </w:r>
          </w:p>
        </w:tc>
      </w:tr>
      <w:tr>
        <w:tc>
          <w:tcPr>
            <w:tcW w:type="dxa" w:w="2800"/>
            <w:tcMar>
              <w:top w:type="dxa" w:w="80"/>
              <w:left w:type="dxa" w:w="100"/>
              <w:bottom w:type="dxa" w:w="80"/>
              <w:right w:type="dxa" w:w="100"/>
            </w:tcMar>
          </w:tcPr>
          <w:p>
            <w:r>
              <w:rPr>
                <w:b w:val="false"/>
                <w:bCs w:val="false"/>
                <w:sz w:val="20"/>
                <w:szCs w:val="20"/>
              </w:rPr>
              <w:t xml:space="preserve">Local incorporation / physical office (VASP licensing)</w:t>
            </w:r>
          </w:p>
        </w:tc>
        <w:tc>
          <w:tcPr>
            <w:tcW w:type="dxa" w:w="3400"/>
            <w:tcMar>
              <w:top w:type="dxa" w:w="80"/>
              <w:left w:type="dxa" w:w="100"/>
              <w:bottom w:type="dxa" w:w="80"/>
              <w:right w:type="dxa" w:w="100"/>
            </w:tcMar>
          </w:tcPr>
          <w:p>
            <w:r>
              <w:rPr>
                <w:b w:val="false"/>
                <w:bCs w:val="false"/>
                <w:sz w:val="20"/>
                <w:szCs w:val="20"/>
              </w:rPr>
              <w:t xml:space="preserve">Not a code dependency, but CBK approval-in-principle (a launch gate per BRS Section 2) may depend on it</w:t>
            </w:r>
          </w:p>
        </w:tc>
        <w:tc>
          <w:tcPr>
            <w:tcW w:type="dxa" w:w="3160"/>
            <w:tcMar>
              <w:top w:type="dxa" w:w="80"/>
              <w:left w:type="dxa" w:w="100"/>
              <w:bottom w:type="dxa" w:w="80"/>
              <w:right w:type="dxa" w:w="100"/>
            </w:tcMar>
          </w:tcPr>
          <w:p>
            <w:r>
              <w:rPr>
                <w:b w:val="false"/>
                <w:bCs w:val="false"/>
                <w:sz w:val="20"/>
                <w:szCs w:val="20"/>
              </w:rPr>
              <w:t xml:space="preserve">Track as a program-level milestone alongside the engineering timeline, not inside it</w:t>
            </w:r>
          </w:p>
        </w:tc>
      </w:tr>
      <w:tr>
        <w:tc>
          <w:tcPr>
            <w:tcW w:type="dxa" w:w="2800"/>
            <w:tcMar>
              <w:top w:type="dxa" w:w="80"/>
              <w:left w:type="dxa" w:w="100"/>
              <w:bottom w:type="dxa" w:w="80"/>
              <w:right w:type="dxa" w:w="100"/>
            </w:tcMar>
          </w:tcPr>
          <w:p>
            <w:r>
              <w:rPr>
                <w:b w:val="false"/>
                <w:bCs w:val="false"/>
                <w:sz w:val="20"/>
                <w:szCs w:val="20"/>
              </w:rPr>
              <w:t xml:space="preserve">Final brand name</w:t>
            </w:r>
          </w:p>
        </w:tc>
        <w:tc>
          <w:tcPr>
            <w:tcW w:type="dxa" w:w="3400"/>
            <w:tcMar>
              <w:top w:type="dxa" w:w="80"/>
              <w:left w:type="dxa" w:w="100"/>
              <w:bottom w:type="dxa" w:w="80"/>
              <w:right w:type="dxa" w:w="100"/>
            </w:tcMar>
          </w:tcPr>
          <w:p>
            <w:r>
              <w:rPr>
                <w:b w:val="false"/>
                <w:bCs w:val="false"/>
                <w:sz w:val="20"/>
                <w:szCs w:val="20"/>
              </w:rPr>
              <w:t xml:space="preserve">Low engineering risk, but affects app store listings, deep links, push-notification sender names, legal entity references in the app</w:t>
            </w:r>
          </w:p>
        </w:tc>
        <w:tc>
          <w:tcPr>
            <w:tcW w:type="dxa" w:w="3160"/>
            <w:tcMar>
              <w:top w:type="dxa" w:w="80"/>
              <w:left w:type="dxa" w:w="100"/>
              <w:bottom w:type="dxa" w:w="80"/>
              <w:right w:type="dxa" w:w="100"/>
            </w:tcMar>
          </w:tcPr>
          <w:p>
            <w:r>
              <w:rPr>
                <w:b w:val="false"/>
                <w:bCs w:val="false"/>
                <w:sz w:val="20"/>
                <w:szCs w:val="20"/>
              </w:rPr>
              <w:t xml:space="preserve">Keep brand name in configuration/constants, not hardcoded in code or asset filenames</w:t>
            </w:r>
          </w:p>
        </w:tc>
      </w:tr>
    </w:tbl>
    <w:p>
      <w:pPr>
        <w:pStyle w:val="Heading1"/>
        <w:spacing w:after="240" w:before="480"/>
      </w:pPr>
      <w:r>
        <w:t xml:space="preserve">17. Summary for the Engineering Team</w:t>
      </w:r>
    </w:p>
    <w:p>
      <w:pPr>
        <w:spacing w:after="200" w:line="300"/>
        <w:jc w:val="left"/>
      </w:pPr>
      <w:r>
        <w:rPr>
          <w:b w:val="false"/>
          <w:bCs w:val="false"/>
          <w:i w:val="false"/>
          <w:iCs w:val="false"/>
        </w:rPr>
        <w:t xml:space="preserve">Three things are worth holding onto when this document meets the backlog:</w:t>
      </w:r>
    </w:p>
    <w:p>
      <w:pPr>
        <w:pStyle w:val="ListParagraph"/>
        <w:numPr>
          <w:ilvl w:val="0"/>
          <w:numId w:val="3"/>
        </w:numPr>
        <w:spacing w:after="100"/>
      </w:pPr>
      <w:r>
        <w:t xml:space="preserve">Compliance is not a layer on top of the product — REQ-014 and REQ-013 mean the KYC and Compliance Engine modules sit in the critical path of account creation and transactions respectively, and should be built early enough that every other module can be developed and tested against a real (not stubbed) compliance gate.</w:t>
      </w:r>
    </w:p>
    <w:p>
      <w:pPr>
        <w:pStyle w:val="ListParagraph"/>
        <w:numPr>
          <w:ilvl w:val="0"/>
          <w:numId w:val="3"/>
        </w:numPr>
        <w:spacing w:after="100"/>
      </w:pPr>
      <w:r>
        <w:t xml:space="preserve">Two decisions block correct design of core modules and should be escalated, not assumed away: the custody model (Section 5) and the data retention/residency rules (Section 11). Building ahead of these decisions risks meaningful rework.</w:t>
      </w:r>
    </w:p>
    <w:p>
      <w:pPr>
        <w:pStyle w:val="ListParagraph"/>
        <w:numPr>
          <w:ilvl w:val="0"/>
          <w:numId w:val="3"/>
        </w:numPr>
        <w:spacing w:after="100"/>
      </w:pPr>
      <w:r>
        <w:t xml:space="preserve">Immutability is a database-level guarantee, not an application-level promise, for the two tables that matter most to a regulator and an auditor: the transaction ledger and the admin audit log. Enforce it with database permissions, not just code discipline.</w:t>
      </w:r>
    </w:p>
    <w:p>
      <w:pPr>
        <w:pBdr>
          <w:left w:val="single" w:color="1F3864" w:sz="12" w:space="8"/>
        </w:pBdr>
        <w:spacing w:after="240" w:before="120"/>
        <w:ind w:left="360"/>
      </w:pPr>
      <w:r>
        <w:rPr>
          <w:i/>
          <w:iCs/>
          <w:color w:val="555555"/>
        </w:rPr>
        <w:t xml:space="preserve">This document is a working technical companion, not a substitute for the BRS's own sign-off process (BRS Section 10). It should be revisited whenever the BRS version changes, particularly around Sections 6 (data/retention) and 9 (regulatory rules), which the BRS itself flags as likely to shift.</w:t>
      </w:r>
    </w:p>
    <w:p>
      <w:r>
        <w:br w:type="page"/>
      </w:r>
    </w:p>
    <w:p>
      <w:pPr>
        <w:pStyle w:val="Heading1"/>
        <w:spacing w:after="240" w:before="480"/>
      </w:pPr>
      <w:r>
        <w:t xml:space="preserve">18. Key Flow Walkthroughs</w:t>
      </w:r>
    </w:p>
    <w:p>
      <w:pPr>
        <w:spacing w:after="200" w:line="300"/>
        <w:jc w:val="left"/>
      </w:pPr>
      <w:r>
        <w:rPr>
          <w:b w:val="false"/>
          <w:bCs w:val="false"/>
          <w:i w:val="false"/>
          <w:iCs w:val="false"/>
        </w:rPr>
        <w:t xml:space="preserve">Reading requirements in isolation hides where modules actually have to cooperate. The four walkthroughs below trace a single user action end-to-end across the modules defined in Section 2, including failure branches — this is the level of detail that turns a module list into an implementable sequence.</w:t>
      </w:r>
    </w:p>
    <w:p>
      <w:pPr>
        <w:pStyle w:val="Heading2"/>
        <w:spacing w:after="160" w:before="360"/>
      </w:pPr>
      <w:r>
        <w:t xml:space="preserve">18.1 New User Onboarding (REQ-001, REQ-010–014)</w:t>
      </w:r>
    </w:p>
    <w:p>
      <w:pPr>
        <w:pStyle w:val="ListParagraph"/>
        <w:numPr>
          <w:ilvl w:val="0"/>
          <w:numId w:val="3"/>
        </w:numPr>
        <w:spacing w:after="100"/>
      </w:pPr>
      <w:r>
        <w:t xml:space="preserve">User submits email/phone + password on the mobile app. Identity &amp; Access validates password strength client- and server-side (REQ-001) and creates a user record with status = 'unverified'.</w:t>
      </w:r>
    </w:p>
    <w:p>
      <w:pPr>
        <w:pStyle w:val="ListParagraph"/>
        <w:numPr>
          <w:ilvl w:val="0"/>
          <w:numId w:val="3"/>
        </w:numPr>
        <w:spacing w:after="100"/>
      </w:pPr>
      <w:r>
        <w:t xml:space="preserve">App immediately routes the user into the KYC capture flow — there is no intermediate 'browse the app unverified' state, since REQ-014 requires wallet activation to be technically impossible pre-verification, and the cleanest way to guarantee that is to not offer anything else to do.</w:t>
      </w:r>
    </w:p>
    <w:p>
      <w:pPr>
        <w:pStyle w:val="ListParagraph"/>
        <w:numPr>
          <w:ilvl w:val="0"/>
          <w:numId w:val="3"/>
        </w:numPr>
        <w:spacing w:after="100"/>
      </w:pPr>
      <w:r>
        <w:t xml:space="preserve">User submits National ID, KRA PIN, government ID photo, and a liveness selfie. KYC/Verification module stores documents in encrypted object storage and creates a kyc_submissions row with status = 'pending'.</w:t>
      </w:r>
    </w:p>
    <w:p>
      <w:pPr>
        <w:pStyle w:val="ListParagraph"/>
        <w:numPr>
          <w:ilvl w:val="0"/>
          <w:numId w:val="3"/>
        </w:numPr>
        <w:spacing w:after="100"/>
      </w:pPr>
      <w:r>
        <w:t xml:space="preserve">An asynchronous job calls the KYC vendor for document-to-selfie match. On success, status becomes 'verified' and a user_tiers row is created at 'Basic'. On failure or low-confidence match, status becomes 'manual_review' and a kyc_review_cases row is created.</w:t>
      </w:r>
    </w:p>
    <w:p>
      <w:pPr>
        <w:pStyle w:val="ListParagraph"/>
        <w:numPr>
          <w:ilvl w:val="0"/>
          <w:numId w:val="3"/>
        </w:numPr>
        <w:spacing w:after="100"/>
      </w:pPr>
      <w:r>
        <w:t xml:space="preserve">Manual review branch: a Compliance Officer opens the case in the Admin Console (Section 9), reviews the documents and match score, and records a decision. Approval flips status to 'verified'; rejection notifies the user with a reason and, per good practice (not explicitly in the BRS but consistent with REQ-011's spirit of not auto-rejecting), an appeal/resubmission path.</w:t>
      </w:r>
    </w:p>
    <w:p>
      <w:pPr>
        <w:pStyle w:val="ListParagraph"/>
        <w:numPr>
          <w:ilvl w:val="0"/>
          <w:numId w:val="3"/>
        </w:numPr>
        <w:spacing w:after="100"/>
      </w:pPr>
      <w:r>
        <w:t xml:space="preserve">Only once status = 'verified' does the Wallet &amp; Custody module allow wallet creation — enforced at the data layer, not just a UI gate (Section 4.3).</w:t>
      </w:r>
    </w:p>
    <w:p>
      <w:pPr>
        <w:pStyle w:val="ListParagraph"/>
        <w:numPr>
          <w:ilvl w:val="0"/>
          <w:numId w:val="3"/>
        </w:numPr>
        <w:spacing w:after="100"/>
      </w:pPr>
      <w:r>
        <w:t xml:space="preserve">User receives a notification confirming their account is active and ready to fund (Notification Service, REQ-023).</w:t>
      </w:r>
    </w:p>
    <w:p>
      <w:pPr>
        <w:pStyle w:val="Heading2"/>
        <w:spacing w:after="160" w:before="360"/>
      </w:pPr>
      <w:r>
        <w:t xml:space="preserve">18.2 Deposit via M-Pesa (REQ-040–042)</w:t>
      </w:r>
    </w:p>
    <w:p>
      <w:pPr>
        <w:pStyle w:val="ListParagraph"/>
        <w:numPr>
          <w:ilvl w:val="0"/>
          <w:numId w:val="3"/>
        </w:numPr>
        <w:spacing w:after="100"/>
      </w:pPr>
      <w:r>
        <w:t xml:space="preserve">User selects 'Deposit', enters an amount, and confirms a linked M-Pesa number (REQ-041 requires a confirmed payment method before deposit is even offered).</w:t>
      </w:r>
    </w:p>
    <w:p>
      <w:pPr>
        <w:pStyle w:val="ListParagraph"/>
        <w:numPr>
          <w:ilvl w:val="0"/>
          <w:numId w:val="3"/>
        </w:numPr>
        <w:spacing w:after="100"/>
      </w:pPr>
      <w:r>
        <w:t xml:space="preserve">Payments module calls Daraja's STK Push API; Safaricom pushes a PIN prompt to the user's phone. The API response at this point only confirms the prompt was sent — the internal transaction record is created with status = 'pending', not 'complete'.</w:t>
      </w:r>
    </w:p>
    <w:p>
      <w:pPr>
        <w:pStyle w:val="ListParagraph"/>
        <w:numPr>
          <w:ilvl w:val="0"/>
          <w:numId w:val="3"/>
        </w:numPr>
        <w:spacing w:after="100"/>
      </w:pPr>
      <w:r>
        <w:t xml:space="preserve">User enters their M-Pesa PIN on their phone (outside the app). Safaricom processes the payment and, asynchronously, calls the app's webhook callback endpoint with the result.</w:t>
      </w:r>
    </w:p>
    <w:p>
      <w:pPr>
        <w:pStyle w:val="ListParagraph"/>
        <w:numPr>
          <w:ilvl w:val="0"/>
          <w:numId w:val="3"/>
        </w:numPr>
        <w:spacing w:after="100"/>
      </w:pPr>
      <w:r>
        <w:t xml:space="preserve">The callback handler verifies the request is genuinely from Safaricom, looks up the pending transaction by Safaricom's reference ID (idempotency check — a duplicate callback must not double-process), and on success moves the transaction to 'complete', writes a ledger entry, and updates wallet_balances.</w:t>
      </w:r>
    </w:p>
    <w:p>
      <w:pPr>
        <w:pStyle w:val="ListParagraph"/>
        <w:numPr>
          <w:ilvl w:val="0"/>
          <w:numId w:val="3"/>
        </w:numPr>
        <w:spacing w:after="100"/>
      </w:pPr>
      <w:r>
        <w:t xml:space="preserve">If REQ-013's threshold is exceeded, the credit still occurs but funds land in a compliance-held state pending a Compliance Officer's release rather than being blocked outright — the BRS acceptance criteria frames this as a 'quick check,' not a rejection.</w:t>
      </w:r>
    </w:p>
    <w:p>
      <w:pPr>
        <w:pStyle w:val="ListParagraph"/>
        <w:numPr>
          <w:ilvl w:val="0"/>
          <w:numId w:val="3"/>
        </w:numPr>
        <w:spacing w:after="100"/>
      </w:pPr>
      <w:r>
        <w:t xml:space="preserve">Notification Service confirms the deposit to the user (target: within 60 seconds, per REQ-023).</w:t>
      </w:r>
    </w:p>
    <w:p>
      <w:pPr>
        <w:pStyle w:val="ListParagraph"/>
        <w:numPr>
          <w:ilvl w:val="0"/>
          <w:numId w:val="3"/>
        </w:numPr>
        <w:spacing w:after="100"/>
      </w:pPr>
      <w:r>
        <w:t xml:space="preserve">Failure branch: if no callback arrives within a defined timeout, a reconciliation-adjacent job queries Daraja's transaction status API directly rather than leaving the transaction pending indefinitely — silent 'stuck pending' deposits are a common source of support tickets in mobile-money integrations.</w:t>
      </w:r>
    </w:p>
    <w:p>
      <w:pPr>
        <w:pStyle w:val="Heading2"/>
        <w:spacing w:after="160" w:before="360"/>
      </w:pPr>
      <w:r>
        <w:t xml:space="preserve">18.3 Crypto-to-KES Conversion (REQ-030–032)</w:t>
      </w:r>
    </w:p>
    <w:p>
      <w:pPr>
        <w:pStyle w:val="ListParagraph"/>
        <w:numPr>
          <w:ilvl w:val="0"/>
          <w:numId w:val="3"/>
        </w:numPr>
        <w:spacing w:after="100"/>
      </w:pPr>
      <w:r>
        <w:t xml:space="preserve">User requests a quote to convert a crypto balance to KES. Conversion Engine reads live rates from its price source(s), applies the fee schedule for the user's tier, and returns a locked quote with an expiry (e.g., 20 seconds).</w:t>
      </w:r>
    </w:p>
    <w:p>
      <w:pPr>
        <w:pStyle w:val="ListParagraph"/>
        <w:numPr>
          <w:ilvl w:val="0"/>
          <w:numId w:val="3"/>
        </w:numPr>
        <w:spacing w:after="100"/>
      </w:pPr>
      <w:r>
        <w:t xml:space="preserve">App displays the exact KES amount the user will receive and the fee, per REQ-031 — the user cannot proceed without seeing this screen.</w:t>
      </w:r>
    </w:p>
    <w:p>
      <w:pPr>
        <w:pStyle w:val="ListParagraph"/>
        <w:numPr>
          <w:ilvl w:val="0"/>
          <w:numId w:val="3"/>
        </w:numPr>
        <w:spacing w:after="100"/>
      </w:pPr>
      <w:r>
        <w:t xml:space="preserve">User confirms within the quote window. If the window has expired, the app requests a fresh quote rather than executing a stale rate — this is what keeps the executed rate within the 0.5% tolerance the BRS references.</w:t>
      </w:r>
    </w:p>
    <w:p>
      <w:pPr>
        <w:pStyle w:val="ListParagraph"/>
        <w:numPr>
          <w:ilvl w:val="0"/>
          <w:numId w:val="3"/>
        </w:numPr>
        <w:spacing w:after="100"/>
      </w:pPr>
      <w:r>
        <w:t xml:space="preserve">Conversion Engine executes the trade: debits the crypto wallet, credits the KES wallet, and writes both ledger entries plus a conversions record capturing the quote used, in a single database transaction so a partial failure can't leave the user's balances inconsistent.</w:t>
      </w:r>
    </w:p>
    <w:p>
      <w:pPr>
        <w:pStyle w:val="ListParagraph"/>
        <w:numPr>
          <w:ilvl w:val="0"/>
          <w:numId w:val="3"/>
        </w:numPr>
        <w:spacing w:after="100"/>
      </w:pPr>
      <w:r>
        <w:t xml:space="preserve">The permanent record required by REQ-032 is simply this ledger + conversions pairing — nothing further to build beyond ensuring both writes are atomic.</w:t>
      </w:r>
    </w:p>
    <w:p>
      <w:pPr>
        <w:pStyle w:val="Heading2"/>
        <w:spacing w:after="160" w:before="360"/>
      </w:pPr>
      <w:r>
        <w:t xml:space="preserve">18.4 Compliance Hold Resolution (REQ-013, REQ-061)</w:t>
      </w:r>
    </w:p>
    <w:p>
      <w:pPr>
        <w:pStyle w:val="ListParagraph"/>
        <w:numPr>
          <w:ilvl w:val="0"/>
          <w:numId w:val="3"/>
        </w:numPr>
        <w:spacing w:after="100"/>
      </w:pPr>
      <w:r>
        <w:t xml:space="preserve">A transaction crosses the configured reporting threshold. The Compliance Engine intercepts it before final settlement, creates a compliance_holds record, and moves the relevant funds from 'available' to 'held' on the wallet.</w:t>
      </w:r>
    </w:p>
    <w:p>
      <w:pPr>
        <w:pStyle w:val="ListParagraph"/>
        <w:numPr>
          <w:ilvl w:val="0"/>
          <w:numId w:val="3"/>
        </w:numPr>
        <w:spacing w:after="100"/>
      </w:pPr>
      <w:r>
        <w:t xml:space="preserve">The transaction appears in the Compliance Officer's queue in the Admin Console, with the triggering rule, amount, and the user's KYC/tier context surfaced alongside it so the officer doesn't have to hunt across screens.</w:t>
      </w:r>
    </w:p>
    <w:p>
      <w:pPr>
        <w:pStyle w:val="ListParagraph"/>
        <w:numPr>
          <w:ilvl w:val="0"/>
          <w:numId w:val="3"/>
        </w:numPr>
        <w:spacing w:after="100"/>
      </w:pPr>
      <w:r>
        <w:t xml:space="preserve">The officer approves, rejects, or escalates (REQ-061). Approval releases the held funds and completes the transaction; rejection reverses it with a ledger entry explaining why (never a silent deletion); escalation routes to a more senior reviewer or triggers a regulator disclosure workflow if warranted.</w:t>
      </w:r>
    </w:p>
    <w:p>
      <w:pPr>
        <w:pStyle w:val="ListParagraph"/>
        <w:numPr>
          <w:ilvl w:val="0"/>
          <w:numId w:val="3"/>
        </w:numPr>
        <w:spacing w:after="100"/>
      </w:pPr>
      <w:r>
        <w:t xml:space="preserve">Every action here — hold created, decision made, funds released — is written to the immutable audit log (REQ-063) with the acting officer's identity and timestamp.</w:t>
      </w:r>
    </w:p>
    <w:p>
      <w:pPr>
        <w:pStyle w:val="Heading1"/>
        <w:spacing w:after="240" w:before="480"/>
      </w:pPr>
      <w:r>
        <w:t xml:space="preserve">19. Error Handling and Edge Cases</w:t>
      </w:r>
    </w:p>
    <w:p>
      <w:pPr>
        <w:spacing w:after="200" w:line="300"/>
        <w:jc w:val="left"/>
      </w:pPr>
      <w:r>
        <w:rPr>
          <w:b w:val="false"/>
          <w:bCs w:val="false"/>
          <w:i w:val="false"/>
          <w:iCs w:val="false"/>
        </w:rPr>
        <w:t xml:space="preserve">A requirements document naturally describes the happy path. The table below is the kind of edge-case catalog an engineer should build test cases from before calling any of these modules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864" w:color="auto" w:val="clear"/>
            <w:tcMar>
              <w:top w:type="dxa" w:w="80"/>
              <w:left w:type="dxa" w:w="100"/>
              <w:bottom w:type="dxa" w:w="80"/>
              <w:right w:type="dxa" w:w="100"/>
            </w:tcMar>
          </w:tcPr>
          <w:p>
            <w:r>
              <w:rPr>
                <w:b/>
                <w:bCs/>
                <w:color w:val="FFFFFF"/>
                <w:sz w:val="20"/>
                <w:szCs w:val="20"/>
              </w:rPr>
              <w:t xml:space="preserve">Scenario</w:t>
            </w:r>
          </w:p>
        </w:tc>
        <w:tc>
          <w:tcPr>
            <w:tcW w:type="dxa" w:w="6160"/>
            <w:shd w:fill="1F3864" w:color="auto" w:val="clear"/>
            <w:tcMar>
              <w:top w:type="dxa" w:w="80"/>
              <w:left w:type="dxa" w:w="100"/>
              <w:bottom w:type="dxa" w:w="80"/>
              <w:right w:type="dxa" w:w="100"/>
            </w:tcMar>
          </w:tcPr>
          <w:p>
            <w:r>
              <w:rPr>
                <w:b/>
                <w:bCs/>
                <w:color w:val="FFFFFF"/>
                <w:sz w:val="20"/>
                <w:szCs w:val="20"/>
              </w:rPr>
              <w:t xml:space="preserve">Expected Behavior</w:t>
            </w:r>
          </w:p>
        </w:tc>
      </w:tr>
      <w:tr>
        <w:tc>
          <w:tcPr>
            <w:tcW w:type="dxa" w:w="3200"/>
            <w:tcMar>
              <w:top w:type="dxa" w:w="80"/>
              <w:left w:type="dxa" w:w="100"/>
              <w:bottom w:type="dxa" w:w="80"/>
              <w:right w:type="dxa" w:w="100"/>
            </w:tcMar>
          </w:tcPr>
          <w:p>
            <w:r>
              <w:rPr>
                <w:b w:val="false"/>
                <w:bCs w:val="false"/>
                <w:sz w:val="20"/>
                <w:szCs w:val="20"/>
              </w:rPr>
              <w:t xml:space="preserve">M-Pesa STK push sent but user never enters PIN</w:t>
            </w:r>
          </w:p>
        </w:tc>
        <w:tc>
          <w:tcPr>
            <w:tcW w:type="dxa" w:w="6160"/>
            <w:tcMar>
              <w:top w:type="dxa" w:w="80"/>
              <w:left w:type="dxa" w:w="100"/>
              <w:bottom w:type="dxa" w:w="80"/>
              <w:right w:type="dxa" w:w="100"/>
            </w:tcMar>
          </w:tcPr>
          <w:p>
            <w:r>
              <w:rPr>
                <w:b w:val="false"/>
                <w:bCs w:val="false"/>
                <w:sz w:val="20"/>
                <w:szCs w:val="20"/>
              </w:rPr>
              <w:t xml:space="preserve">Transaction times out to 'failed' after Safaricom's own timeout window; user is notified and funds (never actually debited) require no reversal</w:t>
            </w:r>
          </w:p>
        </w:tc>
      </w:tr>
      <w:tr>
        <w:tc>
          <w:tcPr>
            <w:tcW w:type="dxa" w:w="3200"/>
            <w:tcMar>
              <w:top w:type="dxa" w:w="80"/>
              <w:left w:type="dxa" w:w="100"/>
              <w:bottom w:type="dxa" w:w="80"/>
              <w:right w:type="dxa" w:w="100"/>
            </w:tcMar>
          </w:tcPr>
          <w:p>
            <w:r>
              <w:rPr>
                <w:b w:val="false"/>
                <w:bCs w:val="false"/>
                <w:sz w:val="20"/>
                <w:szCs w:val="20"/>
              </w:rPr>
              <w:t xml:space="preserve">Duplicate payment callback received</w:t>
            </w:r>
          </w:p>
        </w:tc>
        <w:tc>
          <w:tcPr>
            <w:tcW w:type="dxa" w:w="6160"/>
            <w:tcMar>
              <w:top w:type="dxa" w:w="80"/>
              <w:left w:type="dxa" w:w="100"/>
              <w:bottom w:type="dxa" w:w="80"/>
              <w:right w:type="dxa" w:w="100"/>
            </w:tcMar>
          </w:tcPr>
          <w:p>
            <w:r>
              <w:rPr>
                <w:b w:val="false"/>
                <w:bCs w:val="false"/>
                <w:sz w:val="20"/>
                <w:szCs w:val="20"/>
              </w:rPr>
              <w:t xml:space="preserve">Idempotency key (Safaricom reference) prevents double-crediting; second callback is logged and discarded</w:t>
            </w:r>
          </w:p>
        </w:tc>
      </w:tr>
      <w:tr>
        <w:tc>
          <w:tcPr>
            <w:tcW w:type="dxa" w:w="3200"/>
            <w:tcMar>
              <w:top w:type="dxa" w:w="80"/>
              <w:left w:type="dxa" w:w="100"/>
              <w:bottom w:type="dxa" w:w="80"/>
              <w:right w:type="dxa" w:w="100"/>
            </w:tcMar>
          </w:tcPr>
          <w:p>
            <w:r>
              <w:rPr>
                <w:b w:val="false"/>
                <w:bCs w:val="false"/>
                <w:sz w:val="20"/>
                <w:szCs w:val="20"/>
              </w:rPr>
              <w:t xml:space="preserve">User attempts conversion after quote has expired</w:t>
            </w:r>
          </w:p>
        </w:tc>
        <w:tc>
          <w:tcPr>
            <w:tcW w:type="dxa" w:w="6160"/>
            <w:tcMar>
              <w:top w:type="dxa" w:w="80"/>
              <w:left w:type="dxa" w:w="100"/>
              <w:bottom w:type="dxa" w:w="80"/>
              <w:right w:type="dxa" w:w="100"/>
            </w:tcMar>
          </w:tcPr>
          <w:p>
            <w:r>
              <w:rPr>
                <w:b w:val="false"/>
                <w:bCs w:val="false"/>
                <w:sz w:val="20"/>
                <w:szCs w:val="20"/>
              </w:rPr>
              <w:t xml:space="preserve">Request rejected with a clear 'quote expired' response; client automatically re-quotes rather than showing a raw error</w:t>
            </w:r>
          </w:p>
        </w:tc>
      </w:tr>
      <w:tr>
        <w:tc>
          <w:tcPr>
            <w:tcW w:type="dxa" w:w="3200"/>
            <w:tcMar>
              <w:top w:type="dxa" w:w="80"/>
              <w:left w:type="dxa" w:w="100"/>
              <w:bottom w:type="dxa" w:w="80"/>
              <w:right w:type="dxa" w:w="100"/>
            </w:tcMar>
          </w:tcPr>
          <w:p>
            <w:r>
              <w:rPr>
                <w:b w:val="false"/>
                <w:bCs w:val="false"/>
                <w:sz w:val="20"/>
                <w:szCs w:val="20"/>
              </w:rPr>
              <w:t xml:space="preserve">KYC selfie match is borderline (neither clear pass nor clear fail)</w:t>
            </w:r>
          </w:p>
        </w:tc>
        <w:tc>
          <w:tcPr>
            <w:tcW w:type="dxa" w:w="6160"/>
            <w:tcMar>
              <w:top w:type="dxa" w:w="80"/>
              <w:left w:type="dxa" w:w="100"/>
              <w:bottom w:type="dxa" w:w="80"/>
              <w:right w:type="dxa" w:w="100"/>
            </w:tcMar>
          </w:tcPr>
          <w:p>
            <w:r>
              <w:rPr>
                <w:b w:val="false"/>
                <w:bCs w:val="false"/>
                <w:sz w:val="20"/>
                <w:szCs w:val="20"/>
              </w:rPr>
              <w:t xml:space="preserve">Routes to manual review, never auto-approved or auto-rejected (REQ-011)</w:t>
            </w:r>
          </w:p>
        </w:tc>
      </w:tr>
      <w:tr>
        <w:tc>
          <w:tcPr>
            <w:tcW w:type="dxa" w:w="3200"/>
            <w:tcMar>
              <w:top w:type="dxa" w:w="80"/>
              <w:left w:type="dxa" w:w="100"/>
              <w:bottom w:type="dxa" w:w="80"/>
              <w:right w:type="dxa" w:w="100"/>
            </w:tcMar>
          </w:tcPr>
          <w:p>
            <w:r>
              <w:rPr>
                <w:b w:val="false"/>
                <w:bCs w:val="false"/>
                <w:sz w:val="20"/>
                <w:szCs w:val="20"/>
              </w:rPr>
              <w:t xml:space="preserve">User exceeds tier limit mid-transaction</w:t>
            </w:r>
          </w:p>
        </w:tc>
        <w:tc>
          <w:tcPr>
            <w:tcW w:type="dxa" w:w="6160"/>
            <w:tcMar>
              <w:top w:type="dxa" w:w="80"/>
              <w:left w:type="dxa" w:w="100"/>
              <w:bottom w:type="dxa" w:w="80"/>
              <w:right w:type="dxa" w:w="100"/>
            </w:tcMar>
          </w:tcPr>
          <w:p>
            <w:r>
              <w:rPr>
                <w:b w:val="false"/>
                <w:bCs w:val="false"/>
                <w:sz w:val="20"/>
                <w:szCs w:val="20"/>
              </w:rPr>
              <w:t xml:space="preserve">Transaction blocked before execution with a prompt to verify further, not a failed transaction requiring reversal (per REQ-012 acceptance criteria)</w:t>
            </w:r>
          </w:p>
        </w:tc>
      </w:tr>
      <w:tr>
        <w:tc>
          <w:tcPr>
            <w:tcW w:type="dxa" w:w="3200"/>
            <w:tcMar>
              <w:top w:type="dxa" w:w="80"/>
              <w:left w:type="dxa" w:w="100"/>
              <w:bottom w:type="dxa" w:w="80"/>
              <w:right w:type="dxa" w:w="100"/>
            </w:tcMar>
          </w:tcPr>
          <w:p>
            <w:r>
              <w:rPr>
                <w:b w:val="false"/>
                <w:bCs w:val="false"/>
                <w:sz w:val="20"/>
                <w:szCs w:val="20"/>
              </w:rPr>
              <w:t xml:space="preserve">Two devices attempt to spend the same balance simultaneously</w:t>
            </w:r>
          </w:p>
        </w:tc>
        <w:tc>
          <w:tcPr>
            <w:tcW w:type="dxa" w:w="6160"/>
            <w:tcMar>
              <w:top w:type="dxa" w:w="80"/>
              <w:left w:type="dxa" w:w="100"/>
              <w:bottom w:type="dxa" w:w="80"/>
              <w:right w:type="dxa" w:w="100"/>
            </w:tcMar>
          </w:tcPr>
          <w:p>
            <w:r>
              <w:rPr>
                <w:b w:val="false"/>
                <w:bCs w:val="false"/>
                <w:sz w:val="20"/>
                <w:szCs w:val="20"/>
              </w:rPr>
              <w:t xml:space="preserve">Row-level locking or optimistic concurrency control on wallet_balances prevents a double-spend within the app's own ledger</w:t>
            </w:r>
          </w:p>
        </w:tc>
      </w:tr>
      <w:tr>
        <w:tc>
          <w:tcPr>
            <w:tcW w:type="dxa" w:w="3200"/>
            <w:tcMar>
              <w:top w:type="dxa" w:w="80"/>
              <w:left w:type="dxa" w:w="100"/>
              <w:bottom w:type="dxa" w:w="80"/>
              <w:right w:type="dxa" w:w="100"/>
            </w:tcMar>
          </w:tcPr>
          <w:p>
            <w:r>
              <w:rPr>
                <w:b w:val="false"/>
                <w:bCs w:val="false"/>
                <w:sz w:val="20"/>
                <w:szCs w:val="20"/>
              </w:rPr>
              <w:t xml:space="preserve">Admin attempts to edit a completed ledger entry</w:t>
            </w:r>
          </w:p>
        </w:tc>
        <w:tc>
          <w:tcPr>
            <w:tcW w:type="dxa" w:w="6160"/>
            <w:tcMar>
              <w:top w:type="dxa" w:w="80"/>
              <w:left w:type="dxa" w:w="100"/>
              <w:bottom w:type="dxa" w:w="80"/>
              <w:right w:type="dxa" w:w="100"/>
            </w:tcMar>
          </w:tcPr>
          <w:p>
            <w:r>
              <w:rPr>
                <w:b w:val="false"/>
                <w:bCs w:val="false"/>
                <w:sz w:val="20"/>
                <w:szCs w:val="20"/>
              </w:rPr>
              <w:t xml:space="preserve">Rejected at the database permission level, not just the application layer (Section 5.3)</w:t>
            </w:r>
          </w:p>
        </w:tc>
      </w:tr>
      <w:tr>
        <w:tc>
          <w:tcPr>
            <w:tcW w:type="dxa" w:w="3200"/>
            <w:tcMar>
              <w:top w:type="dxa" w:w="80"/>
              <w:left w:type="dxa" w:w="100"/>
              <w:bottom w:type="dxa" w:w="80"/>
              <w:right w:type="dxa" w:w="100"/>
            </w:tcMar>
          </w:tcPr>
          <w:p>
            <w:r>
              <w:rPr>
                <w:b w:val="false"/>
                <w:bCs w:val="false"/>
                <w:sz w:val="20"/>
                <w:szCs w:val="20"/>
              </w:rPr>
              <w:t xml:space="preserve">Reconciliation finds a provider-side transaction with no internal match</w:t>
            </w:r>
          </w:p>
        </w:tc>
        <w:tc>
          <w:tcPr>
            <w:tcW w:type="dxa" w:w="6160"/>
            <w:tcMar>
              <w:top w:type="dxa" w:w="80"/>
              <w:left w:type="dxa" w:w="100"/>
              <w:bottom w:type="dxa" w:w="80"/>
              <w:right w:type="dxa" w:w="100"/>
            </w:tcMar>
          </w:tcPr>
          <w:p>
            <w:r>
              <w:rPr>
                <w:b w:val="false"/>
                <w:bCs w:val="false"/>
                <w:sz w:val="20"/>
                <w:szCs w:val="20"/>
              </w:rPr>
              <w:t xml:space="preserve">Alerts finance/on-call automatically; transaction is not silently credited to any wallet until investigated</w:t>
            </w:r>
          </w:p>
        </w:tc>
      </w:tr>
      <w:tr>
        <w:tc>
          <w:tcPr>
            <w:tcW w:type="dxa" w:w="3200"/>
            <w:tcMar>
              <w:top w:type="dxa" w:w="80"/>
              <w:left w:type="dxa" w:w="100"/>
              <w:bottom w:type="dxa" w:w="80"/>
              <w:right w:type="dxa" w:w="100"/>
            </w:tcMar>
          </w:tcPr>
          <w:p>
            <w:r>
              <w:rPr>
                <w:b w:val="false"/>
                <w:bCs w:val="false"/>
                <w:sz w:val="20"/>
                <w:szCs w:val="20"/>
              </w:rPr>
              <w:t xml:space="preserve">KYC vendor API is down</w:t>
            </w:r>
          </w:p>
        </w:tc>
        <w:tc>
          <w:tcPr>
            <w:tcW w:type="dxa" w:w="6160"/>
            <w:tcMar>
              <w:top w:type="dxa" w:w="80"/>
              <w:left w:type="dxa" w:w="100"/>
              <w:bottom w:type="dxa" w:w="80"/>
              <w:right w:type="dxa" w:w="100"/>
            </w:tcMar>
          </w:tcPr>
          <w:p>
            <w:r>
              <w:rPr>
                <w:b w:val="false"/>
                <w:bCs w:val="false"/>
                <w:sz w:val="20"/>
                <w:szCs w:val="20"/>
              </w:rPr>
              <w:t xml:space="preserve">New submissions queue for manual review rather than blocking signups outright (Section 4.3)</w:t>
            </w:r>
          </w:p>
        </w:tc>
      </w:tr>
      <w:tr>
        <w:tc>
          <w:tcPr>
            <w:tcW w:type="dxa" w:w="3200"/>
            <w:tcMar>
              <w:top w:type="dxa" w:w="80"/>
              <w:left w:type="dxa" w:w="100"/>
              <w:bottom w:type="dxa" w:w="80"/>
              <w:right w:type="dxa" w:w="100"/>
            </w:tcMar>
          </w:tcPr>
          <w:p>
            <w:r>
              <w:rPr>
                <w:b w:val="false"/>
                <w:bCs w:val="false"/>
                <w:sz w:val="20"/>
                <w:szCs w:val="20"/>
              </w:rPr>
              <w:t xml:space="preserve">Asset is de-listed after users already hold it</w:t>
            </w:r>
          </w:p>
        </w:tc>
        <w:tc>
          <w:tcPr>
            <w:tcW w:type="dxa" w:w="6160"/>
            <w:tcMar>
              <w:top w:type="dxa" w:w="80"/>
              <w:left w:type="dxa" w:w="100"/>
              <w:bottom w:type="dxa" w:w="80"/>
              <w:right w:type="dxa" w:w="100"/>
            </w:tcMar>
          </w:tcPr>
          <w:p>
            <w:r>
              <w:rPr>
                <w:b w:val="false"/>
                <w:bCs w:val="false"/>
                <w:sz w:val="20"/>
                <w:szCs w:val="20"/>
              </w:rPr>
              <w:t xml:space="preserve">Existing holdings remain visible and withdrawable; only new trading/conversion into that asset is blocked, consistent with REQ-052 governing new listings, not retroactive freezes (a policy point worth confirming with product/legal, not assumed)</w:t>
            </w:r>
          </w:p>
        </w:tc>
      </w:tr>
    </w:tbl>
    <w:p>
      <w:r>
        <w:br w:type="page"/>
      </w:r>
    </w:p>
    <w:p>
      <w:pPr>
        <w:pStyle w:val="Heading1"/>
        <w:spacing w:after="240" w:before="480"/>
      </w:pPr>
      <w:r>
        <w:t xml:space="preserve">20. Sample API Payloads</w:t>
      </w:r>
    </w:p>
    <w:p>
      <w:pPr>
        <w:spacing w:after="200" w:line="300"/>
        <w:jc w:val="left"/>
      </w:pPr>
      <w:r>
        <w:rPr>
          <w:b w:val="false"/>
          <w:bCs w:val="false"/>
          <w:i w:val="false"/>
          <w:iCs w:val="false"/>
        </w:rPr>
        <w:t xml:space="preserve">Illustrative request/response shapes for three representative endpoints from Section 13, to make the API surface concrete rather than just a list of paths.</w:t>
      </w:r>
    </w:p>
    <w:p>
      <w:pPr>
        <w:pStyle w:val="Heading2"/>
        <w:spacing w:after="160" w:before="360"/>
      </w:pPr>
      <w:r>
        <w:t xml:space="preserve">20.1 POST /fx/quote</w:t>
      </w:r>
    </w:p>
    <w:p>
      <w:pPr>
        <w:shd w:fill="F2F2F2" w:color="auto" w:val="clear"/>
        <w:spacing w:after="120"/>
      </w:pPr>
      <w:r>
        <w:rPr>
          <w:rFonts w:ascii="Consolas" w:cs="Consolas" w:eastAsia="Consolas" w:hAnsi="Consolas"/>
          <w:sz w:val="19"/>
          <w:szCs w:val="19"/>
        </w:rPr>
        <w:t xml:space="preserve">{
  "from_asset": "USDT",
  "to_asset": "KES",
  "amount": "50.00"
}</w:t>
      </w:r>
    </w:p>
    <w:p>
      <w:pPr>
        <w:shd w:fill="F2F2F2" w:color="auto" w:val="clear"/>
        <w:spacing w:after="200"/>
      </w:pPr>
      <w:r>
        <w:rPr>
          <w:rFonts w:ascii="Consolas" w:cs="Consolas" w:eastAsia="Consolas" w:hAnsi="Consolas"/>
          <w:sz w:val="19"/>
          <w:szCs w:val="19"/>
        </w:rPr>
        <w:t xml:space="preserve">{
  "quote_id": "q_8f3a2c",
  "rate": "129.45",
  "fee": "0.75",
  "you_receive_kes": "6465.75",
  "expires_at": "2026-07-13T10:15:42Z"
}</w:t>
      </w:r>
    </w:p>
    <w:p>
      <w:pPr>
        <w:pStyle w:val="Heading2"/>
        <w:spacing w:after="160" w:before="360"/>
      </w:pPr>
      <w:r>
        <w:t xml:space="preserve">20.2 POST /payments/mpesa/callback (inbound webhook, illustrative)</w:t>
      </w:r>
    </w:p>
    <w:p>
      <w:pPr>
        <w:shd w:fill="F2F2F2" w:color="auto" w:val="clear"/>
        <w:spacing w:after="200"/>
      </w:pPr>
      <w:r>
        <w:rPr>
          <w:rFonts w:ascii="Consolas" w:cs="Consolas" w:eastAsia="Consolas" w:hAnsi="Consolas"/>
          <w:sz w:val="19"/>
          <w:szCs w:val="19"/>
        </w:rPr>
        <w:t xml:space="preserve">{
  "MerchantRequestID": "29115-...",
  "CheckoutRequestID": "ws_CO_...",
  "ResultCode": 0,
  "ResultDesc": "The service request is processed successfully.",
  "CallbackMetadata": {
    "Amount": 500,
    "MpesaReceiptNumber": "NLJ7RT61SV",
    "PhoneNumber": 254712345678
  }
}</w:t>
      </w:r>
    </w:p>
    <w:p>
      <w:pPr>
        <w:spacing w:after="200" w:line="300"/>
        <w:jc w:val="left"/>
      </w:pPr>
      <w:r>
        <w:rPr>
          <w:b w:val="false"/>
          <w:bCs w:val="false"/>
          <w:i w:val="false"/>
          <w:iCs w:val="false"/>
        </w:rPr>
        <w:t xml:space="preserve">The handler for this endpoint matches on MpesaReceiptNumber to enforce idempotency, and treats a non-zero ResultCode as a failed transaction, notifying the user and leaving the internal transaction in a 'failed' state for support visibility.</w:t>
      </w:r>
    </w:p>
    <w:p>
      <w:pPr>
        <w:pStyle w:val="Heading2"/>
        <w:spacing w:after="160" w:before="360"/>
      </w:pPr>
      <w:r>
        <w:t xml:space="preserve">20.3 GET /admin/reports/regulatory</w:t>
      </w:r>
    </w:p>
    <w:p>
      <w:pPr>
        <w:shd w:fill="F2F2F2" w:color="auto" w:val="clear"/>
        <w:spacing w:after="200"/>
      </w:pPr>
      <w:r>
        <w:rPr>
          <w:rFonts w:ascii="Consolas" w:cs="Consolas" w:eastAsia="Consolas" w:hAnsi="Consolas"/>
          <w:sz w:val="19"/>
          <w:szCs w:val="19"/>
        </w:rPr>
        <w:t xml:space="preserve">{
  "report_type": "cbk_transaction_summary",
  "period_start": "2026-07-01",
  "period_end": "2026-07-31",
  "generated_at": "2026-08-01T06:00:00Z",
  "download_url": "https://.../reports/cbk_2026_07.csv"
}</w:t>
      </w:r>
    </w:p>
    <w:p>
      <w:pPr>
        <w:pStyle w:val="Heading1"/>
        <w:spacing w:after="240" w:before="480"/>
      </w:pPr>
      <w:r>
        <w:t xml:space="preserve">21. Delivery Plan (Indicative)</w:t>
      </w:r>
    </w:p>
    <w:p>
      <w:pPr>
        <w:spacing w:after="200" w:line="300"/>
        <w:jc w:val="left"/>
      </w:pPr>
      <w:r>
        <w:rPr>
          <w:b w:val="false"/>
          <w:bCs w:val="false"/>
          <w:i w:val="false"/>
          <w:iCs w:val="false"/>
        </w:rPr>
        <w:t xml:space="preserve">A rough phasing, assuming the open legal/decision items in Section 16 are resolved early rather than discovered mid-build: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shd w:fill="1F3864" w:color="auto" w:val="clear"/>
            <w:tcMar>
              <w:top w:type="dxa" w:w="80"/>
              <w:left w:type="dxa" w:w="100"/>
              <w:bottom w:type="dxa" w:w="80"/>
              <w:right w:type="dxa" w:w="100"/>
            </w:tcMar>
          </w:tcPr>
          <w:p>
            <w:r>
              <w:rPr>
                <w:b/>
                <w:bCs/>
                <w:color w:val="FFFFFF"/>
                <w:sz w:val="20"/>
                <w:szCs w:val="20"/>
              </w:rPr>
              <w:t xml:space="preserve">Phase</w:t>
            </w:r>
          </w:p>
        </w:tc>
        <w:tc>
          <w:tcPr>
            <w:tcW w:type="dxa" w:w="4400"/>
            <w:shd w:fill="1F3864" w:color="auto" w:val="clear"/>
            <w:tcMar>
              <w:top w:type="dxa" w:w="80"/>
              <w:left w:type="dxa" w:w="100"/>
              <w:bottom w:type="dxa" w:w="80"/>
              <w:right w:type="dxa" w:w="100"/>
            </w:tcMar>
          </w:tcPr>
          <w:p>
            <w:r>
              <w:rPr>
                <w:b/>
                <w:bCs/>
                <w:color w:val="FFFFFF"/>
                <w:sz w:val="20"/>
                <w:szCs w:val="20"/>
              </w:rPr>
              <w:t xml:space="preserve">Focus</w:t>
            </w:r>
          </w:p>
        </w:tc>
        <w:tc>
          <w:tcPr>
            <w:tcW w:type="dxa" w:w="2760"/>
            <w:shd w:fill="1F3864" w:color="auto" w:val="clear"/>
            <w:tcMar>
              <w:top w:type="dxa" w:w="80"/>
              <w:left w:type="dxa" w:w="100"/>
              <w:bottom w:type="dxa" w:w="80"/>
              <w:right w:type="dxa" w:w="100"/>
            </w:tcMar>
          </w:tcPr>
          <w:p>
            <w:r>
              <w:rPr>
                <w:b/>
                <w:bCs/>
                <w:color w:val="FFFFFF"/>
                <w:sz w:val="20"/>
                <w:szCs w:val="20"/>
              </w:rPr>
              <w:t xml:space="preserve">Depends On</w:t>
            </w:r>
          </w:p>
        </w:tc>
      </w:tr>
      <w:tr>
        <w:tc>
          <w:tcPr>
            <w:tcW w:type="dxa" w:w="2200"/>
            <w:tcMar>
              <w:top w:type="dxa" w:w="80"/>
              <w:left w:type="dxa" w:w="100"/>
              <w:bottom w:type="dxa" w:w="80"/>
              <w:right w:type="dxa" w:w="100"/>
            </w:tcMar>
          </w:tcPr>
          <w:p>
            <w:r>
              <w:rPr>
                <w:b w:val="false"/>
                <w:bCs w:val="false"/>
                <w:sz w:val="20"/>
                <w:szCs w:val="20"/>
              </w:rPr>
              <w:t xml:space="preserve">0 — Foundations</w:t>
            </w:r>
          </w:p>
        </w:tc>
        <w:tc>
          <w:tcPr>
            <w:tcW w:type="dxa" w:w="4400"/>
            <w:tcMar>
              <w:top w:type="dxa" w:w="80"/>
              <w:left w:type="dxa" w:w="100"/>
              <w:bottom w:type="dxa" w:w="80"/>
              <w:right w:type="dxa" w:w="100"/>
            </w:tcMar>
          </w:tcPr>
          <w:p>
            <w:r>
              <w:rPr>
                <w:b w:val="false"/>
                <w:bCs w:val="false"/>
                <w:sz w:val="20"/>
                <w:szCs w:val="20"/>
              </w:rPr>
              <w:t xml:space="preserve">Core infra, CI/CD, Identity &amp; Access, base data model</w:t>
            </w:r>
          </w:p>
        </w:tc>
        <w:tc>
          <w:tcPr>
            <w:tcW w:type="dxa" w:w="2760"/>
            <w:tcMar>
              <w:top w:type="dxa" w:w="80"/>
              <w:left w:type="dxa" w:w="100"/>
              <w:bottom w:type="dxa" w:w="80"/>
              <w:right w:type="dxa" w:w="100"/>
            </w:tcMar>
          </w:tcPr>
          <w:p>
            <w:r>
              <w:rPr>
                <w:b w:val="false"/>
                <w:bCs w:val="false"/>
                <w:sz w:val="20"/>
                <w:szCs w:val="20"/>
              </w:rPr>
              <w:t xml:space="preserve">Region/residency decision (Section 2.3)</w:t>
            </w:r>
          </w:p>
        </w:tc>
      </w:tr>
      <w:tr>
        <w:tc>
          <w:tcPr>
            <w:tcW w:type="dxa" w:w="2200"/>
            <w:tcMar>
              <w:top w:type="dxa" w:w="80"/>
              <w:left w:type="dxa" w:w="100"/>
              <w:bottom w:type="dxa" w:w="80"/>
              <w:right w:type="dxa" w:w="100"/>
            </w:tcMar>
          </w:tcPr>
          <w:p>
            <w:r>
              <w:rPr>
                <w:b w:val="false"/>
                <w:bCs w:val="false"/>
                <w:sz w:val="20"/>
                <w:szCs w:val="20"/>
              </w:rPr>
              <w:t xml:space="preserve">1 — Verification Gate</w:t>
            </w:r>
          </w:p>
        </w:tc>
        <w:tc>
          <w:tcPr>
            <w:tcW w:type="dxa" w:w="4400"/>
            <w:tcMar>
              <w:top w:type="dxa" w:w="80"/>
              <w:left w:type="dxa" w:w="100"/>
              <w:bottom w:type="dxa" w:w="80"/>
              <w:right w:type="dxa" w:w="100"/>
            </w:tcMar>
          </w:tcPr>
          <w:p>
            <w:r>
              <w:rPr>
                <w:b w:val="false"/>
                <w:bCs w:val="false"/>
                <w:sz w:val="20"/>
                <w:szCs w:val="20"/>
              </w:rPr>
              <w:t xml:space="preserve">KYC pipeline, manual review queue, tiering</w:t>
            </w:r>
          </w:p>
        </w:tc>
        <w:tc>
          <w:tcPr>
            <w:tcW w:type="dxa" w:w="2760"/>
            <w:tcMar>
              <w:top w:type="dxa" w:w="80"/>
              <w:left w:type="dxa" w:w="100"/>
              <w:bottom w:type="dxa" w:w="80"/>
              <w:right w:type="dxa" w:w="100"/>
            </w:tcMar>
          </w:tcPr>
          <w:p>
            <w:r>
              <w:rPr>
                <w:b w:val="false"/>
                <w:bCs w:val="false"/>
                <w:sz w:val="20"/>
                <w:szCs w:val="20"/>
              </w:rPr>
              <w:t xml:space="preserve">Legal confirmation of KYC data requirements (BRS Section 8)</w:t>
            </w:r>
          </w:p>
        </w:tc>
      </w:tr>
      <w:tr>
        <w:tc>
          <w:tcPr>
            <w:tcW w:type="dxa" w:w="2200"/>
            <w:tcMar>
              <w:top w:type="dxa" w:w="80"/>
              <w:left w:type="dxa" w:w="100"/>
              <w:bottom w:type="dxa" w:w="80"/>
              <w:right w:type="dxa" w:w="100"/>
            </w:tcMar>
          </w:tcPr>
          <w:p>
            <w:r>
              <w:rPr>
                <w:b w:val="false"/>
                <w:bCs w:val="false"/>
                <w:sz w:val="20"/>
                <w:szCs w:val="20"/>
              </w:rPr>
              <w:t xml:space="preserve">2 — Money Movement</w:t>
            </w:r>
          </w:p>
        </w:tc>
        <w:tc>
          <w:tcPr>
            <w:tcW w:type="dxa" w:w="4400"/>
            <w:tcMar>
              <w:top w:type="dxa" w:w="80"/>
              <w:left w:type="dxa" w:w="100"/>
              <w:bottom w:type="dxa" w:w="80"/>
              <w:right w:type="dxa" w:w="100"/>
            </w:tcMar>
          </w:tcPr>
          <w:p>
            <w:r>
              <w:rPr>
                <w:b w:val="false"/>
                <w:bCs w:val="false"/>
                <w:sz w:val="20"/>
                <w:szCs w:val="20"/>
              </w:rPr>
              <w:t xml:space="preserve">Wallet, ledger, M-Pesa integration, reconciliation</w:t>
            </w:r>
          </w:p>
        </w:tc>
        <w:tc>
          <w:tcPr>
            <w:tcW w:type="dxa" w:w="2760"/>
            <w:tcMar>
              <w:top w:type="dxa" w:w="80"/>
              <w:left w:type="dxa" w:w="100"/>
              <w:bottom w:type="dxa" w:w="80"/>
              <w:right w:type="dxa" w:w="100"/>
            </w:tcMar>
          </w:tcPr>
          <w:p>
            <w:r>
              <w:rPr>
                <w:b w:val="false"/>
                <w:bCs w:val="false"/>
                <w:sz w:val="20"/>
                <w:szCs w:val="20"/>
              </w:rPr>
              <w:t xml:space="preserve">Custody model decision (Section 5); Daraja sandbox access</w:t>
            </w:r>
          </w:p>
        </w:tc>
      </w:tr>
      <w:tr>
        <w:tc>
          <w:tcPr>
            <w:tcW w:type="dxa" w:w="2200"/>
            <w:tcMar>
              <w:top w:type="dxa" w:w="80"/>
              <w:left w:type="dxa" w:w="100"/>
              <w:bottom w:type="dxa" w:w="80"/>
              <w:right w:type="dxa" w:w="100"/>
            </w:tcMar>
          </w:tcPr>
          <w:p>
            <w:r>
              <w:rPr>
                <w:b w:val="false"/>
                <w:bCs w:val="false"/>
                <w:sz w:val="20"/>
                <w:szCs w:val="20"/>
              </w:rPr>
              <w:t xml:space="preserve">3 — Trading</w:t>
            </w:r>
          </w:p>
        </w:tc>
        <w:tc>
          <w:tcPr>
            <w:tcW w:type="dxa" w:w="4400"/>
            <w:tcMar>
              <w:top w:type="dxa" w:w="80"/>
              <w:left w:type="dxa" w:w="100"/>
              <w:bottom w:type="dxa" w:w="80"/>
              <w:right w:type="dxa" w:w="100"/>
            </w:tcMar>
          </w:tcPr>
          <w:p>
            <w:r>
              <w:rPr>
                <w:b w:val="false"/>
                <w:bCs w:val="false"/>
                <w:sz w:val="20"/>
                <w:szCs w:val="20"/>
              </w:rPr>
              <w:t xml:space="preserve">Conversion engine, asset listing/approval workflow</w:t>
            </w:r>
          </w:p>
        </w:tc>
        <w:tc>
          <w:tcPr>
            <w:tcW w:type="dxa" w:w="2760"/>
            <w:tcMar>
              <w:top w:type="dxa" w:w="80"/>
              <w:left w:type="dxa" w:w="100"/>
              <w:bottom w:type="dxa" w:w="80"/>
              <w:right w:type="dxa" w:w="100"/>
            </w:tcMar>
          </w:tcPr>
          <w:p>
            <w:r>
              <w:rPr>
                <w:b w:val="false"/>
                <w:bCs w:val="false"/>
                <w:sz w:val="20"/>
                <w:szCs w:val="20"/>
              </w:rPr>
              <w:t xml:space="preserve">Phase 2 complete</w:t>
            </w:r>
          </w:p>
        </w:tc>
      </w:tr>
      <w:tr>
        <w:tc>
          <w:tcPr>
            <w:tcW w:type="dxa" w:w="2200"/>
            <w:tcMar>
              <w:top w:type="dxa" w:w="80"/>
              <w:left w:type="dxa" w:w="100"/>
              <w:bottom w:type="dxa" w:w="80"/>
              <w:right w:type="dxa" w:w="100"/>
            </w:tcMar>
          </w:tcPr>
          <w:p>
            <w:r>
              <w:rPr>
                <w:b w:val="false"/>
                <w:bCs w:val="false"/>
                <w:sz w:val="20"/>
                <w:szCs w:val="20"/>
              </w:rPr>
              <w:t xml:space="preserve">4 — Compliance &amp; Admin</w:t>
            </w:r>
          </w:p>
        </w:tc>
        <w:tc>
          <w:tcPr>
            <w:tcW w:type="dxa" w:w="4400"/>
            <w:tcMar>
              <w:top w:type="dxa" w:w="80"/>
              <w:left w:type="dxa" w:w="100"/>
              <w:bottom w:type="dxa" w:w="80"/>
              <w:right w:type="dxa" w:w="100"/>
            </w:tcMar>
          </w:tcPr>
          <w:p>
            <w:r>
              <w:rPr>
                <w:b w:val="false"/>
                <w:bCs w:val="false"/>
                <w:sz w:val="20"/>
                <w:szCs w:val="20"/>
              </w:rPr>
              <w:t xml:space="preserve">Compliance Engine, Admin Console, regulator reporting</w:t>
            </w:r>
          </w:p>
        </w:tc>
        <w:tc>
          <w:tcPr>
            <w:tcW w:type="dxa" w:w="2760"/>
            <w:tcMar>
              <w:top w:type="dxa" w:w="80"/>
              <w:left w:type="dxa" w:w="100"/>
              <w:bottom w:type="dxa" w:w="80"/>
              <w:right w:type="dxa" w:w="100"/>
            </w:tcMar>
          </w:tcPr>
          <w:p>
            <w:r>
              <w:rPr>
                <w:b w:val="false"/>
                <w:bCs w:val="false"/>
                <w:sz w:val="20"/>
                <w:szCs w:val="20"/>
              </w:rPr>
              <w:t xml:space="preserve">Can begin in parallel with Phase 2–3 once data model is stable</w:t>
            </w:r>
          </w:p>
        </w:tc>
      </w:tr>
      <w:tr>
        <w:tc>
          <w:tcPr>
            <w:tcW w:type="dxa" w:w="2200"/>
            <w:tcMar>
              <w:top w:type="dxa" w:w="80"/>
              <w:left w:type="dxa" w:w="100"/>
              <w:bottom w:type="dxa" w:w="80"/>
              <w:right w:type="dxa" w:w="100"/>
            </w:tcMar>
          </w:tcPr>
          <w:p>
            <w:r>
              <w:rPr>
                <w:b w:val="false"/>
                <w:bCs w:val="false"/>
                <w:sz w:val="20"/>
                <w:szCs w:val="20"/>
              </w:rPr>
              <w:t xml:space="preserve">5 — Hardening</w:t>
            </w:r>
          </w:p>
        </w:tc>
        <w:tc>
          <w:tcPr>
            <w:tcW w:type="dxa" w:w="4400"/>
            <w:tcMar>
              <w:top w:type="dxa" w:w="80"/>
              <w:left w:type="dxa" w:w="100"/>
              <w:bottom w:type="dxa" w:w="80"/>
              <w:right w:type="dxa" w:w="100"/>
            </w:tcMar>
          </w:tcPr>
          <w:p>
            <w:r>
              <w:rPr>
                <w:b w:val="false"/>
                <w:bCs w:val="false"/>
                <w:sz w:val="20"/>
                <w:szCs w:val="20"/>
              </w:rPr>
              <w:t xml:space="preserve">Load testing at 10x, penetration test and remediation, accessibility pass</w:t>
            </w:r>
          </w:p>
        </w:tc>
        <w:tc>
          <w:tcPr>
            <w:tcW w:type="dxa" w:w="2760"/>
            <w:tcMar>
              <w:top w:type="dxa" w:w="80"/>
              <w:left w:type="dxa" w:w="100"/>
              <w:bottom w:type="dxa" w:w="80"/>
              <w:right w:type="dxa" w:w="100"/>
            </w:tcMar>
          </w:tcPr>
          <w:p>
            <w:r>
              <w:rPr>
                <w:b w:val="false"/>
                <w:bCs w:val="false"/>
                <w:sz w:val="20"/>
                <w:szCs w:val="20"/>
              </w:rPr>
              <w:t xml:space="preserve">All feature phases substantially complete</w:t>
            </w:r>
          </w:p>
        </w:tc>
      </w:tr>
      <w:tr>
        <w:tc>
          <w:tcPr>
            <w:tcW w:type="dxa" w:w="2200"/>
            <w:tcMar>
              <w:top w:type="dxa" w:w="80"/>
              <w:left w:type="dxa" w:w="100"/>
              <w:bottom w:type="dxa" w:w="80"/>
              <w:right w:type="dxa" w:w="100"/>
            </w:tcMar>
          </w:tcPr>
          <w:p>
            <w:r>
              <w:rPr>
                <w:b w:val="false"/>
                <w:bCs w:val="false"/>
                <w:sz w:val="20"/>
                <w:szCs w:val="20"/>
              </w:rPr>
              <w:t xml:space="preserve">6 — Launch Readiness</w:t>
            </w:r>
          </w:p>
        </w:tc>
        <w:tc>
          <w:tcPr>
            <w:tcW w:type="dxa" w:w="4400"/>
            <w:tcMar>
              <w:top w:type="dxa" w:w="80"/>
              <w:left w:type="dxa" w:w="100"/>
              <w:bottom w:type="dxa" w:w="80"/>
              <w:right w:type="dxa" w:w="100"/>
            </w:tcMar>
          </w:tcPr>
          <w:p>
            <w:r>
              <w:rPr>
                <w:b w:val="false"/>
                <w:bCs w:val="false"/>
                <w:sz w:val="20"/>
                <w:szCs w:val="20"/>
              </w:rPr>
              <w:t xml:space="preserve">CBK approval-in-principle, final sign-off (BRS Section 10), production cutover</w:t>
            </w:r>
          </w:p>
        </w:tc>
        <w:tc>
          <w:tcPr>
            <w:tcW w:type="dxa" w:w="2760"/>
            <w:tcMar>
              <w:top w:type="dxa" w:w="80"/>
              <w:left w:type="dxa" w:w="100"/>
              <w:bottom w:type="dxa" w:w="80"/>
              <w:right w:type="dxa" w:w="100"/>
            </w:tcMar>
          </w:tcPr>
          <w:p>
            <w:r>
              <w:rPr>
                <w:b w:val="false"/>
                <w:bCs w:val="false"/>
                <w:sz w:val="20"/>
                <w:szCs w:val="20"/>
              </w:rPr>
              <w:t xml:space="preserve">All prior phases; regulatory approval track</w:t>
            </w:r>
          </w:p>
        </w:tc>
      </w:tr>
    </w:tbl>
    <w:p>
      <w:pPr>
        <w:spacing w:after="200" w:line="300"/>
        <w:jc w:val="left"/>
      </w:pPr>
      <w:r>
        <w:rPr>
          <w:b w:val="false"/>
          <w:bCs w:val="false"/>
          <w:i w:val="false"/>
          <w:iCs w:val="false"/>
        </w:rPr>
        <w:t xml:space="preserve">Phases 2 and 4 are drawn as parallelizable because the Compliance Engine and Admin Console can be built against a stable data model and mocked transaction events before the full payments integration is live — this is worth planning deliberately rather than defaulting to a strictly linear roadmap, since compliance features are launch-gating (BRS Section 2) and benefit from the longest possible runway.</w:t>
      </w:r>
    </w:p>
    <w:p>
      <w:r>
        <w:br w:type="page"/>
      </w:r>
    </w:p>
    <w:p>
      <w:pPr>
        <w:pStyle w:val="Heading1"/>
        <w:spacing w:after="240" w:before="480"/>
      </w:pPr>
      <w:r>
        <w:t xml:space="preserve">22. Requirements Traceability Matrix</w:t>
      </w:r>
    </w:p>
    <w:p>
      <w:pPr>
        <w:spacing w:after="200" w:line="300"/>
        <w:jc w:val="left"/>
      </w:pPr>
      <w:r>
        <w:rPr>
          <w:b w:val="false"/>
          <w:bCs w:val="false"/>
          <w:i w:val="false"/>
          <w:iCs w:val="false"/>
        </w:rPr>
        <w:t xml:space="preserve">Every BRS requirement, cross-referenced to where it is addressed in this document, so a reviewer can confirm nothing was missed.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shd w:fill="1F3864" w:color="auto" w:val="clear"/>
            <w:tcMar>
              <w:top w:type="dxa" w:w="80"/>
              <w:left w:type="dxa" w:w="100"/>
              <w:bottom w:type="dxa" w:w="80"/>
              <w:right w:type="dxa" w:w="100"/>
            </w:tcMar>
          </w:tcPr>
          <w:p>
            <w:r>
              <w:rPr>
                <w:b/>
                <w:bCs/>
                <w:color w:val="FFFFFF"/>
                <w:sz w:val="20"/>
                <w:szCs w:val="20"/>
              </w:rPr>
              <w:t xml:space="preserve">REQ ID</w:t>
            </w:r>
          </w:p>
        </w:tc>
        <w:tc>
          <w:tcPr>
            <w:tcW w:type="dxa" w:w="5360"/>
            <w:shd w:fill="1F3864" w:color="auto" w:val="clear"/>
            <w:tcMar>
              <w:top w:type="dxa" w:w="80"/>
              <w:left w:type="dxa" w:w="100"/>
              <w:bottom w:type="dxa" w:w="80"/>
              <w:right w:type="dxa" w:w="100"/>
            </w:tcMar>
          </w:tcPr>
          <w:p>
            <w:r>
              <w:rPr>
                <w:b/>
                <w:bCs/>
                <w:color w:val="FFFFFF"/>
                <w:sz w:val="20"/>
                <w:szCs w:val="20"/>
              </w:rPr>
              <w:t xml:space="preserve">Design Section</w:t>
            </w:r>
          </w:p>
        </w:tc>
      </w:tr>
      <w:tr>
        <w:tc>
          <w:tcPr>
            <w:tcW w:type="dxa" w:w="4000"/>
            <w:tcMar>
              <w:top w:type="dxa" w:w="80"/>
              <w:left w:type="dxa" w:w="100"/>
              <w:bottom w:type="dxa" w:w="80"/>
              <w:right w:type="dxa" w:w="100"/>
            </w:tcMar>
          </w:tcPr>
          <w:p>
            <w:r>
              <w:rPr>
                <w:b w:val="false"/>
                <w:bCs w:val="false"/>
                <w:sz w:val="20"/>
                <w:szCs w:val="20"/>
              </w:rPr>
              <w:t xml:space="preserve">REQ-001 — Signup with email/phone + password</w:t>
            </w:r>
          </w:p>
        </w:tc>
        <w:tc>
          <w:tcPr>
            <w:tcW w:type="dxa" w:w="5360"/>
            <w:tcMar>
              <w:top w:type="dxa" w:w="80"/>
              <w:left w:type="dxa" w:w="100"/>
              <w:bottom w:type="dxa" w:w="80"/>
              <w:right w:type="dxa" w:w="100"/>
            </w:tcMar>
          </w:tcPr>
          <w:p>
            <w:r>
              <w:rPr>
                <w:b w:val="false"/>
                <w:bCs w:val="false"/>
                <w:sz w:val="20"/>
                <w:szCs w:val="20"/>
              </w:rPr>
              <w:t xml:space="preserve">§3.1, §3.2, §18.1</w:t>
            </w:r>
          </w:p>
        </w:tc>
      </w:tr>
      <w:tr>
        <w:tc>
          <w:tcPr>
            <w:tcW w:type="dxa" w:w="4000"/>
            <w:tcMar>
              <w:top w:type="dxa" w:w="80"/>
              <w:left w:type="dxa" w:w="100"/>
              <w:bottom w:type="dxa" w:w="80"/>
              <w:right w:type="dxa" w:w="100"/>
            </w:tcMar>
          </w:tcPr>
          <w:p>
            <w:r>
              <w:rPr>
                <w:b w:val="false"/>
                <w:bCs w:val="false"/>
                <w:sz w:val="20"/>
                <w:szCs w:val="20"/>
              </w:rPr>
              <w:t xml:space="preserve">REQ-002 — Two-factor login</w:t>
            </w:r>
          </w:p>
        </w:tc>
        <w:tc>
          <w:tcPr>
            <w:tcW w:type="dxa" w:w="5360"/>
            <w:tcMar>
              <w:top w:type="dxa" w:w="80"/>
              <w:left w:type="dxa" w:w="100"/>
              <w:bottom w:type="dxa" w:w="80"/>
              <w:right w:type="dxa" w:w="100"/>
            </w:tcMar>
          </w:tcPr>
          <w:p>
            <w:r>
              <w:rPr>
                <w:b w:val="false"/>
                <w:bCs w:val="false"/>
                <w:sz w:val="20"/>
                <w:szCs w:val="20"/>
              </w:rPr>
              <w:t xml:space="preserve">§3.2</w:t>
            </w:r>
          </w:p>
        </w:tc>
      </w:tr>
      <w:tr>
        <w:tc>
          <w:tcPr>
            <w:tcW w:type="dxa" w:w="4000"/>
            <w:tcMar>
              <w:top w:type="dxa" w:w="80"/>
              <w:left w:type="dxa" w:w="100"/>
              <w:bottom w:type="dxa" w:w="80"/>
              <w:right w:type="dxa" w:w="100"/>
            </w:tcMar>
          </w:tcPr>
          <w:p>
            <w:r>
              <w:rPr>
                <w:b w:val="false"/>
                <w:bCs w:val="false"/>
                <w:sz w:val="20"/>
                <w:szCs w:val="20"/>
              </w:rPr>
              <w:t xml:space="preserve">REQ-003 — Lockout after 5 failed attempts</w:t>
            </w:r>
          </w:p>
        </w:tc>
        <w:tc>
          <w:tcPr>
            <w:tcW w:type="dxa" w:w="5360"/>
            <w:tcMar>
              <w:top w:type="dxa" w:w="80"/>
              <w:left w:type="dxa" w:w="100"/>
              <w:bottom w:type="dxa" w:w="80"/>
              <w:right w:type="dxa" w:w="100"/>
            </w:tcMar>
          </w:tcPr>
          <w:p>
            <w:r>
              <w:rPr>
                <w:b w:val="false"/>
                <w:bCs w:val="false"/>
                <w:sz w:val="20"/>
                <w:szCs w:val="20"/>
              </w:rPr>
              <w:t xml:space="preserve">§3.1, §3.2</w:t>
            </w:r>
          </w:p>
        </w:tc>
      </w:tr>
      <w:tr>
        <w:tc>
          <w:tcPr>
            <w:tcW w:type="dxa" w:w="4000"/>
            <w:tcMar>
              <w:top w:type="dxa" w:w="80"/>
              <w:left w:type="dxa" w:w="100"/>
              <w:bottom w:type="dxa" w:w="80"/>
              <w:right w:type="dxa" w:w="100"/>
            </w:tcMar>
          </w:tcPr>
          <w:p>
            <w:r>
              <w:rPr>
                <w:b w:val="false"/>
                <w:bCs w:val="false"/>
                <w:sz w:val="20"/>
                <w:szCs w:val="20"/>
              </w:rPr>
              <w:t xml:space="preserve">REQ-004 — Password reset, single-use expiring link</w:t>
            </w:r>
          </w:p>
        </w:tc>
        <w:tc>
          <w:tcPr>
            <w:tcW w:type="dxa" w:w="5360"/>
            <w:tcMar>
              <w:top w:type="dxa" w:w="80"/>
              <w:left w:type="dxa" w:w="100"/>
              <w:bottom w:type="dxa" w:w="80"/>
              <w:right w:type="dxa" w:w="100"/>
            </w:tcMar>
          </w:tcPr>
          <w:p>
            <w:r>
              <w:rPr>
                <w:b w:val="false"/>
                <w:bCs w:val="false"/>
                <w:sz w:val="20"/>
                <w:szCs w:val="20"/>
              </w:rPr>
              <w:t xml:space="preserve">§3.1, §3.2</w:t>
            </w:r>
          </w:p>
        </w:tc>
      </w:tr>
      <w:tr>
        <w:tc>
          <w:tcPr>
            <w:tcW w:type="dxa" w:w="4000"/>
            <w:tcMar>
              <w:top w:type="dxa" w:w="80"/>
              <w:left w:type="dxa" w:w="100"/>
              <w:bottom w:type="dxa" w:w="80"/>
              <w:right w:type="dxa" w:w="100"/>
            </w:tcMar>
          </w:tcPr>
          <w:p>
            <w:r>
              <w:rPr>
                <w:b w:val="false"/>
                <w:bCs w:val="false"/>
                <w:sz w:val="20"/>
                <w:szCs w:val="20"/>
              </w:rPr>
              <w:t xml:space="preserve">REQ-010 — National ID, KRA PIN, government photo ID</w:t>
            </w:r>
          </w:p>
        </w:tc>
        <w:tc>
          <w:tcPr>
            <w:tcW w:type="dxa" w:w="5360"/>
            <w:tcMar>
              <w:top w:type="dxa" w:w="80"/>
              <w:left w:type="dxa" w:w="100"/>
              <w:bottom w:type="dxa" w:w="80"/>
              <w:right w:type="dxa" w:w="100"/>
            </w:tcMar>
          </w:tcPr>
          <w:p>
            <w:r>
              <w:rPr>
                <w:b w:val="false"/>
                <w:bCs w:val="false"/>
                <w:sz w:val="20"/>
                <w:szCs w:val="20"/>
              </w:rPr>
              <w:t xml:space="preserve">§4.1, §4.2, §18.1</w:t>
            </w:r>
          </w:p>
        </w:tc>
      </w:tr>
      <w:tr>
        <w:tc>
          <w:tcPr>
            <w:tcW w:type="dxa" w:w="4000"/>
            <w:tcMar>
              <w:top w:type="dxa" w:w="80"/>
              <w:left w:type="dxa" w:w="100"/>
              <w:bottom w:type="dxa" w:w="80"/>
              <w:right w:type="dxa" w:w="100"/>
            </w:tcMar>
          </w:tcPr>
          <w:p>
            <w:r>
              <w:rPr>
                <w:b w:val="false"/>
                <w:bCs w:val="false"/>
                <w:sz w:val="20"/>
                <w:szCs w:val="20"/>
              </w:rPr>
              <w:t xml:space="preserve">REQ-011 — Automated selfie-to-ID match, human fallback</w:t>
            </w:r>
          </w:p>
        </w:tc>
        <w:tc>
          <w:tcPr>
            <w:tcW w:type="dxa" w:w="5360"/>
            <w:tcMar>
              <w:top w:type="dxa" w:w="80"/>
              <w:left w:type="dxa" w:w="100"/>
              <w:bottom w:type="dxa" w:w="80"/>
              <w:right w:type="dxa" w:w="100"/>
            </w:tcMar>
          </w:tcPr>
          <w:p>
            <w:r>
              <w:rPr>
                <w:b w:val="false"/>
                <w:bCs w:val="false"/>
                <w:sz w:val="20"/>
                <w:szCs w:val="20"/>
              </w:rPr>
              <w:t xml:space="preserve">§4.1, §4.3, §18.1, §19</w:t>
            </w:r>
          </w:p>
        </w:tc>
      </w:tr>
      <w:tr>
        <w:tc>
          <w:tcPr>
            <w:tcW w:type="dxa" w:w="4000"/>
            <w:tcMar>
              <w:top w:type="dxa" w:w="80"/>
              <w:left w:type="dxa" w:w="100"/>
              <w:bottom w:type="dxa" w:w="80"/>
              <w:right w:type="dxa" w:w="100"/>
            </w:tcMar>
          </w:tcPr>
          <w:p>
            <w:r>
              <w:rPr>
                <w:b w:val="false"/>
                <w:bCs w:val="false"/>
                <w:sz w:val="20"/>
                <w:szCs w:val="20"/>
              </w:rPr>
              <w:t xml:space="preserve">REQ-012 — Tiering with transaction limits</w:t>
            </w:r>
          </w:p>
        </w:tc>
        <w:tc>
          <w:tcPr>
            <w:tcW w:type="dxa" w:w="5360"/>
            <w:tcMar>
              <w:top w:type="dxa" w:w="80"/>
              <w:left w:type="dxa" w:w="100"/>
              <w:bottom w:type="dxa" w:w="80"/>
              <w:right w:type="dxa" w:w="100"/>
            </w:tcMar>
          </w:tcPr>
          <w:p>
            <w:r>
              <w:rPr>
                <w:b w:val="false"/>
                <w:bCs w:val="false"/>
                <w:sz w:val="20"/>
                <w:szCs w:val="20"/>
              </w:rPr>
              <w:t xml:space="preserve">§4.1, §4.2, §19</w:t>
            </w:r>
          </w:p>
        </w:tc>
      </w:tr>
      <w:tr>
        <w:tc>
          <w:tcPr>
            <w:tcW w:type="dxa" w:w="4000"/>
            <w:tcMar>
              <w:top w:type="dxa" w:w="80"/>
              <w:left w:type="dxa" w:w="100"/>
              <w:bottom w:type="dxa" w:w="80"/>
              <w:right w:type="dxa" w:w="100"/>
            </w:tcMar>
          </w:tcPr>
          <w:p>
            <w:r>
              <w:rPr>
                <w:b w:val="false"/>
                <w:bCs w:val="false"/>
                <w:sz w:val="20"/>
                <w:szCs w:val="20"/>
              </w:rPr>
              <w:t xml:space="preserve">REQ-013 — Compliance hold above threshold</w:t>
            </w:r>
          </w:p>
        </w:tc>
        <w:tc>
          <w:tcPr>
            <w:tcW w:type="dxa" w:w="5360"/>
            <w:tcMar>
              <w:top w:type="dxa" w:w="80"/>
              <w:left w:type="dxa" w:w="100"/>
              <w:bottom w:type="dxa" w:w="80"/>
              <w:right w:type="dxa" w:w="100"/>
            </w:tcMar>
          </w:tcPr>
          <w:p>
            <w:r>
              <w:rPr>
                <w:b w:val="false"/>
                <w:bCs w:val="false"/>
                <w:sz w:val="20"/>
                <w:szCs w:val="20"/>
              </w:rPr>
              <w:t xml:space="preserve">§4.2, §4.3, §8.1, §18.4</w:t>
            </w:r>
          </w:p>
        </w:tc>
      </w:tr>
      <w:tr>
        <w:tc>
          <w:tcPr>
            <w:tcW w:type="dxa" w:w="4000"/>
            <w:tcMar>
              <w:top w:type="dxa" w:w="80"/>
              <w:left w:type="dxa" w:w="100"/>
              <w:bottom w:type="dxa" w:w="80"/>
              <w:right w:type="dxa" w:w="100"/>
            </w:tcMar>
          </w:tcPr>
          <w:p>
            <w:r>
              <w:rPr>
                <w:b w:val="false"/>
                <w:bCs w:val="false"/>
                <w:sz w:val="20"/>
                <w:szCs w:val="20"/>
              </w:rPr>
              <w:t xml:space="preserve">REQ-014 — No wallet before verification</w:t>
            </w:r>
          </w:p>
        </w:tc>
        <w:tc>
          <w:tcPr>
            <w:tcW w:type="dxa" w:w="5360"/>
            <w:tcMar>
              <w:top w:type="dxa" w:w="80"/>
              <w:left w:type="dxa" w:w="100"/>
              <w:bottom w:type="dxa" w:w="80"/>
              <w:right w:type="dxa" w:w="100"/>
            </w:tcMar>
          </w:tcPr>
          <w:p>
            <w:r>
              <w:rPr>
                <w:b w:val="false"/>
                <w:bCs w:val="false"/>
                <w:sz w:val="20"/>
                <w:szCs w:val="20"/>
              </w:rPr>
              <w:t xml:space="preserve">§4.3, §5.2, §18.1</w:t>
            </w:r>
          </w:p>
        </w:tc>
      </w:tr>
      <w:tr>
        <w:tc>
          <w:tcPr>
            <w:tcW w:type="dxa" w:w="4000"/>
            <w:tcMar>
              <w:top w:type="dxa" w:w="80"/>
              <w:left w:type="dxa" w:w="100"/>
              <w:bottom w:type="dxa" w:w="80"/>
              <w:right w:type="dxa" w:w="100"/>
            </w:tcMar>
          </w:tcPr>
          <w:p>
            <w:r>
              <w:rPr>
                <w:b w:val="false"/>
                <w:bCs w:val="false"/>
                <w:sz w:val="20"/>
                <w:szCs w:val="20"/>
              </w:rPr>
              <w:t xml:space="preserve">REQ-020 — Real-time balances</w:t>
            </w:r>
          </w:p>
        </w:tc>
        <w:tc>
          <w:tcPr>
            <w:tcW w:type="dxa" w:w="5360"/>
            <w:tcMar>
              <w:top w:type="dxa" w:w="80"/>
              <w:left w:type="dxa" w:w="100"/>
              <w:bottom w:type="dxa" w:w="80"/>
              <w:right w:type="dxa" w:w="100"/>
            </w:tcMar>
          </w:tcPr>
          <w:p>
            <w:r>
              <w:rPr>
                <w:b w:val="false"/>
                <w:bCs w:val="false"/>
                <w:sz w:val="20"/>
                <w:szCs w:val="20"/>
              </w:rPr>
              <w:t xml:space="preserve">§5.2, §5.3</w:t>
            </w:r>
          </w:p>
        </w:tc>
      </w:tr>
      <w:tr>
        <w:tc>
          <w:tcPr>
            <w:tcW w:type="dxa" w:w="4000"/>
            <w:tcMar>
              <w:top w:type="dxa" w:w="80"/>
              <w:left w:type="dxa" w:w="100"/>
              <w:bottom w:type="dxa" w:w="80"/>
              <w:right w:type="dxa" w:w="100"/>
            </w:tcMar>
          </w:tcPr>
          <w:p>
            <w:r>
              <w:rPr>
                <w:b w:val="false"/>
                <w:bCs w:val="false"/>
                <w:sz w:val="20"/>
                <w:szCs w:val="20"/>
              </w:rPr>
              <w:t xml:space="preserve">REQ-021 — 90-day filterable history</w:t>
            </w:r>
          </w:p>
        </w:tc>
        <w:tc>
          <w:tcPr>
            <w:tcW w:type="dxa" w:w="5360"/>
            <w:tcMar>
              <w:top w:type="dxa" w:w="80"/>
              <w:left w:type="dxa" w:w="100"/>
              <w:bottom w:type="dxa" w:w="80"/>
              <w:right w:type="dxa" w:w="100"/>
            </w:tcMar>
          </w:tcPr>
          <w:p>
            <w:r>
              <w:rPr>
                <w:b w:val="false"/>
                <w:bCs w:val="false"/>
                <w:sz w:val="20"/>
                <w:szCs w:val="20"/>
              </w:rPr>
              <w:t xml:space="preserve">§5.2, §5.3</w:t>
            </w:r>
          </w:p>
        </w:tc>
      </w:tr>
      <w:tr>
        <w:tc>
          <w:tcPr>
            <w:tcW w:type="dxa" w:w="4000"/>
            <w:tcMar>
              <w:top w:type="dxa" w:w="80"/>
              <w:left w:type="dxa" w:w="100"/>
              <w:bottom w:type="dxa" w:w="80"/>
              <w:right w:type="dxa" w:w="100"/>
            </w:tcMar>
          </w:tcPr>
          <w:p>
            <w:r>
              <w:rPr>
                <w:b w:val="false"/>
                <w:bCs w:val="false"/>
                <w:sz w:val="20"/>
                <w:szCs w:val="20"/>
              </w:rPr>
              <w:t xml:space="preserve">REQ-022 — Secure custody (model pending)</w:t>
            </w:r>
          </w:p>
        </w:tc>
        <w:tc>
          <w:tcPr>
            <w:tcW w:type="dxa" w:w="5360"/>
            <w:tcMar>
              <w:top w:type="dxa" w:w="80"/>
              <w:left w:type="dxa" w:w="100"/>
              <w:bottom w:type="dxa" w:w="80"/>
              <w:right w:type="dxa" w:w="100"/>
            </w:tcMar>
          </w:tcPr>
          <w:p>
            <w:r>
              <w:rPr>
                <w:b w:val="false"/>
                <w:bCs w:val="false"/>
                <w:sz w:val="20"/>
                <w:szCs w:val="20"/>
              </w:rPr>
              <w:t xml:space="preserve">§5.1, §5.2, §16</w:t>
            </w:r>
          </w:p>
        </w:tc>
      </w:tr>
      <w:tr>
        <w:tc>
          <w:tcPr>
            <w:tcW w:type="dxa" w:w="4000"/>
            <w:tcMar>
              <w:top w:type="dxa" w:w="80"/>
              <w:left w:type="dxa" w:w="100"/>
              <w:bottom w:type="dxa" w:w="80"/>
              <w:right w:type="dxa" w:w="100"/>
            </w:tcMar>
          </w:tcPr>
          <w:p>
            <w:r>
              <w:rPr>
                <w:b w:val="false"/>
                <w:bCs w:val="false"/>
                <w:sz w:val="20"/>
                <w:szCs w:val="20"/>
              </w:rPr>
              <w:t xml:space="preserve">REQ-023 — Transaction notifications</w:t>
            </w:r>
          </w:p>
        </w:tc>
        <w:tc>
          <w:tcPr>
            <w:tcW w:type="dxa" w:w="5360"/>
            <w:tcMar>
              <w:top w:type="dxa" w:w="80"/>
              <w:left w:type="dxa" w:w="100"/>
              <w:bottom w:type="dxa" w:w="80"/>
              <w:right w:type="dxa" w:w="100"/>
            </w:tcMar>
          </w:tcPr>
          <w:p>
            <w:r>
              <w:rPr>
                <w:b w:val="false"/>
                <w:bCs w:val="false"/>
                <w:sz w:val="20"/>
                <w:szCs w:val="20"/>
              </w:rPr>
              <w:t xml:space="preserve">§5.1, §18.1, §18.2, §10</w:t>
            </w:r>
          </w:p>
        </w:tc>
      </w:tr>
      <w:tr>
        <w:tc>
          <w:tcPr>
            <w:tcW w:type="dxa" w:w="4000"/>
            <w:tcMar>
              <w:top w:type="dxa" w:w="80"/>
              <w:left w:type="dxa" w:w="100"/>
              <w:bottom w:type="dxa" w:w="80"/>
              <w:right w:type="dxa" w:w="100"/>
            </w:tcMar>
          </w:tcPr>
          <w:p>
            <w:r>
              <w:rPr>
                <w:b w:val="false"/>
                <w:bCs w:val="false"/>
                <w:sz w:val="20"/>
                <w:szCs w:val="20"/>
              </w:rPr>
              <w:t xml:space="preserve">REQ-030 — Real-time KES conversion</w:t>
            </w:r>
          </w:p>
        </w:tc>
        <w:tc>
          <w:tcPr>
            <w:tcW w:type="dxa" w:w="5360"/>
            <w:tcMar>
              <w:top w:type="dxa" w:w="80"/>
              <w:left w:type="dxa" w:w="100"/>
              <w:bottom w:type="dxa" w:w="80"/>
              <w:right w:type="dxa" w:w="100"/>
            </w:tcMar>
          </w:tcPr>
          <w:p>
            <w:r>
              <w:rPr>
                <w:b w:val="false"/>
                <w:bCs w:val="false"/>
                <w:sz w:val="20"/>
                <w:szCs w:val="20"/>
              </w:rPr>
              <w:t xml:space="preserve">§6.1, §18.3</w:t>
            </w:r>
          </w:p>
        </w:tc>
      </w:tr>
      <w:tr>
        <w:tc>
          <w:tcPr>
            <w:tcW w:type="dxa" w:w="4000"/>
            <w:tcMar>
              <w:top w:type="dxa" w:w="80"/>
              <w:left w:type="dxa" w:w="100"/>
              <w:bottom w:type="dxa" w:w="80"/>
              <w:right w:type="dxa" w:w="100"/>
            </w:tcMar>
          </w:tcPr>
          <w:p>
            <w:r>
              <w:rPr>
                <w:b w:val="false"/>
                <w:bCs w:val="false"/>
                <w:sz w:val="20"/>
                <w:szCs w:val="20"/>
              </w:rPr>
              <w:t xml:space="preserve">REQ-031 — Fee/amount summary before confirmation</w:t>
            </w:r>
          </w:p>
        </w:tc>
        <w:tc>
          <w:tcPr>
            <w:tcW w:type="dxa" w:w="5360"/>
            <w:tcMar>
              <w:top w:type="dxa" w:w="80"/>
              <w:left w:type="dxa" w:w="100"/>
              <w:bottom w:type="dxa" w:w="80"/>
              <w:right w:type="dxa" w:w="100"/>
            </w:tcMar>
          </w:tcPr>
          <w:p>
            <w:r>
              <w:rPr>
                <w:b w:val="false"/>
                <w:bCs w:val="false"/>
                <w:sz w:val="20"/>
                <w:szCs w:val="20"/>
              </w:rPr>
              <w:t xml:space="preserve">§6.1, §18.3</w:t>
            </w:r>
          </w:p>
        </w:tc>
      </w:tr>
      <w:tr>
        <w:tc>
          <w:tcPr>
            <w:tcW w:type="dxa" w:w="4000"/>
            <w:tcMar>
              <w:top w:type="dxa" w:w="80"/>
              <w:left w:type="dxa" w:w="100"/>
              <w:bottom w:type="dxa" w:w="80"/>
              <w:right w:type="dxa" w:w="100"/>
            </w:tcMar>
          </w:tcPr>
          <w:p>
            <w:r>
              <w:rPr>
                <w:b w:val="false"/>
                <w:bCs w:val="false"/>
                <w:sz w:val="20"/>
                <w:szCs w:val="20"/>
              </w:rPr>
              <w:t xml:space="preserve">REQ-032 — Permanent conversion record</w:t>
            </w:r>
          </w:p>
        </w:tc>
        <w:tc>
          <w:tcPr>
            <w:tcW w:type="dxa" w:w="5360"/>
            <w:tcMar>
              <w:top w:type="dxa" w:w="80"/>
              <w:left w:type="dxa" w:w="100"/>
              <w:bottom w:type="dxa" w:w="80"/>
              <w:right w:type="dxa" w:w="100"/>
            </w:tcMar>
          </w:tcPr>
          <w:p>
            <w:r>
              <w:rPr>
                <w:b w:val="false"/>
                <w:bCs w:val="false"/>
                <w:sz w:val="20"/>
                <w:szCs w:val="20"/>
              </w:rPr>
              <w:t xml:space="preserve">§6.2, §18.3</w:t>
            </w:r>
          </w:p>
        </w:tc>
      </w:tr>
      <w:tr>
        <w:tc>
          <w:tcPr>
            <w:tcW w:type="dxa" w:w="4000"/>
            <w:tcMar>
              <w:top w:type="dxa" w:w="80"/>
              <w:left w:type="dxa" w:w="100"/>
              <w:bottom w:type="dxa" w:w="80"/>
              <w:right w:type="dxa" w:w="100"/>
            </w:tcMar>
          </w:tcPr>
          <w:p>
            <w:r>
              <w:rPr>
                <w:b w:val="false"/>
                <w:bCs w:val="false"/>
                <w:sz w:val="20"/>
                <w:szCs w:val="20"/>
              </w:rPr>
              <w:t xml:space="preserve">REQ-040 — M-Pesa / bank / Airtel Money rails</w:t>
            </w:r>
          </w:p>
        </w:tc>
        <w:tc>
          <w:tcPr>
            <w:tcW w:type="dxa" w:w="5360"/>
            <w:tcMar>
              <w:top w:type="dxa" w:w="80"/>
              <w:left w:type="dxa" w:w="100"/>
              <w:bottom w:type="dxa" w:w="80"/>
              <w:right w:type="dxa" w:w="100"/>
            </w:tcMar>
          </w:tcPr>
          <w:p>
            <w:r>
              <w:rPr>
                <w:b w:val="false"/>
                <w:bCs w:val="false"/>
                <w:sz w:val="20"/>
                <w:szCs w:val="20"/>
              </w:rPr>
              <w:t xml:space="preserve">§7.1, §7.2, §18.2</w:t>
            </w:r>
          </w:p>
        </w:tc>
      </w:tr>
      <w:tr>
        <w:tc>
          <w:tcPr>
            <w:tcW w:type="dxa" w:w="4000"/>
            <w:tcMar>
              <w:top w:type="dxa" w:w="80"/>
              <w:left w:type="dxa" w:w="100"/>
              <w:bottom w:type="dxa" w:w="80"/>
              <w:right w:type="dxa" w:w="100"/>
            </w:tcMar>
          </w:tcPr>
          <w:p>
            <w:r>
              <w:rPr>
                <w:b w:val="false"/>
                <w:bCs w:val="false"/>
                <w:sz w:val="20"/>
                <w:szCs w:val="20"/>
              </w:rPr>
              <w:t xml:space="preserve">REQ-041 — Confirmed payment method before deposit</w:t>
            </w:r>
          </w:p>
        </w:tc>
        <w:tc>
          <w:tcPr>
            <w:tcW w:type="dxa" w:w="5360"/>
            <w:tcMar>
              <w:top w:type="dxa" w:w="80"/>
              <w:left w:type="dxa" w:w="100"/>
              <w:bottom w:type="dxa" w:w="80"/>
              <w:right w:type="dxa" w:w="100"/>
            </w:tcMar>
          </w:tcPr>
          <w:p>
            <w:r>
              <w:rPr>
                <w:b w:val="false"/>
                <w:bCs w:val="false"/>
                <w:sz w:val="20"/>
                <w:szCs w:val="20"/>
              </w:rPr>
              <w:t xml:space="preserve">§7.1, §18.2</w:t>
            </w:r>
          </w:p>
        </w:tc>
      </w:tr>
      <w:tr>
        <w:tc>
          <w:tcPr>
            <w:tcW w:type="dxa" w:w="4000"/>
            <w:tcMar>
              <w:top w:type="dxa" w:w="80"/>
              <w:left w:type="dxa" w:w="100"/>
              <w:bottom w:type="dxa" w:w="80"/>
              <w:right w:type="dxa" w:w="100"/>
            </w:tcMar>
          </w:tcPr>
          <w:p>
            <w:r>
              <w:rPr>
                <w:b w:val="false"/>
                <w:bCs w:val="false"/>
                <w:sz w:val="20"/>
                <w:szCs w:val="20"/>
              </w:rPr>
              <w:t xml:space="preserve">REQ-042 — Daily reconciliation</w:t>
            </w:r>
          </w:p>
        </w:tc>
        <w:tc>
          <w:tcPr>
            <w:tcW w:type="dxa" w:w="5360"/>
            <w:tcMar>
              <w:top w:type="dxa" w:w="80"/>
              <w:left w:type="dxa" w:w="100"/>
              <w:bottom w:type="dxa" w:w="80"/>
              <w:right w:type="dxa" w:w="100"/>
            </w:tcMar>
          </w:tcPr>
          <w:p>
            <w:r>
              <w:rPr>
                <w:b w:val="false"/>
                <w:bCs w:val="false"/>
                <w:sz w:val="20"/>
                <w:szCs w:val="20"/>
              </w:rPr>
              <w:t xml:space="preserve">§7.3, §18.2, §14</w:t>
            </w:r>
          </w:p>
        </w:tc>
      </w:tr>
      <w:tr>
        <w:tc>
          <w:tcPr>
            <w:tcW w:type="dxa" w:w="4000"/>
            <w:tcMar>
              <w:top w:type="dxa" w:w="80"/>
              <w:left w:type="dxa" w:w="100"/>
              <w:bottom w:type="dxa" w:w="80"/>
              <w:right w:type="dxa" w:w="100"/>
            </w:tcMar>
          </w:tcPr>
          <w:p>
            <w:r>
              <w:rPr>
                <w:b w:val="false"/>
                <w:bCs w:val="false"/>
                <w:sz w:val="20"/>
                <w:szCs w:val="20"/>
              </w:rPr>
              <w:t xml:space="preserve">REQ-050 — CBK/CMA reporting</w:t>
            </w:r>
          </w:p>
        </w:tc>
        <w:tc>
          <w:tcPr>
            <w:tcW w:type="dxa" w:w="5360"/>
            <w:tcMar>
              <w:top w:type="dxa" w:w="80"/>
              <w:left w:type="dxa" w:w="100"/>
              <w:bottom w:type="dxa" w:w="80"/>
              <w:right w:type="dxa" w:w="100"/>
            </w:tcMar>
          </w:tcPr>
          <w:p>
            <w:r>
              <w:rPr>
                <w:b w:val="false"/>
                <w:bCs w:val="false"/>
                <w:sz w:val="20"/>
                <w:szCs w:val="20"/>
              </w:rPr>
              <w:t xml:space="preserve">§8.1, §20.3</w:t>
            </w:r>
          </w:p>
        </w:tc>
      </w:tr>
      <w:tr>
        <w:tc>
          <w:tcPr>
            <w:tcW w:type="dxa" w:w="4000"/>
            <w:tcMar>
              <w:top w:type="dxa" w:w="80"/>
              <w:left w:type="dxa" w:w="100"/>
              <w:bottom w:type="dxa" w:w="80"/>
              <w:right w:type="dxa" w:w="100"/>
            </w:tcMar>
          </w:tcPr>
          <w:p>
            <w:r>
              <w:rPr>
                <w:b w:val="false"/>
                <w:bCs w:val="false"/>
                <w:sz w:val="20"/>
                <w:szCs w:val="20"/>
              </w:rPr>
              <w:t xml:space="preserve">REQ-051 — KRA tax calculation</w:t>
            </w:r>
          </w:p>
        </w:tc>
        <w:tc>
          <w:tcPr>
            <w:tcW w:type="dxa" w:w="5360"/>
            <w:tcMar>
              <w:top w:type="dxa" w:w="80"/>
              <w:left w:type="dxa" w:w="100"/>
              <w:bottom w:type="dxa" w:w="80"/>
              <w:right w:type="dxa" w:w="100"/>
            </w:tcMar>
          </w:tcPr>
          <w:p>
            <w:r>
              <w:rPr>
                <w:b w:val="false"/>
                <w:bCs w:val="false"/>
                <w:sz w:val="20"/>
                <w:szCs w:val="20"/>
              </w:rPr>
              <w:t xml:space="preserve">§8.1</w:t>
            </w:r>
          </w:p>
        </w:tc>
      </w:tr>
      <w:tr>
        <w:tc>
          <w:tcPr>
            <w:tcW w:type="dxa" w:w="4000"/>
            <w:tcMar>
              <w:top w:type="dxa" w:w="80"/>
              <w:left w:type="dxa" w:w="100"/>
              <w:bottom w:type="dxa" w:w="80"/>
              <w:right w:type="dxa" w:w="100"/>
            </w:tcMar>
          </w:tcPr>
          <w:p>
            <w:r>
              <w:rPr>
                <w:b w:val="false"/>
                <w:bCs w:val="false"/>
                <w:sz w:val="20"/>
                <w:szCs w:val="20"/>
              </w:rPr>
              <w:t xml:space="preserve">REQ-052 — Asset listing approval</w:t>
            </w:r>
          </w:p>
        </w:tc>
        <w:tc>
          <w:tcPr>
            <w:tcW w:type="dxa" w:w="5360"/>
            <w:tcMar>
              <w:top w:type="dxa" w:w="80"/>
              <w:left w:type="dxa" w:w="100"/>
              <w:bottom w:type="dxa" w:w="80"/>
              <w:right w:type="dxa" w:w="100"/>
            </w:tcMar>
          </w:tcPr>
          <w:p>
            <w:r>
              <w:rPr>
                <w:b w:val="false"/>
                <w:bCs w:val="false"/>
                <w:sz w:val="20"/>
                <w:szCs w:val="20"/>
              </w:rPr>
              <w:t xml:space="preserve">§8.2, §19</w:t>
            </w:r>
          </w:p>
        </w:tc>
      </w:tr>
      <w:tr>
        <w:tc>
          <w:tcPr>
            <w:tcW w:type="dxa" w:w="4000"/>
            <w:tcMar>
              <w:top w:type="dxa" w:w="80"/>
              <w:left w:type="dxa" w:w="100"/>
              <w:bottom w:type="dxa" w:w="80"/>
              <w:right w:type="dxa" w:w="100"/>
            </w:tcMar>
          </w:tcPr>
          <w:p>
            <w:r>
              <w:rPr>
                <w:b w:val="false"/>
                <w:bCs w:val="false"/>
                <w:sz w:val="20"/>
                <w:szCs w:val="20"/>
              </w:rPr>
              <w:t xml:space="preserve">REQ-053 — No credit/lending features</w:t>
            </w:r>
          </w:p>
        </w:tc>
        <w:tc>
          <w:tcPr>
            <w:tcW w:type="dxa" w:w="5360"/>
            <w:tcMar>
              <w:top w:type="dxa" w:w="80"/>
              <w:left w:type="dxa" w:w="100"/>
              <w:bottom w:type="dxa" w:w="80"/>
              <w:right w:type="dxa" w:w="100"/>
            </w:tcMar>
          </w:tcPr>
          <w:p>
            <w:r>
              <w:rPr>
                <w:b w:val="false"/>
                <w:bCs w:val="false"/>
                <w:sz w:val="20"/>
                <w:szCs w:val="20"/>
              </w:rPr>
              <w:t xml:space="preserve">§8.2</w:t>
            </w:r>
          </w:p>
        </w:tc>
      </w:tr>
      <w:tr>
        <w:tc>
          <w:tcPr>
            <w:tcW w:type="dxa" w:w="4000"/>
            <w:tcMar>
              <w:top w:type="dxa" w:w="80"/>
              <w:left w:type="dxa" w:w="100"/>
              <w:bottom w:type="dxa" w:w="80"/>
              <w:right w:type="dxa" w:w="100"/>
            </w:tcMar>
          </w:tcPr>
          <w:p>
            <w:r>
              <w:rPr>
                <w:b w:val="false"/>
                <w:bCs w:val="false"/>
                <w:sz w:val="20"/>
                <w:szCs w:val="20"/>
              </w:rPr>
              <w:t xml:space="preserve">REQ-060 — Admin user search</w:t>
            </w:r>
          </w:p>
        </w:tc>
        <w:tc>
          <w:tcPr>
            <w:tcW w:type="dxa" w:w="5360"/>
            <w:tcMar>
              <w:top w:type="dxa" w:w="80"/>
              <w:left w:type="dxa" w:w="100"/>
              <w:bottom w:type="dxa" w:w="80"/>
              <w:right w:type="dxa" w:w="100"/>
            </w:tcMar>
          </w:tcPr>
          <w:p>
            <w:r>
              <w:rPr>
                <w:b w:val="false"/>
                <w:bCs w:val="false"/>
                <w:sz w:val="20"/>
                <w:szCs w:val="20"/>
              </w:rPr>
              <w:t xml:space="preserve">§9.1</w:t>
            </w:r>
          </w:p>
        </w:tc>
      </w:tr>
      <w:tr>
        <w:tc>
          <w:tcPr>
            <w:tcW w:type="dxa" w:w="4000"/>
            <w:tcMar>
              <w:top w:type="dxa" w:w="80"/>
              <w:left w:type="dxa" w:w="100"/>
              <w:bottom w:type="dxa" w:w="80"/>
              <w:right w:type="dxa" w:w="100"/>
            </w:tcMar>
          </w:tcPr>
          <w:p>
            <w:r>
              <w:rPr>
                <w:b w:val="false"/>
                <w:bCs w:val="false"/>
                <w:sz w:val="20"/>
                <w:szCs w:val="20"/>
              </w:rPr>
              <w:t xml:space="preserve">REQ-061 — Held-transaction review</w:t>
            </w:r>
          </w:p>
        </w:tc>
        <w:tc>
          <w:tcPr>
            <w:tcW w:type="dxa" w:w="5360"/>
            <w:tcMar>
              <w:top w:type="dxa" w:w="80"/>
              <w:left w:type="dxa" w:w="100"/>
              <w:bottom w:type="dxa" w:w="80"/>
              <w:right w:type="dxa" w:w="100"/>
            </w:tcMar>
          </w:tcPr>
          <w:p>
            <w:r>
              <w:rPr>
                <w:b w:val="false"/>
                <w:bCs w:val="false"/>
                <w:sz w:val="20"/>
                <w:szCs w:val="20"/>
              </w:rPr>
              <w:t xml:space="preserve">§9.1, §18.4</w:t>
            </w:r>
          </w:p>
        </w:tc>
      </w:tr>
      <w:tr>
        <w:tc>
          <w:tcPr>
            <w:tcW w:type="dxa" w:w="4000"/>
            <w:tcMar>
              <w:top w:type="dxa" w:w="80"/>
              <w:left w:type="dxa" w:w="100"/>
              <w:bottom w:type="dxa" w:w="80"/>
              <w:right w:type="dxa" w:w="100"/>
            </w:tcMar>
          </w:tcPr>
          <w:p>
            <w:r>
              <w:rPr>
                <w:b w:val="false"/>
                <w:bCs w:val="false"/>
                <w:sz w:val="20"/>
                <w:szCs w:val="20"/>
              </w:rPr>
              <w:t xml:space="preserve">REQ-062 — Regulator report generation</w:t>
            </w:r>
          </w:p>
        </w:tc>
        <w:tc>
          <w:tcPr>
            <w:tcW w:type="dxa" w:w="5360"/>
            <w:tcMar>
              <w:top w:type="dxa" w:w="80"/>
              <w:left w:type="dxa" w:w="100"/>
              <w:bottom w:type="dxa" w:w="80"/>
              <w:right w:type="dxa" w:w="100"/>
            </w:tcMar>
          </w:tcPr>
          <w:p>
            <w:r>
              <w:rPr>
                <w:b w:val="false"/>
                <w:bCs w:val="false"/>
                <w:sz w:val="20"/>
                <w:szCs w:val="20"/>
              </w:rPr>
              <w:t xml:space="preserve">§9.2, §20.3</w:t>
            </w:r>
          </w:p>
        </w:tc>
      </w:tr>
      <w:tr>
        <w:tc>
          <w:tcPr>
            <w:tcW w:type="dxa" w:w="4000"/>
            <w:tcMar>
              <w:top w:type="dxa" w:w="80"/>
              <w:left w:type="dxa" w:w="100"/>
              <w:bottom w:type="dxa" w:w="80"/>
              <w:right w:type="dxa" w:w="100"/>
            </w:tcMar>
          </w:tcPr>
          <w:p>
            <w:r>
              <w:rPr>
                <w:b w:val="false"/>
                <w:bCs w:val="false"/>
                <w:sz w:val="20"/>
                <w:szCs w:val="20"/>
              </w:rPr>
              <w:t xml:space="preserve">REQ-063 — Immutable admin audit log</w:t>
            </w:r>
          </w:p>
        </w:tc>
        <w:tc>
          <w:tcPr>
            <w:tcW w:type="dxa" w:w="5360"/>
            <w:tcMar>
              <w:top w:type="dxa" w:w="80"/>
              <w:left w:type="dxa" w:w="100"/>
              <w:bottom w:type="dxa" w:w="80"/>
              <w:right w:type="dxa" w:w="100"/>
            </w:tcMar>
          </w:tcPr>
          <w:p>
            <w:r>
              <w:rPr>
                <w:b w:val="false"/>
                <w:bCs w:val="false"/>
                <w:sz w:val="20"/>
                <w:szCs w:val="20"/>
              </w:rPr>
              <w:t xml:space="preserve">§9.2, §18.4</w:t>
            </w:r>
          </w:p>
        </w:tc>
      </w:tr>
      <w:tr>
        <w:tc>
          <w:tcPr>
            <w:tcW w:type="dxa" w:w="4000"/>
            <w:tcMar>
              <w:top w:type="dxa" w:w="80"/>
              <w:left w:type="dxa" w:w="100"/>
              <w:bottom w:type="dxa" w:w="80"/>
              <w:right w:type="dxa" w:w="100"/>
            </w:tcMar>
          </w:tcPr>
          <w:p>
            <w:r>
              <w:rPr>
                <w:b w:val="false"/>
                <w:bCs w:val="false"/>
                <w:sz w:val="20"/>
                <w:szCs w:val="20"/>
              </w:rPr>
              <w:t xml:space="preserve">NFR — Speed / Uptime / Encryption / Scale / Logging / Accessibility / Language</w:t>
            </w:r>
          </w:p>
        </w:tc>
        <w:tc>
          <w:tcPr>
            <w:tcW w:type="dxa" w:w="5360"/>
            <w:tcMar>
              <w:top w:type="dxa" w:w="80"/>
              <w:left w:type="dxa" w:w="100"/>
              <w:bottom w:type="dxa" w:w="80"/>
              <w:right w:type="dxa" w:w="100"/>
            </w:tcMar>
          </w:tcPr>
          <w:p>
            <w:r>
              <w:rPr>
                <w:b w:val="false"/>
                <w:bCs w:val="false"/>
                <w:sz w:val="20"/>
                <w:szCs w:val="20"/>
              </w:rPr>
              <w:t xml:space="preserve">§10</w:t>
            </w:r>
          </w:p>
        </w:tc>
      </w:tr>
      <w:tr>
        <w:tc>
          <w:tcPr>
            <w:tcW w:type="dxa" w:w="4000"/>
            <w:tcMar>
              <w:top w:type="dxa" w:w="80"/>
              <w:left w:type="dxa" w:w="100"/>
              <w:bottom w:type="dxa" w:w="80"/>
              <w:right w:type="dxa" w:w="100"/>
            </w:tcMar>
          </w:tcPr>
          <w:p>
            <w:r>
              <w:rPr>
                <w:b w:val="false"/>
                <w:bCs w:val="false"/>
                <w:sz w:val="20"/>
                <w:szCs w:val="20"/>
              </w:rPr>
              <w:t xml:space="preserve">Data &amp; retention (BRS §6)</w:t>
            </w:r>
          </w:p>
        </w:tc>
        <w:tc>
          <w:tcPr>
            <w:tcW w:type="dxa" w:w="5360"/>
            <w:tcMar>
              <w:top w:type="dxa" w:w="80"/>
              <w:left w:type="dxa" w:w="100"/>
              <w:bottom w:type="dxa" w:w="80"/>
              <w:right w:type="dxa" w:w="100"/>
            </w:tcMar>
          </w:tcPr>
          <w:p>
            <w:r>
              <w:rPr>
                <w:b w:val="false"/>
                <w:bCs w:val="false"/>
                <w:sz w:val="20"/>
                <w:szCs w:val="20"/>
              </w:rPr>
              <w:t xml:space="preserve">§11, §16</w:t>
            </w:r>
          </w:p>
        </w:tc>
      </w:tr>
      <w:tr>
        <w:tc>
          <w:tcPr>
            <w:tcW w:type="dxa" w:w="4000"/>
            <w:tcMar>
              <w:top w:type="dxa" w:w="80"/>
              <w:left w:type="dxa" w:w="100"/>
              <w:bottom w:type="dxa" w:w="80"/>
              <w:right w:type="dxa" w:w="100"/>
            </w:tcMar>
          </w:tcPr>
          <w:p>
            <w:r>
              <w:rPr>
                <w:b w:val="false"/>
                <w:bCs w:val="false"/>
                <w:sz w:val="20"/>
                <w:szCs w:val="20"/>
              </w:rPr>
              <w:t xml:space="preserve">Regulatory rules (BRS §7)</w:t>
            </w:r>
          </w:p>
        </w:tc>
        <w:tc>
          <w:tcPr>
            <w:tcW w:type="dxa" w:w="5360"/>
            <w:tcMar>
              <w:top w:type="dxa" w:w="80"/>
              <w:left w:type="dxa" w:w="100"/>
              <w:bottom w:type="dxa" w:w="80"/>
              <w:right w:type="dxa" w:w="100"/>
            </w:tcMar>
          </w:tcPr>
          <w:p>
            <w:r>
              <w:rPr>
                <w:b w:val="false"/>
                <w:bCs w:val="false"/>
                <w:sz w:val="20"/>
                <w:szCs w:val="20"/>
              </w:rPr>
              <w:t xml:space="preserve">§8, §16, §21</w:t>
            </w:r>
          </w:p>
        </w:tc>
      </w:tr>
    </w:tbl>
    <w:p>
      <w:pPr>
        <w:pStyle w:val="Heading1"/>
        <w:spacing w:after="240" w:before="480"/>
      </w:pPr>
      <w:r>
        <w:t xml:space="preserve">23.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color="auto" w:val="clear"/>
            <w:tcMar>
              <w:top w:type="dxa" w:w="80"/>
              <w:left w:type="dxa" w:w="100"/>
              <w:bottom w:type="dxa" w:w="80"/>
              <w:right w:type="dxa" w:w="100"/>
            </w:tcMar>
          </w:tcPr>
          <w:p>
            <w:r>
              <w:rPr>
                <w:b/>
                <w:bCs/>
                <w:color w:val="FFFFFF"/>
                <w:sz w:val="20"/>
                <w:szCs w:val="20"/>
              </w:rPr>
              <w:t xml:space="preserve">Term</w:t>
            </w:r>
          </w:p>
        </w:tc>
        <w:tc>
          <w:tcPr>
            <w:tcW w:type="dxa" w:w="6760"/>
            <w:shd w:fill="1F3864" w:color="auto" w:val="clear"/>
            <w:tcMar>
              <w:top w:type="dxa" w:w="80"/>
              <w:left w:type="dxa" w:w="100"/>
              <w:bottom w:type="dxa" w:w="80"/>
              <w:right w:type="dxa" w:w="100"/>
            </w:tcMar>
          </w:tcPr>
          <w:p>
            <w:r>
              <w:rPr>
                <w:b/>
                <w:bCs/>
                <w:color w:val="FFFFFF"/>
                <w:sz w:val="20"/>
                <w:szCs w:val="20"/>
              </w:rPr>
              <w:t xml:space="preserve">Meaning in This Document</w:t>
            </w:r>
          </w:p>
        </w:tc>
      </w:tr>
      <w:tr>
        <w:tc>
          <w:tcPr>
            <w:tcW w:type="dxa" w:w="2600"/>
            <w:tcMar>
              <w:top w:type="dxa" w:w="80"/>
              <w:left w:type="dxa" w:w="100"/>
              <w:bottom w:type="dxa" w:w="80"/>
              <w:right w:type="dxa" w:w="100"/>
            </w:tcMar>
          </w:tcPr>
          <w:p>
            <w:r>
              <w:rPr>
                <w:b w:val="false"/>
                <w:bCs w:val="false"/>
                <w:sz w:val="20"/>
                <w:szCs w:val="20"/>
              </w:rPr>
              <w:t xml:space="preserve">Custodial wallet</w:t>
            </w:r>
          </w:p>
        </w:tc>
        <w:tc>
          <w:tcPr>
            <w:tcW w:type="dxa" w:w="6760"/>
            <w:tcMar>
              <w:top w:type="dxa" w:w="80"/>
              <w:left w:type="dxa" w:w="100"/>
              <w:bottom w:type="dxa" w:w="80"/>
              <w:right w:type="dxa" w:w="100"/>
            </w:tcMar>
          </w:tcPr>
          <w:p>
            <w:r>
              <w:rPr>
                <w:b w:val="false"/>
                <w:bCs w:val="false"/>
                <w:sz w:val="20"/>
                <w:szCs w:val="20"/>
              </w:rPr>
              <w:t xml:space="preserve">A wallet where the company, not the user, holds and controls the private keys</w:t>
            </w:r>
          </w:p>
        </w:tc>
      </w:tr>
      <w:tr>
        <w:tc>
          <w:tcPr>
            <w:tcW w:type="dxa" w:w="2600"/>
            <w:tcMar>
              <w:top w:type="dxa" w:w="80"/>
              <w:left w:type="dxa" w:w="100"/>
              <w:bottom w:type="dxa" w:w="80"/>
              <w:right w:type="dxa" w:w="100"/>
            </w:tcMar>
          </w:tcPr>
          <w:p>
            <w:r>
              <w:rPr>
                <w:b w:val="false"/>
                <w:bCs w:val="false"/>
                <w:sz w:val="20"/>
                <w:szCs w:val="20"/>
              </w:rPr>
              <w:t xml:space="preserve">KYC</w:t>
            </w:r>
          </w:p>
        </w:tc>
        <w:tc>
          <w:tcPr>
            <w:tcW w:type="dxa" w:w="6760"/>
            <w:tcMar>
              <w:top w:type="dxa" w:w="80"/>
              <w:left w:type="dxa" w:w="100"/>
              <w:bottom w:type="dxa" w:w="80"/>
              <w:right w:type="dxa" w:w="100"/>
            </w:tcMar>
          </w:tcPr>
          <w:p>
            <w:r>
              <w:rPr>
                <w:b w:val="false"/>
                <w:bCs w:val="false"/>
                <w:sz w:val="20"/>
                <w:szCs w:val="20"/>
              </w:rPr>
              <w:t xml:space="preserve">Know Your Customer — identity verification required before financial services are offered</w:t>
            </w:r>
          </w:p>
        </w:tc>
      </w:tr>
      <w:tr>
        <w:tc>
          <w:tcPr>
            <w:tcW w:type="dxa" w:w="2600"/>
            <w:tcMar>
              <w:top w:type="dxa" w:w="80"/>
              <w:left w:type="dxa" w:w="100"/>
              <w:bottom w:type="dxa" w:w="80"/>
              <w:right w:type="dxa" w:w="100"/>
            </w:tcMar>
          </w:tcPr>
          <w:p>
            <w:r>
              <w:rPr>
                <w:b w:val="false"/>
                <w:bCs w:val="false"/>
                <w:sz w:val="20"/>
                <w:szCs w:val="20"/>
              </w:rPr>
              <w:t xml:space="preserve">Daraja API</w:t>
            </w:r>
          </w:p>
        </w:tc>
        <w:tc>
          <w:tcPr>
            <w:tcW w:type="dxa" w:w="6760"/>
            <w:tcMar>
              <w:top w:type="dxa" w:w="80"/>
              <w:left w:type="dxa" w:w="100"/>
              <w:bottom w:type="dxa" w:w="80"/>
              <w:right w:type="dxa" w:w="100"/>
            </w:tcMar>
          </w:tcPr>
          <w:p>
            <w:r>
              <w:rPr>
                <w:b w:val="false"/>
                <w:bCs w:val="false"/>
                <w:sz w:val="20"/>
                <w:szCs w:val="20"/>
              </w:rPr>
              <w:t xml:space="preserve">Safaricom's developer API for integrating with M-Pesa</w:t>
            </w:r>
          </w:p>
        </w:tc>
      </w:tr>
      <w:tr>
        <w:tc>
          <w:tcPr>
            <w:tcW w:type="dxa" w:w="2600"/>
            <w:tcMar>
              <w:top w:type="dxa" w:w="80"/>
              <w:left w:type="dxa" w:w="100"/>
              <w:bottom w:type="dxa" w:w="80"/>
              <w:right w:type="dxa" w:w="100"/>
            </w:tcMar>
          </w:tcPr>
          <w:p>
            <w:r>
              <w:rPr>
                <w:b w:val="false"/>
                <w:bCs w:val="false"/>
                <w:sz w:val="20"/>
                <w:szCs w:val="20"/>
              </w:rPr>
              <w:t xml:space="preserve">STK Push</w:t>
            </w:r>
          </w:p>
        </w:tc>
        <w:tc>
          <w:tcPr>
            <w:tcW w:type="dxa" w:w="6760"/>
            <w:tcMar>
              <w:top w:type="dxa" w:w="80"/>
              <w:left w:type="dxa" w:w="100"/>
              <w:bottom w:type="dxa" w:w="80"/>
              <w:right w:type="dxa" w:w="100"/>
            </w:tcMar>
          </w:tcPr>
          <w:p>
            <w:r>
              <w:rPr>
                <w:b w:val="false"/>
                <w:bCs w:val="false"/>
                <w:sz w:val="20"/>
                <w:szCs w:val="20"/>
              </w:rPr>
              <w:t xml:space="preserve">'Lipa Na M-Pesa Online' — a Daraja feature that pushes a payment PIN prompt to a user's phone</w:t>
            </w:r>
          </w:p>
        </w:tc>
      </w:tr>
      <w:tr>
        <w:tc>
          <w:tcPr>
            <w:tcW w:type="dxa" w:w="2600"/>
            <w:tcMar>
              <w:top w:type="dxa" w:w="80"/>
              <w:left w:type="dxa" w:w="100"/>
              <w:bottom w:type="dxa" w:w="80"/>
              <w:right w:type="dxa" w:w="100"/>
            </w:tcMar>
          </w:tcPr>
          <w:p>
            <w:r>
              <w:rPr>
                <w:b w:val="false"/>
                <w:bCs w:val="false"/>
                <w:sz w:val="20"/>
                <w:szCs w:val="20"/>
              </w:rPr>
              <w:t xml:space="preserve">Ledger (append-only)</w:t>
            </w:r>
          </w:p>
        </w:tc>
        <w:tc>
          <w:tcPr>
            <w:tcW w:type="dxa" w:w="6760"/>
            <w:tcMar>
              <w:top w:type="dxa" w:w="80"/>
              <w:left w:type="dxa" w:w="100"/>
              <w:bottom w:type="dxa" w:w="80"/>
              <w:right w:type="dxa" w:w="100"/>
            </w:tcMar>
          </w:tcPr>
          <w:p>
            <w:r>
              <w:rPr>
                <w:b w:val="false"/>
                <w:bCs w:val="false"/>
                <w:sz w:val="20"/>
                <w:szCs w:val="20"/>
              </w:rPr>
              <w:t xml:space="preserve">A record of transactions that is only ever added to, never edited or deleted, used as the system's source of truth for balances</w:t>
            </w:r>
          </w:p>
        </w:tc>
      </w:tr>
      <w:tr>
        <w:tc>
          <w:tcPr>
            <w:tcW w:type="dxa" w:w="2600"/>
            <w:tcMar>
              <w:top w:type="dxa" w:w="80"/>
              <w:left w:type="dxa" w:w="100"/>
              <w:bottom w:type="dxa" w:w="80"/>
              <w:right w:type="dxa" w:w="100"/>
            </w:tcMar>
          </w:tcPr>
          <w:p>
            <w:r>
              <w:rPr>
                <w:b w:val="false"/>
                <w:bCs w:val="false"/>
                <w:sz w:val="20"/>
                <w:szCs w:val="20"/>
              </w:rPr>
              <w:t xml:space="preserve">HSM</w:t>
            </w:r>
          </w:p>
        </w:tc>
        <w:tc>
          <w:tcPr>
            <w:tcW w:type="dxa" w:w="6760"/>
            <w:tcMar>
              <w:top w:type="dxa" w:w="80"/>
              <w:left w:type="dxa" w:w="100"/>
              <w:bottom w:type="dxa" w:w="80"/>
              <w:right w:type="dxa" w:w="100"/>
            </w:tcMar>
          </w:tcPr>
          <w:p>
            <w:r>
              <w:rPr>
                <w:b w:val="false"/>
                <w:bCs w:val="false"/>
                <w:sz w:val="20"/>
                <w:szCs w:val="20"/>
              </w:rPr>
              <w:t xml:space="preserve">Hardware Security Module — dedicated hardware for securely generating and storing cryptographic keys</w:t>
            </w:r>
          </w:p>
        </w:tc>
      </w:tr>
      <w:tr>
        <w:tc>
          <w:tcPr>
            <w:tcW w:type="dxa" w:w="2600"/>
            <w:tcMar>
              <w:top w:type="dxa" w:w="80"/>
              <w:left w:type="dxa" w:w="100"/>
              <w:bottom w:type="dxa" w:w="80"/>
              <w:right w:type="dxa" w:w="100"/>
            </w:tcMar>
          </w:tcPr>
          <w:p>
            <w:r>
              <w:rPr>
                <w:b w:val="false"/>
                <w:bCs w:val="false"/>
                <w:sz w:val="20"/>
                <w:szCs w:val="20"/>
              </w:rPr>
              <w:t xml:space="preserve">VASP</w:t>
            </w:r>
          </w:p>
        </w:tc>
        <w:tc>
          <w:tcPr>
            <w:tcW w:type="dxa" w:w="6760"/>
            <w:tcMar>
              <w:top w:type="dxa" w:w="80"/>
              <w:left w:type="dxa" w:w="100"/>
              <w:bottom w:type="dxa" w:w="80"/>
              <w:right w:type="dxa" w:w="100"/>
            </w:tcMar>
          </w:tcPr>
          <w:p>
            <w:r>
              <w:rPr>
                <w:b w:val="false"/>
                <w:bCs w:val="false"/>
                <w:sz w:val="20"/>
                <w:szCs w:val="20"/>
              </w:rPr>
              <w:t xml:space="preserve">Virtual Asset Service Provider — the regulatory category this business falls under in Kenya</w:t>
            </w:r>
          </w:p>
        </w:tc>
      </w:tr>
      <w:tr>
        <w:tc>
          <w:tcPr>
            <w:tcW w:type="dxa" w:w="2600"/>
            <w:tcMar>
              <w:top w:type="dxa" w:w="80"/>
              <w:left w:type="dxa" w:w="100"/>
              <w:bottom w:type="dxa" w:w="80"/>
              <w:right w:type="dxa" w:w="100"/>
            </w:tcMar>
          </w:tcPr>
          <w:p>
            <w:r>
              <w:rPr>
                <w:b w:val="false"/>
                <w:bCs w:val="false"/>
                <w:sz w:val="20"/>
                <w:szCs w:val="20"/>
              </w:rPr>
              <w:t xml:space="preserve">p95 / p99 latency</w:t>
            </w:r>
          </w:p>
        </w:tc>
        <w:tc>
          <w:tcPr>
            <w:tcW w:type="dxa" w:w="6760"/>
            <w:tcMar>
              <w:top w:type="dxa" w:w="80"/>
              <w:left w:type="dxa" w:w="100"/>
              <w:bottom w:type="dxa" w:w="80"/>
              <w:right w:type="dxa" w:w="100"/>
            </w:tcMar>
          </w:tcPr>
          <w:p>
            <w:r>
              <w:rPr>
                <w:b w:val="false"/>
                <w:bCs w:val="false"/>
                <w:sz w:val="20"/>
                <w:szCs w:val="20"/>
              </w:rPr>
              <w:t xml:space="preserve">The response time within which 95% / 99% of requests complete — a standard way to measure 'typical worst case' performance</w:t>
            </w:r>
          </w:p>
        </w:tc>
      </w:tr>
      <w:tr>
        <w:tc>
          <w:tcPr>
            <w:tcW w:type="dxa" w:w="2600"/>
            <w:tcMar>
              <w:top w:type="dxa" w:w="80"/>
              <w:left w:type="dxa" w:w="100"/>
              <w:bottom w:type="dxa" w:w="80"/>
              <w:right w:type="dxa" w:w="100"/>
            </w:tcMar>
          </w:tcPr>
          <w:p>
            <w:r>
              <w:rPr>
                <w:b w:val="false"/>
                <w:bCs w:val="false"/>
                <w:sz w:val="20"/>
                <w:szCs w:val="20"/>
              </w:rPr>
              <w:t xml:space="preserve">Reconciliation</w:t>
            </w:r>
          </w:p>
        </w:tc>
        <w:tc>
          <w:tcPr>
            <w:tcW w:type="dxa" w:w="6760"/>
            <w:tcMar>
              <w:top w:type="dxa" w:w="80"/>
              <w:left w:type="dxa" w:w="100"/>
              <w:bottom w:type="dxa" w:w="80"/>
              <w:right w:type="dxa" w:w="100"/>
            </w:tcMar>
          </w:tcPr>
          <w:p>
            <w:r>
              <w:rPr>
                <w:b w:val="false"/>
                <w:bCs w:val="false"/>
                <w:sz w:val="20"/>
                <w:szCs w:val="20"/>
              </w:rPr>
              <w:t xml:space="preserve">The process of matching internal transaction records against an external party's (e.g., a payment provider's) records to catch discrepancies</w:t>
            </w:r>
          </w:p>
        </w:tc>
      </w:tr>
    </w:tbl>
    <w:p>
      <w:pPr>
        <w:pStyle w:val="Heading1"/>
        <w:spacing w:after="240" w:before="480"/>
      </w:pPr>
      <w:r>
        <w:t xml:space="preserve">24. Closing Note</w:t>
      </w:r>
    </w:p>
    <w:p>
      <w:pPr>
        <w:spacing w:after="200" w:line="300"/>
        <w:jc w:val="left"/>
      </w:pPr>
      <w:r>
        <w:rPr>
          <w:b w:val="false"/>
          <w:bCs w:val="false"/>
          <w:i w:val="false"/>
          <w:iCs w:val="false"/>
        </w:rPr>
        <w:t xml:space="preserve">The BRS this document is built on is explicitly a draft awaiting sign-off, and several of its sections (6, 7, 8) flag information that legal and compliance advisors still need to confirm. The design choices in this companion — particularly the custody model default in Section 5.1 and the modular-monolith recommendation in Section 2.1 — are engineering judgment calls made to give the team a concrete starting point, not settled decisions. They should be revisited the moment the underlying BRS sections they depend on are finalized, and this document's version number should track the BRS's own versioning (per BRS Section 0) so the two never drift silently out of sync.</w:t>
      </w:r>
    </w:p>
    <w:p>
      <w:r>
        <w:br w:type="page"/>
      </w:r>
    </w:p>
    <w:p>
      <w:pPr>
        <w:pStyle w:val="Heading1"/>
        <w:spacing w:after="240" w:before="480"/>
      </w:pPr>
      <w:r>
        <w:t xml:space="preserve">25. Extended Data Dictionary</w:t>
      </w:r>
    </w:p>
    <w:p>
      <w:pPr>
        <w:spacing w:after="200" w:line="300"/>
        <w:jc w:val="left"/>
      </w:pPr>
      <w:r>
        <w:rPr>
          <w:b w:val="false"/>
          <w:bCs w:val="false"/>
          <w:i w:val="false"/>
          <w:iCs w:val="false"/>
        </w:rPr>
        <w:t xml:space="preserve">Section-level tables earlier in this document (Sections 3–9) name the core entities. This appendix gives a fuller field-level view of the four tables most central to correctness and audit: users, kyc_submissions, ledger_entries, and compliance_holds. Types are illustrative (PostgreSQL-flavored) and should be finalized against the team's chosen ORM/migration tooling.</w:t>
      </w:r>
    </w:p>
    <w:p>
      <w:pPr>
        <w:pStyle w:val="Heading2"/>
        <w:spacing w:after="160" w:before="360"/>
      </w:pPr>
      <w:r>
        <w:t xml:space="preserve">25.1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shd w:fill="1F3864" w:color="auto" w:val="clear"/>
            <w:tcMar>
              <w:top w:type="dxa" w:w="80"/>
              <w:left w:type="dxa" w:w="100"/>
              <w:bottom w:type="dxa" w:w="80"/>
              <w:right w:type="dxa" w:w="100"/>
            </w:tcMar>
          </w:tcPr>
          <w:p>
            <w:r>
              <w:rPr>
                <w:b/>
                <w:bCs/>
                <w:color w:val="FFFFFF"/>
                <w:sz w:val="20"/>
                <w:szCs w:val="20"/>
              </w:rPr>
              <w:t xml:space="preserve">Field</w:t>
            </w:r>
          </w:p>
        </w:tc>
        <w:tc>
          <w:tcPr>
            <w:tcW w:type="dxa" w:w="2600"/>
            <w:shd w:fill="1F3864" w:color="auto" w:val="clear"/>
            <w:tcMar>
              <w:top w:type="dxa" w:w="80"/>
              <w:left w:type="dxa" w:w="100"/>
              <w:bottom w:type="dxa" w:w="80"/>
              <w:right w:type="dxa" w:w="100"/>
            </w:tcMar>
          </w:tcPr>
          <w:p>
            <w:r>
              <w:rPr>
                <w:b/>
                <w:bCs/>
                <w:color w:val="FFFFFF"/>
                <w:sz w:val="20"/>
                <w:szCs w:val="20"/>
              </w:rPr>
              <w:t xml:space="preserve">Type</w:t>
            </w:r>
          </w:p>
        </w:tc>
        <w:tc>
          <w:tcPr>
            <w:tcW w:type="dxa" w:w="4360"/>
            <w:shd w:fill="1F3864" w:color="auto" w:val="clear"/>
            <w:tcMar>
              <w:top w:type="dxa" w:w="80"/>
              <w:left w:type="dxa" w:w="100"/>
              <w:bottom w:type="dxa" w:w="80"/>
              <w:right w:type="dxa" w:w="100"/>
            </w:tcMar>
          </w:tcPr>
          <w:p>
            <w:r>
              <w:rPr>
                <w:b/>
                <w:bCs/>
                <w:color w:val="FFFFFF"/>
                <w:sz w:val="20"/>
                <w:szCs w:val="20"/>
              </w:rPr>
              <w:t xml:space="preserve">Notes</w:t>
            </w:r>
          </w:p>
        </w:tc>
      </w:tr>
      <w:tr>
        <w:tc>
          <w:tcPr>
            <w:tcW w:type="dxa" w:w="2400"/>
            <w:tcMar>
              <w:top w:type="dxa" w:w="80"/>
              <w:left w:type="dxa" w:w="100"/>
              <w:bottom w:type="dxa" w:w="80"/>
              <w:right w:type="dxa" w:w="100"/>
            </w:tcMar>
          </w:tcPr>
          <w:p>
            <w:r>
              <w:rPr>
                <w:b w:val="false"/>
                <w:bCs w:val="false"/>
                <w:sz w:val="20"/>
                <w:szCs w:val="20"/>
              </w:rPr>
              <w:t xml:space="preserve">id</w:t>
            </w:r>
          </w:p>
        </w:tc>
        <w:tc>
          <w:tcPr>
            <w:tcW w:type="dxa" w:w="2600"/>
            <w:tcMar>
              <w:top w:type="dxa" w:w="80"/>
              <w:left w:type="dxa" w:w="100"/>
              <w:bottom w:type="dxa" w:w="80"/>
              <w:right w:type="dxa" w:w="100"/>
            </w:tcMar>
          </w:tcPr>
          <w:p>
            <w:r>
              <w:rPr>
                <w:b w:val="false"/>
                <w:bCs w:val="false"/>
                <w:sz w:val="20"/>
                <w:szCs w:val="20"/>
              </w:rPr>
              <w:t xml:space="preserve">UUID, PK</w:t>
            </w:r>
          </w:p>
        </w:tc>
        <w:tc>
          <w:tcPr>
            <w:tcW w:type="dxa" w:w="4360"/>
            <w:tcMar>
              <w:top w:type="dxa" w:w="80"/>
              <w:left w:type="dxa" w:w="100"/>
              <w:bottom w:type="dxa" w:w="80"/>
              <w:right w:type="dxa" w:w="100"/>
            </w:tcMar>
          </w:tcPr>
          <w:p>
            <w:r>
              <w:rPr>
                <w:b w:val="false"/>
                <w:bCs w:val="false"/>
                <w:sz w:val="20"/>
                <w:szCs w:val="20"/>
              </w:rPr>
              <w:t xml:space="preserve">Never expose sequential integer IDs externally</w:t>
            </w:r>
          </w:p>
        </w:tc>
      </w:tr>
      <w:tr>
        <w:tc>
          <w:tcPr>
            <w:tcW w:type="dxa" w:w="2400"/>
            <w:tcMar>
              <w:top w:type="dxa" w:w="80"/>
              <w:left w:type="dxa" w:w="100"/>
              <w:bottom w:type="dxa" w:w="80"/>
              <w:right w:type="dxa" w:w="100"/>
            </w:tcMar>
          </w:tcPr>
          <w:p>
            <w:r>
              <w:rPr>
                <w:b w:val="false"/>
                <w:bCs w:val="false"/>
                <w:sz w:val="20"/>
                <w:szCs w:val="20"/>
              </w:rPr>
              <w:t xml:space="preserve">email</w:t>
            </w:r>
          </w:p>
        </w:tc>
        <w:tc>
          <w:tcPr>
            <w:tcW w:type="dxa" w:w="2600"/>
            <w:tcMar>
              <w:top w:type="dxa" w:w="80"/>
              <w:left w:type="dxa" w:w="100"/>
              <w:bottom w:type="dxa" w:w="80"/>
              <w:right w:type="dxa" w:w="100"/>
            </w:tcMar>
          </w:tcPr>
          <w:p>
            <w:r>
              <w:rPr>
                <w:b w:val="false"/>
                <w:bCs w:val="false"/>
                <w:sz w:val="20"/>
                <w:szCs w:val="20"/>
              </w:rPr>
              <w:t xml:space="preserve">citext, nullable, unique</w:t>
            </w:r>
          </w:p>
        </w:tc>
        <w:tc>
          <w:tcPr>
            <w:tcW w:type="dxa" w:w="4360"/>
            <w:tcMar>
              <w:top w:type="dxa" w:w="80"/>
              <w:left w:type="dxa" w:w="100"/>
              <w:bottom w:type="dxa" w:w="80"/>
              <w:right w:type="dxa" w:w="100"/>
            </w:tcMar>
          </w:tcPr>
          <w:p>
            <w:r>
              <w:rPr>
                <w:b w:val="false"/>
                <w:bCs w:val="false"/>
                <w:sz w:val="20"/>
                <w:szCs w:val="20"/>
              </w:rPr>
              <w:t xml:space="preserve">Nullable because phone-only signup is allowed (REQ-001)</w:t>
            </w:r>
          </w:p>
        </w:tc>
      </w:tr>
      <w:tr>
        <w:tc>
          <w:tcPr>
            <w:tcW w:type="dxa" w:w="2400"/>
            <w:tcMar>
              <w:top w:type="dxa" w:w="80"/>
              <w:left w:type="dxa" w:w="100"/>
              <w:bottom w:type="dxa" w:w="80"/>
              <w:right w:type="dxa" w:w="100"/>
            </w:tcMar>
          </w:tcPr>
          <w:p>
            <w:r>
              <w:rPr>
                <w:b w:val="false"/>
                <w:bCs w:val="false"/>
                <w:sz w:val="20"/>
                <w:szCs w:val="20"/>
              </w:rPr>
              <w:t xml:space="preserve">phone</w:t>
            </w:r>
          </w:p>
        </w:tc>
        <w:tc>
          <w:tcPr>
            <w:tcW w:type="dxa" w:w="2600"/>
            <w:tcMar>
              <w:top w:type="dxa" w:w="80"/>
              <w:left w:type="dxa" w:w="100"/>
              <w:bottom w:type="dxa" w:w="80"/>
              <w:right w:type="dxa" w:w="100"/>
            </w:tcMar>
          </w:tcPr>
          <w:p>
            <w:r>
              <w:rPr>
                <w:b w:val="false"/>
                <w:bCs w:val="false"/>
                <w:sz w:val="20"/>
                <w:szCs w:val="20"/>
              </w:rPr>
              <w:t xml:space="preserve">text, nullable, unique</w:t>
            </w:r>
          </w:p>
        </w:tc>
        <w:tc>
          <w:tcPr>
            <w:tcW w:type="dxa" w:w="4360"/>
            <w:tcMar>
              <w:top w:type="dxa" w:w="80"/>
              <w:left w:type="dxa" w:w="100"/>
              <w:bottom w:type="dxa" w:w="80"/>
              <w:right w:type="dxa" w:w="100"/>
            </w:tcMar>
          </w:tcPr>
          <w:p>
            <w:r>
              <w:rPr>
                <w:b w:val="false"/>
                <w:bCs w:val="false"/>
                <w:sz w:val="20"/>
                <w:szCs w:val="20"/>
              </w:rPr>
              <w:t xml:space="preserve">E.164 format; nullable because email-only signup is allowed</w:t>
            </w:r>
          </w:p>
        </w:tc>
      </w:tr>
      <w:tr>
        <w:tc>
          <w:tcPr>
            <w:tcW w:type="dxa" w:w="2400"/>
            <w:tcMar>
              <w:top w:type="dxa" w:w="80"/>
              <w:left w:type="dxa" w:w="100"/>
              <w:bottom w:type="dxa" w:w="80"/>
              <w:right w:type="dxa" w:w="100"/>
            </w:tcMar>
          </w:tcPr>
          <w:p>
            <w:r>
              <w:rPr>
                <w:b w:val="false"/>
                <w:bCs w:val="false"/>
                <w:sz w:val="20"/>
                <w:szCs w:val="20"/>
              </w:rPr>
              <w:t xml:space="preserve">password_hash</w:t>
            </w:r>
          </w:p>
        </w:tc>
        <w:tc>
          <w:tcPr>
            <w:tcW w:type="dxa" w:w="2600"/>
            <w:tcMar>
              <w:top w:type="dxa" w:w="80"/>
              <w:left w:type="dxa" w:w="100"/>
              <w:bottom w:type="dxa" w:w="80"/>
              <w:right w:type="dxa" w:w="100"/>
            </w:tcMar>
          </w:tcPr>
          <w:p>
            <w:r>
              <w:rPr>
                <w:b w:val="false"/>
                <w:bCs w:val="false"/>
                <w:sz w:val="20"/>
                <w:szCs w:val="20"/>
              </w:rPr>
              <w:t xml:space="preserve">text</w:t>
            </w:r>
          </w:p>
        </w:tc>
        <w:tc>
          <w:tcPr>
            <w:tcW w:type="dxa" w:w="4360"/>
            <w:tcMar>
              <w:top w:type="dxa" w:w="80"/>
              <w:left w:type="dxa" w:w="100"/>
              <w:bottom w:type="dxa" w:w="80"/>
              <w:right w:type="dxa" w:w="100"/>
            </w:tcMar>
          </w:tcPr>
          <w:p>
            <w:r>
              <w:rPr>
                <w:b w:val="false"/>
                <w:bCs w:val="false"/>
                <w:sz w:val="20"/>
                <w:szCs w:val="20"/>
              </w:rPr>
              <w:t xml:space="preserve">bcrypt/argon2id, never reversible</w:t>
            </w:r>
          </w:p>
        </w:tc>
      </w:tr>
      <w:tr>
        <w:tc>
          <w:tcPr>
            <w:tcW w:type="dxa" w:w="2400"/>
            <w:tcMar>
              <w:top w:type="dxa" w:w="80"/>
              <w:left w:type="dxa" w:w="100"/>
              <w:bottom w:type="dxa" w:w="80"/>
              <w:right w:type="dxa" w:w="100"/>
            </w:tcMar>
          </w:tcPr>
          <w:p>
            <w:r>
              <w:rPr>
                <w:b w:val="false"/>
                <w:bCs w:val="false"/>
                <w:sz w:val="20"/>
                <w:szCs w:val="20"/>
              </w:rPr>
              <w:t xml:space="preserve">status</w:t>
            </w:r>
          </w:p>
        </w:tc>
        <w:tc>
          <w:tcPr>
            <w:tcW w:type="dxa" w:w="2600"/>
            <w:tcMar>
              <w:top w:type="dxa" w:w="80"/>
              <w:left w:type="dxa" w:w="100"/>
              <w:bottom w:type="dxa" w:w="80"/>
              <w:right w:type="dxa" w:w="100"/>
            </w:tcMar>
          </w:tcPr>
          <w:p>
            <w:r>
              <w:rPr>
                <w:b w:val="false"/>
                <w:bCs w:val="false"/>
                <w:sz w:val="20"/>
                <w:szCs w:val="20"/>
              </w:rPr>
              <w:t xml:space="preserve">enum: unverified/verified/suspended/closed</w:t>
            </w:r>
          </w:p>
        </w:tc>
        <w:tc>
          <w:tcPr>
            <w:tcW w:type="dxa" w:w="4360"/>
            <w:tcMar>
              <w:top w:type="dxa" w:w="80"/>
              <w:left w:type="dxa" w:w="100"/>
              <w:bottom w:type="dxa" w:w="80"/>
              <w:right w:type="dxa" w:w="100"/>
            </w:tcMar>
          </w:tcPr>
          <w:p>
            <w:r>
              <w:rPr>
                <w:b w:val="false"/>
                <w:bCs w:val="false"/>
                <w:sz w:val="20"/>
                <w:szCs w:val="20"/>
              </w:rPr>
              <w:t xml:space="preserve">Drives wallet-creation gate (REQ-014)</w:t>
            </w:r>
          </w:p>
        </w:tc>
      </w:tr>
      <w:tr>
        <w:tc>
          <w:tcPr>
            <w:tcW w:type="dxa" w:w="2400"/>
            <w:tcMar>
              <w:top w:type="dxa" w:w="80"/>
              <w:left w:type="dxa" w:w="100"/>
              <w:bottom w:type="dxa" w:w="80"/>
              <w:right w:type="dxa" w:w="100"/>
            </w:tcMar>
          </w:tcPr>
          <w:p>
            <w:r>
              <w:rPr>
                <w:b w:val="false"/>
                <w:bCs w:val="false"/>
                <w:sz w:val="20"/>
                <w:szCs w:val="20"/>
              </w:rPr>
              <w:t xml:space="preserve">mfa_enabled</w:t>
            </w:r>
          </w:p>
        </w:tc>
        <w:tc>
          <w:tcPr>
            <w:tcW w:type="dxa" w:w="2600"/>
            <w:tcMar>
              <w:top w:type="dxa" w:w="80"/>
              <w:left w:type="dxa" w:w="100"/>
              <w:bottom w:type="dxa" w:w="80"/>
              <w:right w:type="dxa" w:w="100"/>
            </w:tcMar>
          </w:tcPr>
          <w:p>
            <w:r>
              <w:rPr>
                <w:b w:val="false"/>
                <w:bCs w:val="false"/>
                <w:sz w:val="20"/>
                <w:szCs w:val="20"/>
              </w:rPr>
              <w:t xml:space="preserve">boolean, default false</w:t>
            </w:r>
          </w:p>
        </w:tc>
        <w:tc>
          <w:tcPr>
            <w:tcW w:type="dxa" w:w="4360"/>
            <w:tcMar>
              <w:top w:type="dxa" w:w="80"/>
              <w:left w:type="dxa" w:w="100"/>
              <w:bottom w:type="dxa" w:w="80"/>
              <w:right w:type="dxa" w:w="100"/>
            </w:tcMar>
          </w:tcPr>
          <w:p>
            <w:r>
              <w:rPr>
                <w:b w:val="false"/>
                <w:bCs w:val="false"/>
                <w:sz w:val="20"/>
                <w:szCs w:val="20"/>
              </w:rPr>
              <w:t xml:space="preserve">REQ-002</w:t>
            </w:r>
          </w:p>
        </w:tc>
      </w:tr>
      <w:tr>
        <w:tc>
          <w:tcPr>
            <w:tcW w:type="dxa" w:w="2400"/>
            <w:tcMar>
              <w:top w:type="dxa" w:w="80"/>
              <w:left w:type="dxa" w:w="100"/>
              <w:bottom w:type="dxa" w:w="80"/>
              <w:right w:type="dxa" w:w="100"/>
            </w:tcMar>
          </w:tcPr>
          <w:p>
            <w:r>
              <w:rPr>
                <w:b w:val="false"/>
                <w:bCs w:val="false"/>
                <w:sz w:val="20"/>
                <w:szCs w:val="20"/>
              </w:rPr>
              <w:t xml:space="preserve">failed_login_count</w:t>
            </w:r>
          </w:p>
        </w:tc>
        <w:tc>
          <w:tcPr>
            <w:tcW w:type="dxa" w:w="2600"/>
            <w:tcMar>
              <w:top w:type="dxa" w:w="80"/>
              <w:left w:type="dxa" w:w="100"/>
              <w:bottom w:type="dxa" w:w="80"/>
              <w:right w:type="dxa" w:w="100"/>
            </w:tcMar>
          </w:tcPr>
          <w:p>
            <w:r>
              <w:rPr>
                <w:b w:val="false"/>
                <w:bCs w:val="false"/>
                <w:sz w:val="20"/>
                <w:szCs w:val="20"/>
              </w:rPr>
              <w:t xml:space="preserve">int, default 0</w:t>
            </w:r>
          </w:p>
        </w:tc>
        <w:tc>
          <w:tcPr>
            <w:tcW w:type="dxa" w:w="4360"/>
            <w:tcMar>
              <w:top w:type="dxa" w:w="80"/>
              <w:left w:type="dxa" w:w="100"/>
              <w:bottom w:type="dxa" w:w="80"/>
              <w:right w:type="dxa" w:w="100"/>
            </w:tcMar>
          </w:tcPr>
          <w:p>
            <w:r>
              <w:rPr>
                <w:b w:val="false"/>
                <w:bCs w:val="false"/>
                <w:sz w:val="20"/>
                <w:szCs w:val="20"/>
              </w:rPr>
              <w:t xml:space="preserve">Resets on success; drives REQ-003</w:t>
            </w:r>
          </w:p>
        </w:tc>
      </w:tr>
      <w:tr>
        <w:tc>
          <w:tcPr>
            <w:tcW w:type="dxa" w:w="2400"/>
            <w:tcMar>
              <w:top w:type="dxa" w:w="80"/>
              <w:left w:type="dxa" w:w="100"/>
              <w:bottom w:type="dxa" w:w="80"/>
              <w:right w:type="dxa" w:w="100"/>
            </w:tcMar>
          </w:tcPr>
          <w:p>
            <w:r>
              <w:rPr>
                <w:b w:val="false"/>
                <w:bCs w:val="false"/>
                <w:sz w:val="20"/>
                <w:szCs w:val="20"/>
              </w:rPr>
              <w:t xml:space="preserve">locked_until</w:t>
            </w:r>
          </w:p>
        </w:tc>
        <w:tc>
          <w:tcPr>
            <w:tcW w:type="dxa" w:w="2600"/>
            <w:tcMar>
              <w:top w:type="dxa" w:w="80"/>
              <w:left w:type="dxa" w:w="100"/>
              <w:bottom w:type="dxa" w:w="80"/>
              <w:right w:type="dxa" w:w="100"/>
            </w:tcMar>
          </w:tcPr>
          <w:p>
            <w:r>
              <w:rPr>
                <w:b w:val="false"/>
                <w:bCs w:val="false"/>
                <w:sz w:val="20"/>
                <w:szCs w:val="20"/>
              </w:rPr>
              <w:t xml:space="preserve">timestamptz, nullable</w:t>
            </w:r>
          </w:p>
        </w:tc>
        <w:tc>
          <w:tcPr>
            <w:tcW w:type="dxa" w:w="4360"/>
            <w:tcMar>
              <w:top w:type="dxa" w:w="80"/>
              <w:left w:type="dxa" w:w="100"/>
              <w:bottom w:type="dxa" w:w="80"/>
              <w:right w:type="dxa" w:w="100"/>
            </w:tcMar>
          </w:tcPr>
          <w:p>
            <w:r>
              <w:rPr>
                <w:b w:val="false"/>
                <w:bCs w:val="false"/>
                <w:sz w:val="20"/>
                <w:szCs w:val="20"/>
              </w:rPr>
              <w:t xml:space="preserve">Set on 5th failure; cleared by identity re-verification</w:t>
            </w:r>
          </w:p>
        </w:tc>
      </w:tr>
      <w:tr>
        <w:tc>
          <w:tcPr>
            <w:tcW w:type="dxa" w:w="2400"/>
            <w:tcMar>
              <w:top w:type="dxa" w:w="80"/>
              <w:left w:type="dxa" w:w="100"/>
              <w:bottom w:type="dxa" w:w="80"/>
              <w:right w:type="dxa" w:w="100"/>
            </w:tcMar>
          </w:tcPr>
          <w:p>
            <w:r>
              <w:rPr>
                <w:b w:val="false"/>
                <w:bCs w:val="false"/>
                <w:sz w:val="20"/>
                <w:szCs w:val="20"/>
              </w:rPr>
              <w:t xml:space="preserve">created_at / updated_at</w:t>
            </w:r>
          </w:p>
        </w:tc>
        <w:tc>
          <w:tcPr>
            <w:tcW w:type="dxa" w:w="2600"/>
            <w:tcMar>
              <w:top w:type="dxa" w:w="80"/>
              <w:left w:type="dxa" w:w="100"/>
              <w:bottom w:type="dxa" w:w="80"/>
              <w:right w:type="dxa" w:w="100"/>
            </w:tcMar>
          </w:tcPr>
          <w:p>
            <w:r>
              <w:rPr>
                <w:b w:val="false"/>
                <w:bCs w:val="false"/>
                <w:sz w:val="20"/>
                <w:szCs w:val="20"/>
              </w:rPr>
              <w:t xml:space="preserve">timestamptz</w:t>
            </w:r>
          </w:p>
        </w:tc>
        <w:tc>
          <w:tcPr>
            <w:tcW w:type="dxa" w:w="4360"/>
            <w:tcMar>
              <w:top w:type="dxa" w:w="80"/>
              <w:left w:type="dxa" w:w="100"/>
              <w:bottom w:type="dxa" w:w="80"/>
              <w:right w:type="dxa" w:w="100"/>
            </w:tcMar>
          </w:tcPr>
          <w:p>
            <w:r>
              <w:rPr>
                <w:b w:val="false"/>
                <w:bCs w:val="false"/>
                <w:sz w:val="20"/>
                <w:szCs w:val="20"/>
              </w:rPr>
              <w:t xml:space="preserve">Standard audit columns</w:t>
            </w:r>
          </w:p>
        </w:tc>
      </w:tr>
    </w:tbl>
    <w:p>
      <w:pPr>
        <w:pStyle w:val="Heading2"/>
        <w:spacing w:after="160" w:before="360"/>
      </w:pPr>
      <w:r>
        <w:t xml:space="preserve">25.2 kyc_submissions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shd w:fill="1F3864" w:color="auto" w:val="clear"/>
            <w:tcMar>
              <w:top w:type="dxa" w:w="80"/>
              <w:left w:type="dxa" w:w="100"/>
              <w:bottom w:type="dxa" w:w="80"/>
              <w:right w:type="dxa" w:w="100"/>
            </w:tcMar>
          </w:tcPr>
          <w:p>
            <w:r>
              <w:rPr>
                <w:b/>
                <w:bCs/>
                <w:color w:val="FFFFFF"/>
                <w:sz w:val="20"/>
                <w:szCs w:val="20"/>
              </w:rPr>
              <w:t xml:space="preserve">Field</w:t>
            </w:r>
          </w:p>
        </w:tc>
        <w:tc>
          <w:tcPr>
            <w:tcW w:type="dxa" w:w="2600"/>
            <w:shd w:fill="1F3864" w:color="auto" w:val="clear"/>
            <w:tcMar>
              <w:top w:type="dxa" w:w="80"/>
              <w:left w:type="dxa" w:w="100"/>
              <w:bottom w:type="dxa" w:w="80"/>
              <w:right w:type="dxa" w:w="100"/>
            </w:tcMar>
          </w:tcPr>
          <w:p>
            <w:r>
              <w:rPr>
                <w:b/>
                <w:bCs/>
                <w:color w:val="FFFFFF"/>
                <w:sz w:val="20"/>
                <w:szCs w:val="20"/>
              </w:rPr>
              <w:t xml:space="preserve">Type</w:t>
            </w:r>
          </w:p>
        </w:tc>
        <w:tc>
          <w:tcPr>
            <w:tcW w:type="dxa" w:w="4360"/>
            <w:shd w:fill="1F3864" w:color="auto" w:val="clear"/>
            <w:tcMar>
              <w:top w:type="dxa" w:w="80"/>
              <w:left w:type="dxa" w:w="100"/>
              <w:bottom w:type="dxa" w:w="80"/>
              <w:right w:type="dxa" w:w="100"/>
            </w:tcMar>
          </w:tcPr>
          <w:p>
            <w:r>
              <w:rPr>
                <w:b/>
                <w:bCs/>
                <w:color w:val="FFFFFF"/>
                <w:sz w:val="20"/>
                <w:szCs w:val="20"/>
              </w:rPr>
              <w:t xml:space="preserve">Notes</w:t>
            </w:r>
          </w:p>
        </w:tc>
      </w:tr>
      <w:tr>
        <w:tc>
          <w:tcPr>
            <w:tcW w:type="dxa" w:w="2400"/>
            <w:tcMar>
              <w:top w:type="dxa" w:w="80"/>
              <w:left w:type="dxa" w:w="100"/>
              <w:bottom w:type="dxa" w:w="80"/>
              <w:right w:type="dxa" w:w="100"/>
            </w:tcMar>
          </w:tcPr>
          <w:p>
            <w:r>
              <w:rPr>
                <w:b w:val="false"/>
                <w:bCs w:val="false"/>
                <w:sz w:val="20"/>
                <w:szCs w:val="20"/>
              </w:rPr>
              <w:t xml:space="preserve">id</w:t>
            </w:r>
          </w:p>
        </w:tc>
        <w:tc>
          <w:tcPr>
            <w:tcW w:type="dxa" w:w="2600"/>
            <w:tcMar>
              <w:top w:type="dxa" w:w="80"/>
              <w:left w:type="dxa" w:w="100"/>
              <w:bottom w:type="dxa" w:w="80"/>
              <w:right w:type="dxa" w:w="100"/>
            </w:tcMar>
          </w:tcPr>
          <w:p>
            <w:r>
              <w:rPr>
                <w:b w:val="false"/>
                <w:bCs w:val="false"/>
                <w:sz w:val="20"/>
                <w:szCs w:val="20"/>
              </w:rPr>
              <w:t xml:space="preserve">UUID, PK</w:t>
            </w:r>
          </w:p>
        </w:tc>
        <w:tc>
          <w:tcPr>
            <w:tcW w:type="dxa" w:w="4360"/>
            <w:tcMar>
              <w:top w:type="dxa" w:w="80"/>
              <w:left w:type="dxa" w:w="100"/>
              <w:bottom w:type="dxa" w:w="80"/>
              <w:right w:type="dxa" w:w="100"/>
            </w:tcMar>
          </w:tcPr>
          <w:p>
            <w:r>
              <w:rPr>
                <w:b w:val="false"/>
                <w:bCs w:val="false"/>
                <w:sz w:val="20"/>
                <w:szCs w:val="20"/>
              </w:rPr>
              <w:t xml:space="preserve"/>
            </w:r>
          </w:p>
        </w:tc>
      </w:tr>
      <w:tr>
        <w:tc>
          <w:tcPr>
            <w:tcW w:type="dxa" w:w="2400"/>
            <w:tcMar>
              <w:top w:type="dxa" w:w="80"/>
              <w:left w:type="dxa" w:w="100"/>
              <w:bottom w:type="dxa" w:w="80"/>
              <w:right w:type="dxa" w:w="100"/>
            </w:tcMar>
          </w:tcPr>
          <w:p>
            <w:r>
              <w:rPr>
                <w:b w:val="false"/>
                <w:bCs w:val="false"/>
                <w:sz w:val="20"/>
                <w:szCs w:val="20"/>
              </w:rPr>
              <w:t xml:space="preserve">user_id</w:t>
            </w:r>
          </w:p>
        </w:tc>
        <w:tc>
          <w:tcPr>
            <w:tcW w:type="dxa" w:w="2600"/>
            <w:tcMar>
              <w:top w:type="dxa" w:w="80"/>
              <w:left w:type="dxa" w:w="100"/>
              <w:bottom w:type="dxa" w:w="80"/>
              <w:right w:type="dxa" w:w="100"/>
            </w:tcMar>
          </w:tcPr>
          <w:p>
            <w:r>
              <w:rPr>
                <w:b w:val="false"/>
                <w:bCs w:val="false"/>
                <w:sz w:val="20"/>
                <w:szCs w:val="20"/>
              </w:rPr>
              <w:t xml:space="preserve">UUID, FK → users</w:t>
            </w:r>
          </w:p>
        </w:tc>
        <w:tc>
          <w:tcPr>
            <w:tcW w:type="dxa" w:w="4360"/>
            <w:tcMar>
              <w:top w:type="dxa" w:w="80"/>
              <w:left w:type="dxa" w:w="100"/>
              <w:bottom w:type="dxa" w:w="80"/>
              <w:right w:type="dxa" w:w="100"/>
            </w:tcMar>
          </w:tcPr>
          <w:p>
            <w:r>
              <w:rPr>
                <w:b w:val="false"/>
                <w:bCs w:val="false"/>
                <w:sz w:val="20"/>
                <w:szCs w:val="20"/>
              </w:rPr>
              <w:t xml:space="preserve"/>
            </w:r>
          </w:p>
        </w:tc>
      </w:tr>
      <w:tr>
        <w:tc>
          <w:tcPr>
            <w:tcW w:type="dxa" w:w="2400"/>
            <w:tcMar>
              <w:top w:type="dxa" w:w="80"/>
              <w:left w:type="dxa" w:w="100"/>
              <w:bottom w:type="dxa" w:w="80"/>
              <w:right w:type="dxa" w:w="100"/>
            </w:tcMar>
          </w:tcPr>
          <w:p>
            <w:r>
              <w:rPr>
                <w:b w:val="false"/>
                <w:bCs w:val="false"/>
                <w:sz w:val="20"/>
                <w:szCs w:val="20"/>
              </w:rPr>
              <w:t xml:space="preserve">national_id</w:t>
            </w:r>
          </w:p>
        </w:tc>
        <w:tc>
          <w:tcPr>
            <w:tcW w:type="dxa" w:w="2600"/>
            <w:tcMar>
              <w:top w:type="dxa" w:w="80"/>
              <w:left w:type="dxa" w:w="100"/>
              <w:bottom w:type="dxa" w:w="80"/>
              <w:right w:type="dxa" w:w="100"/>
            </w:tcMar>
          </w:tcPr>
          <w:p>
            <w:r>
              <w:rPr>
                <w:b w:val="false"/>
                <w:bCs w:val="false"/>
                <w:sz w:val="20"/>
                <w:szCs w:val="20"/>
              </w:rPr>
              <w:t xml:space="preserve">text, encrypted</w:t>
            </w:r>
          </w:p>
        </w:tc>
        <w:tc>
          <w:tcPr>
            <w:tcW w:type="dxa" w:w="4360"/>
            <w:tcMar>
              <w:top w:type="dxa" w:w="80"/>
              <w:left w:type="dxa" w:w="100"/>
              <w:bottom w:type="dxa" w:w="80"/>
              <w:right w:type="dxa" w:w="100"/>
            </w:tcMar>
          </w:tcPr>
          <w:p>
            <w:r>
              <w:rPr>
                <w:b w:val="false"/>
                <w:bCs w:val="false"/>
                <w:sz w:val="20"/>
                <w:szCs w:val="20"/>
              </w:rPr>
              <w:t xml:space="preserve">Encrypted at the column level, not just disk-level, given sensitivity</w:t>
            </w:r>
          </w:p>
        </w:tc>
      </w:tr>
      <w:tr>
        <w:tc>
          <w:tcPr>
            <w:tcW w:type="dxa" w:w="2400"/>
            <w:tcMar>
              <w:top w:type="dxa" w:w="80"/>
              <w:left w:type="dxa" w:w="100"/>
              <w:bottom w:type="dxa" w:w="80"/>
              <w:right w:type="dxa" w:w="100"/>
            </w:tcMar>
          </w:tcPr>
          <w:p>
            <w:r>
              <w:rPr>
                <w:b w:val="false"/>
                <w:bCs w:val="false"/>
                <w:sz w:val="20"/>
                <w:szCs w:val="20"/>
              </w:rPr>
              <w:t xml:space="preserve">kra_pin</w:t>
            </w:r>
          </w:p>
        </w:tc>
        <w:tc>
          <w:tcPr>
            <w:tcW w:type="dxa" w:w="2600"/>
            <w:tcMar>
              <w:top w:type="dxa" w:w="80"/>
              <w:left w:type="dxa" w:w="100"/>
              <w:bottom w:type="dxa" w:w="80"/>
              <w:right w:type="dxa" w:w="100"/>
            </w:tcMar>
          </w:tcPr>
          <w:p>
            <w:r>
              <w:rPr>
                <w:b w:val="false"/>
                <w:bCs w:val="false"/>
                <w:sz w:val="20"/>
                <w:szCs w:val="20"/>
              </w:rPr>
              <w:t xml:space="preserve">text, encrypted</w:t>
            </w:r>
          </w:p>
        </w:tc>
        <w:tc>
          <w:tcPr>
            <w:tcW w:type="dxa" w:w="4360"/>
            <w:tcMar>
              <w:top w:type="dxa" w:w="80"/>
              <w:left w:type="dxa" w:w="100"/>
              <w:bottom w:type="dxa" w:w="80"/>
              <w:right w:type="dxa" w:w="100"/>
            </w:tcMar>
          </w:tcPr>
          <w:p>
            <w:r>
              <w:rPr>
                <w:b w:val="false"/>
                <w:bCs w:val="false"/>
                <w:sz w:val="20"/>
                <w:szCs w:val="20"/>
              </w:rPr>
              <w:t xml:space="preserve"/>
            </w:r>
          </w:p>
        </w:tc>
      </w:tr>
      <w:tr>
        <w:tc>
          <w:tcPr>
            <w:tcW w:type="dxa" w:w="2400"/>
            <w:tcMar>
              <w:top w:type="dxa" w:w="80"/>
              <w:left w:type="dxa" w:w="100"/>
              <w:bottom w:type="dxa" w:w="80"/>
              <w:right w:type="dxa" w:w="100"/>
            </w:tcMar>
          </w:tcPr>
          <w:p>
            <w:r>
              <w:rPr>
                <w:b w:val="false"/>
                <w:bCs w:val="false"/>
                <w:sz w:val="20"/>
                <w:szCs w:val="20"/>
              </w:rPr>
              <w:t xml:space="preserve">id_document_ref</w:t>
            </w:r>
          </w:p>
        </w:tc>
        <w:tc>
          <w:tcPr>
            <w:tcW w:type="dxa" w:w="2600"/>
            <w:tcMar>
              <w:top w:type="dxa" w:w="80"/>
              <w:left w:type="dxa" w:w="100"/>
              <w:bottom w:type="dxa" w:w="80"/>
              <w:right w:type="dxa" w:w="100"/>
            </w:tcMar>
          </w:tcPr>
          <w:p>
            <w:r>
              <w:rPr>
                <w:b w:val="false"/>
                <w:bCs w:val="false"/>
                <w:sz w:val="20"/>
                <w:szCs w:val="20"/>
              </w:rPr>
              <w:t xml:space="preserve">text</w:t>
            </w:r>
          </w:p>
        </w:tc>
        <w:tc>
          <w:tcPr>
            <w:tcW w:type="dxa" w:w="4360"/>
            <w:tcMar>
              <w:top w:type="dxa" w:w="80"/>
              <w:left w:type="dxa" w:w="100"/>
              <w:bottom w:type="dxa" w:w="80"/>
              <w:right w:type="dxa" w:w="100"/>
            </w:tcMar>
          </w:tcPr>
          <w:p>
            <w:r>
              <w:rPr>
                <w:b w:val="false"/>
                <w:bCs w:val="false"/>
                <w:sz w:val="20"/>
                <w:szCs w:val="20"/>
              </w:rPr>
              <w:t xml:space="preserve">Pointer into encrypted object storage, not the document itself</w:t>
            </w:r>
          </w:p>
        </w:tc>
      </w:tr>
      <w:tr>
        <w:tc>
          <w:tcPr>
            <w:tcW w:type="dxa" w:w="2400"/>
            <w:tcMar>
              <w:top w:type="dxa" w:w="80"/>
              <w:left w:type="dxa" w:w="100"/>
              <w:bottom w:type="dxa" w:w="80"/>
              <w:right w:type="dxa" w:w="100"/>
            </w:tcMar>
          </w:tcPr>
          <w:p>
            <w:r>
              <w:rPr>
                <w:b w:val="false"/>
                <w:bCs w:val="false"/>
                <w:sz w:val="20"/>
                <w:szCs w:val="20"/>
              </w:rPr>
              <w:t xml:space="preserve">selfie_ref</w:t>
            </w:r>
          </w:p>
        </w:tc>
        <w:tc>
          <w:tcPr>
            <w:tcW w:type="dxa" w:w="2600"/>
            <w:tcMar>
              <w:top w:type="dxa" w:w="80"/>
              <w:left w:type="dxa" w:w="100"/>
              <w:bottom w:type="dxa" w:w="80"/>
              <w:right w:type="dxa" w:w="100"/>
            </w:tcMar>
          </w:tcPr>
          <w:p>
            <w:r>
              <w:rPr>
                <w:b w:val="false"/>
                <w:bCs w:val="false"/>
                <w:sz w:val="20"/>
                <w:szCs w:val="20"/>
              </w:rPr>
              <w:t xml:space="preserve">text</w:t>
            </w:r>
          </w:p>
        </w:tc>
        <w:tc>
          <w:tcPr>
            <w:tcW w:type="dxa" w:w="4360"/>
            <w:tcMar>
              <w:top w:type="dxa" w:w="80"/>
              <w:left w:type="dxa" w:w="100"/>
              <w:bottom w:type="dxa" w:w="80"/>
              <w:right w:type="dxa" w:w="100"/>
            </w:tcMar>
          </w:tcPr>
          <w:p>
            <w:r>
              <w:rPr>
                <w:b w:val="false"/>
                <w:bCs w:val="false"/>
                <w:sz w:val="20"/>
                <w:szCs w:val="20"/>
              </w:rPr>
              <w:t xml:space="preserve">Pointer into encrypted object storage</w:t>
            </w:r>
          </w:p>
        </w:tc>
      </w:tr>
      <w:tr>
        <w:tc>
          <w:tcPr>
            <w:tcW w:type="dxa" w:w="2400"/>
            <w:tcMar>
              <w:top w:type="dxa" w:w="80"/>
              <w:left w:type="dxa" w:w="100"/>
              <w:bottom w:type="dxa" w:w="80"/>
              <w:right w:type="dxa" w:w="100"/>
            </w:tcMar>
          </w:tcPr>
          <w:p>
            <w:r>
              <w:rPr>
                <w:b w:val="false"/>
                <w:bCs w:val="false"/>
                <w:sz w:val="20"/>
                <w:szCs w:val="20"/>
              </w:rPr>
              <w:t xml:space="preserve">match_score</w:t>
            </w:r>
          </w:p>
        </w:tc>
        <w:tc>
          <w:tcPr>
            <w:tcW w:type="dxa" w:w="2600"/>
            <w:tcMar>
              <w:top w:type="dxa" w:w="80"/>
              <w:left w:type="dxa" w:w="100"/>
              <w:bottom w:type="dxa" w:w="80"/>
              <w:right w:type="dxa" w:w="100"/>
            </w:tcMar>
          </w:tcPr>
          <w:p>
            <w:r>
              <w:rPr>
                <w:b w:val="false"/>
                <w:bCs w:val="false"/>
                <w:sz w:val="20"/>
                <w:szCs w:val="20"/>
              </w:rPr>
              <w:t xml:space="preserve">numeric, nullable</w:t>
            </w:r>
          </w:p>
        </w:tc>
        <w:tc>
          <w:tcPr>
            <w:tcW w:type="dxa" w:w="4360"/>
            <w:tcMar>
              <w:top w:type="dxa" w:w="80"/>
              <w:left w:type="dxa" w:w="100"/>
              <w:bottom w:type="dxa" w:w="80"/>
              <w:right w:type="dxa" w:w="100"/>
            </w:tcMar>
          </w:tcPr>
          <w:p>
            <w:r>
              <w:rPr>
                <w:b w:val="false"/>
                <w:bCs w:val="false"/>
                <w:sz w:val="20"/>
                <w:szCs w:val="20"/>
              </w:rPr>
              <w:t xml:space="preserve">Returned by the KYC vendor; drives auto vs. manual-review routing</w:t>
            </w:r>
          </w:p>
        </w:tc>
      </w:tr>
      <w:tr>
        <w:tc>
          <w:tcPr>
            <w:tcW w:type="dxa" w:w="2400"/>
            <w:tcMar>
              <w:top w:type="dxa" w:w="80"/>
              <w:left w:type="dxa" w:w="100"/>
              <w:bottom w:type="dxa" w:w="80"/>
              <w:right w:type="dxa" w:w="100"/>
            </w:tcMar>
          </w:tcPr>
          <w:p>
            <w:r>
              <w:rPr>
                <w:b w:val="false"/>
                <w:bCs w:val="false"/>
                <w:sz w:val="20"/>
                <w:szCs w:val="20"/>
              </w:rPr>
              <w:t xml:space="preserve">status</w:t>
            </w:r>
          </w:p>
        </w:tc>
        <w:tc>
          <w:tcPr>
            <w:tcW w:type="dxa" w:w="2600"/>
            <w:tcMar>
              <w:top w:type="dxa" w:w="80"/>
              <w:left w:type="dxa" w:w="100"/>
              <w:bottom w:type="dxa" w:w="80"/>
              <w:right w:type="dxa" w:w="100"/>
            </w:tcMar>
          </w:tcPr>
          <w:p>
            <w:r>
              <w:rPr>
                <w:b w:val="false"/>
                <w:bCs w:val="false"/>
                <w:sz w:val="20"/>
                <w:szCs w:val="20"/>
              </w:rPr>
              <w:t xml:space="preserve">enum: pending/verified/manual_review/rejected</w:t>
            </w:r>
          </w:p>
        </w:tc>
        <w:tc>
          <w:tcPr>
            <w:tcW w:type="dxa" w:w="4360"/>
            <w:tcMar>
              <w:top w:type="dxa" w:w="80"/>
              <w:left w:type="dxa" w:w="100"/>
              <w:bottom w:type="dxa" w:w="80"/>
              <w:right w:type="dxa" w:w="100"/>
            </w:tcMar>
          </w:tcPr>
          <w:p>
            <w:r>
              <w:rPr>
                <w:b w:val="false"/>
                <w:bCs w:val="false"/>
                <w:sz w:val="20"/>
                <w:szCs w:val="20"/>
              </w:rPr>
              <w:t xml:space="preserve"/>
            </w:r>
          </w:p>
        </w:tc>
      </w:tr>
      <w:tr>
        <w:tc>
          <w:tcPr>
            <w:tcW w:type="dxa" w:w="2400"/>
            <w:tcMar>
              <w:top w:type="dxa" w:w="80"/>
              <w:left w:type="dxa" w:w="100"/>
              <w:bottom w:type="dxa" w:w="80"/>
              <w:right w:type="dxa" w:w="100"/>
            </w:tcMar>
          </w:tcPr>
          <w:p>
            <w:r>
              <w:rPr>
                <w:b w:val="false"/>
                <w:bCs w:val="false"/>
                <w:sz w:val="20"/>
                <w:szCs w:val="20"/>
              </w:rPr>
              <w:t xml:space="preserve">submitted_at / decided_at</w:t>
            </w:r>
          </w:p>
        </w:tc>
        <w:tc>
          <w:tcPr>
            <w:tcW w:type="dxa" w:w="2600"/>
            <w:tcMar>
              <w:top w:type="dxa" w:w="80"/>
              <w:left w:type="dxa" w:w="100"/>
              <w:bottom w:type="dxa" w:w="80"/>
              <w:right w:type="dxa" w:w="100"/>
            </w:tcMar>
          </w:tcPr>
          <w:p>
            <w:r>
              <w:rPr>
                <w:b w:val="false"/>
                <w:bCs w:val="false"/>
                <w:sz w:val="20"/>
                <w:szCs w:val="20"/>
              </w:rPr>
              <w:t xml:space="preserve">timestamptz</w:t>
            </w:r>
          </w:p>
        </w:tc>
        <w:tc>
          <w:tcPr>
            <w:tcW w:type="dxa" w:w="4360"/>
            <w:tcMar>
              <w:top w:type="dxa" w:w="80"/>
              <w:left w:type="dxa" w:w="100"/>
              <w:bottom w:type="dxa" w:w="80"/>
              <w:right w:type="dxa" w:w="100"/>
            </w:tcMar>
          </w:tcPr>
          <w:p>
            <w:r>
              <w:rPr>
                <w:b w:val="false"/>
                <w:bCs w:val="false"/>
                <w:sz w:val="20"/>
                <w:szCs w:val="20"/>
              </w:rPr>
              <w:t xml:space="preserve"/>
            </w:r>
          </w:p>
        </w:tc>
      </w:tr>
    </w:tbl>
    <w:p>
      <w:pPr>
        <w:pStyle w:val="Heading2"/>
        <w:spacing w:after="160" w:before="360"/>
      </w:pPr>
      <w:r>
        <w:t xml:space="preserve">25.3 ledger_entries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shd w:fill="1F3864" w:color="auto" w:val="clear"/>
            <w:tcMar>
              <w:top w:type="dxa" w:w="80"/>
              <w:left w:type="dxa" w:w="100"/>
              <w:bottom w:type="dxa" w:w="80"/>
              <w:right w:type="dxa" w:w="100"/>
            </w:tcMar>
          </w:tcPr>
          <w:p>
            <w:r>
              <w:rPr>
                <w:b/>
                <w:bCs/>
                <w:color w:val="FFFFFF"/>
                <w:sz w:val="20"/>
                <w:szCs w:val="20"/>
              </w:rPr>
              <w:t xml:space="preserve">Field</w:t>
            </w:r>
          </w:p>
        </w:tc>
        <w:tc>
          <w:tcPr>
            <w:tcW w:type="dxa" w:w="2600"/>
            <w:shd w:fill="1F3864" w:color="auto" w:val="clear"/>
            <w:tcMar>
              <w:top w:type="dxa" w:w="80"/>
              <w:left w:type="dxa" w:w="100"/>
              <w:bottom w:type="dxa" w:w="80"/>
              <w:right w:type="dxa" w:w="100"/>
            </w:tcMar>
          </w:tcPr>
          <w:p>
            <w:r>
              <w:rPr>
                <w:b/>
                <w:bCs/>
                <w:color w:val="FFFFFF"/>
                <w:sz w:val="20"/>
                <w:szCs w:val="20"/>
              </w:rPr>
              <w:t xml:space="preserve">Type</w:t>
            </w:r>
          </w:p>
        </w:tc>
        <w:tc>
          <w:tcPr>
            <w:tcW w:type="dxa" w:w="4360"/>
            <w:shd w:fill="1F3864" w:color="auto" w:val="clear"/>
            <w:tcMar>
              <w:top w:type="dxa" w:w="80"/>
              <w:left w:type="dxa" w:w="100"/>
              <w:bottom w:type="dxa" w:w="80"/>
              <w:right w:type="dxa" w:w="100"/>
            </w:tcMar>
          </w:tcPr>
          <w:p>
            <w:r>
              <w:rPr>
                <w:b/>
                <w:bCs/>
                <w:color w:val="FFFFFF"/>
                <w:sz w:val="20"/>
                <w:szCs w:val="20"/>
              </w:rPr>
              <w:t xml:space="preserve">Notes</w:t>
            </w:r>
          </w:p>
        </w:tc>
      </w:tr>
      <w:tr>
        <w:tc>
          <w:tcPr>
            <w:tcW w:type="dxa" w:w="2400"/>
            <w:tcMar>
              <w:top w:type="dxa" w:w="80"/>
              <w:left w:type="dxa" w:w="100"/>
              <w:bottom w:type="dxa" w:w="80"/>
              <w:right w:type="dxa" w:w="100"/>
            </w:tcMar>
          </w:tcPr>
          <w:p>
            <w:r>
              <w:rPr>
                <w:b w:val="false"/>
                <w:bCs w:val="false"/>
                <w:sz w:val="20"/>
                <w:szCs w:val="20"/>
              </w:rPr>
              <w:t xml:space="preserve">id</w:t>
            </w:r>
          </w:p>
        </w:tc>
        <w:tc>
          <w:tcPr>
            <w:tcW w:type="dxa" w:w="2600"/>
            <w:tcMar>
              <w:top w:type="dxa" w:w="80"/>
              <w:left w:type="dxa" w:w="100"/>
              <w:bottom w:type="dxa" w:w="80"/>
              <w:right w:type="dxa" w:w="100"/>
            </w:tcMar>
          </w:tcPr>
          <w:p>
            <w:r>
              <w:rPr>
                <w:b w:val="false"/>
                <w:bCs w:val="false"/>
                <w:sz w:val="20"/>
                <w:szCs w:val="20"/>
              </w:rPr>
              <w:t xml:space="preserve">bigserial, PK</w:t>
            </w:r>
          </w:p>
        </w:tc>
        <w:tc>
          <w:tcPr>
            <w:tcW w:type="dxa" w:w="4360"/>
            <w:tcMar>
              <w:top w:type="dxa" w:w="80"/>
              <w:left w:type="dxa" w:w="100"/>
              <w:bottom w:type="dxa" w:w="80"/>
              <w:right w:type="dxa" w:w="100"/>
            </w:tcMar>
          </w:tcPr>
          <w:p>
            <w:r>
              <w:rPr>
                <w:b w:val="false"/>
                <w:bCs w:val="false"/>
                <w:sz w:val="20"/>
                <w:szCs w:val="20"/>
              </w:rPr>
              <w:t xml:space="preserve">Append-only; no UPDATE/DELETE grants for the app role</w:t>
            </w:r>
          </w:p>
        </w:tc>
      </w:tr>
      <w:tr>
        <w:tc>
          <w:tcPr>
            <w:tcW w:type="dxa" w:w="2400"/>
            <w:tcMar>
              <w:top w:type="dxa" w:w="80"/>
              <w:left w:type="dxa" w:w="100"/>
              <w:bottom w:type="dxa" w:w="80"/>
              <w:right w:type="dxa" w:w="100"/>
            </w:tcMar>
          </w:tcPr>
          <w:p>
            <w:r>
              <w:rPr>
                <w:b w:val="false"/>
                <w:bCs w:val="false"/>
                <w:sz w:val="20"/>
                <w:szCs w:val="20"/>
              </w:rPr>
              <w:t xml:space="preserve">wallet_id</w:t>
            </w:r>
          </w:p>
        </w:tc>
        <w:tc>
          <w:tcPr>
            <w:tcW w:type="dxa" w:w="2600"/>
            <w:tcMar>
              <w:top w:type="dxa" w:w="80"/>
              <w:left w:type="dxa" w:w="100"/>
              <w:bottom w:type="dxa" w:w="80"/>
              <w:right w:type="dxa" w:w="100"/>
            </w:tcMar>
          </w:tcPr>
          <w:p>
            <w:r>
              <w:rPr>
                <w:b w:val="false"/>
                <w:bCs w:val="false"/>
                <w:sz w:val="20"/>
                <w:szCs w:val="20"/>
              </w:rPr>
              <w:t xml:space="preserve">UUID, FK → wallets</w:t>
            </w:r>
          </w:p>
        </w:tc>
        <w:tc>
          <w:tcPr>
            <w:tcW w:type="dxa" w:w="4360"/>
            <w:tcMar>
              <w:top w:type="dxa" w:w="80"/>
              <w:left w:type="dxa" w:w="100"/>
              <w:bottom w:type="dxa" w:w="80"/>
              <w:right w:type="dxa" w:w="100"/>
            </w:tcMar>
          </w:tcPr>
          <w:p>
            <w:r>
              <w:rPr>
                <w:b w:val="false"/>
                <w:bCs w:val="false"/>
                <w:sz w:val="20"/>
                <w:szCs w:val="20"/>
              </w:rPr>
              <w:t xml:space="preserve"/>
            </w:r>
          </w:p>
        </w:tc>
      </w:tr>
      <w:tr>
        <w:tc>
          <w:tcPr>
            <w:tcW w:type="dxa" w:w="2400"/>
            <w:tcMar>
              <w:top w:type="dxa" w:w="80"/>
              <w:left w:type="dxa" w:w="100"/>
              <w:bottom w:type="dxa" w:w="80"/>
              <w:right w:type="dxa" w:w="100"/>
            </w:tcMar>
          </w:tcPr>
          <w:p>
            <w:r>
              <w:rPr>
                <w:b w:val="false"/>
                <w:bCs w:val="false"/>
                <w:sz w:val="20"/>
                <w:szCs w:val="20"/>
              </w:rPr>
              <w:t xml:space="preserve">tx_type</w:t>
            </w:r>
          </w:p>
        </w:tc>
        <w:tc>
          <w:tcPr>
            <w:tcW w:type="dxa" w:w="2600"/>
            <w:tcMar>
              <w:top w:type="dxa" w:w="80"/>
              <w:left w:type="dxa" w:w="100"/>
              <w:bottom w:type="dxa" w:w="80"/>
              <w:right w:type="dxa" w:w="100"/>
            </w:tcMar>
          </w:tcPr>
          <w:p>
            <w:r>
              <w:rPr>
                <w:b w:val="false"/>
                <w:bCs w:val="false"/>
                <w:sz w:val="20"/>
                <w:szCs w:val="20"/>
              </w:rPr>
              <w:t xml:space="preserve">enum: deposit/withdrawal/conversion_debit/conversion_credit/fee/adjustment</w:t>
            </w:r>
          </w:p>
        </w:tc>
        <w:tc>
          <w:tcPr>
            <w:tcW w:type="dxa" w:w="4360"/>
            <w:tcMar>
              <w:top w:type="dxa" w:w="80"/>
              <w:left w:type="dxa" w:w="100"/>
              <w:bottom w:type="dxa" w:w="80"/>
              <w:right w:type="dxa" w:w="100"/>
            </w:tcMar>
          </w:tcPr>
          <w:p>
            <w:r>
              <w:rPr>
                <w:b w:val="false"/>
                <w:bCs w:val="false"/>
                <w:sz w:val="20"/>
                <w:szCs w:val="20"/>
              </w:rPr>
              <w:t xml:space="preserve"/>
            </w:r>
          </w:p>
        </w:tc>
      </w:tr>
      <w:tr>
        <w:tc>
          <w:tcPr>
            <w:tcW w:type="dxa" w:w="2400"/>
            <w:tcMar>
              <w:top w:type="dxa" w:w="80"/>
              <w:left w:type="dxa" w:w="100"/>
              <w:bottom w:type="dxa" w:w="80"/>
              <w:right w:type="dxa" w:w="100"/>
            </w:tcMar>
          </w:tcPr>
          <w:p>
            <w:r>
              <w:rPr>
                <w:b w:val="false"/>
                <w:bCs w:val="false"/>
                <w:sz w:val="20"/>
                <w:szCs w:val="20"/>
              </w:rPr>
              <w:t xml:space="preserve">amount</w:t>
            </w:r>
          </w:p>
        </w:tc>
        <w:tc>
          <w:tcPr>
            <w:tcW w:type="dxa" w:w="2600"/>
            <w:tcMar>
              <w:top w:type="dxa" w:w="80"/>
              <w:left w:type="dxa" w:w="100"/>
              <w:bottom w:type="dxa" w:w="80"/>
              <w:right w:type="dxa" w:w="100"/>
            </w:tcMar>
          </w:tcPr>
          <w:p>
            <w:r>
              <w:rPr>
                <w:b w:val="false"/>
                <w:bCs w:val="false"/>
                <w:sz w:val="20"/>
                <w:szCs w:val="20"/>
              </w:rPr>
              <w:t xml:space="preserve">numeric(28,10)</w:t>
            </w:r>
          </w:p>
        </w:tc>
        <w:tc>
          <w:tcPr>
            <w:tcW w:type="dxa" w:w="4360"/>
            <w:tcMar>
              <w:top w:type="dxa" w:w="80"/>
              <w:left w:type="dxa" w:w="100"/>
              <w:bottom w:type="dxa" w:w="80"/>
              <w:right w:type="dxa" w:w="100"/>
            </w:tcMar>
          </w:tcPr>
          <w:p>
            <w:r>
              <w:rPr>
                <w:b w:val="false"/>
                <w:bCs w:val="false"/>
                <w:sz w:val="20"/>
                <w:szCs w:val="20"/>
              </w:rPr>
              <w:t xml:space="preserve">High precision to accommodate crypto decimal places</w:t>
            </w:r>
          </w:p>
        </w:tc>
      </w:tr>
      <w:tr>
        <w:tc>
          <w:tcPr>
            <w:tcW w:type="dxa" w:w="2400"/>
            <w:tcMar>
              <w:top w:type="dxa" w:w="80"/>
              <w:left w:type="dxa" w:w="100"/>
              <w:bottom w:type="dxa" w:w="80"/>
              <w:right w:type="dxa" w:w="100"/>
            </w:tcMar>
          </w:tcPr>
          <w:p>
            <w:r>
              <w:rPr>
                <w:b w:val="false"/>
                <w:bCs w:val="false"/>
                <w:sz w:val="20"/>
                <w:szCs w:val="20"/>
              </w:rPr>
              <w:t xml:space="preserve">balance_after</w:t>
            </w:r>
          </w:p>
        </w:tc>
        <w:tc>
          <w:tcPr>
            <w:tcW w:type="dxa" w:w="2600"/>
            <w:tcMar>
              <w:top w:type="dxa" w:w="80"/>
              <w:left w:type="dxa" w:w="100"/>
              <w:bottom w:type="dxa" w:w="80"/>
              <w:right w:type="dxa" w:w="100"/>
            </w:tcMar>
          </w:tcPr>
          <w:p>
            <w:r>
              <w:rPr>
                <w:b w:val="false"/>
                <w:bCs w:val="false"/>
                <w:sz w:val="20"/>
                <w:szCs w:val="20"/>
              </w:rPr>
              <w:t xml:space="preserve">numeric(28,10)</w:t>
            </w:r>
          </w:p>
        </w:tc>
        <w:tc>
          <w:tcPr>
            <w:tcW w:type="dxa" w:w="4360"/>
            <w:tcMar>
              <w:top w:type="dxa" w:w="80"/>
              <w:left w:type="dxa" w:w="100"/>
              <w:bottom w:type="dxa" w:w="80"/>
              <w:right w:type="dxa" w:w="100"/>
            </w:tcMar>
          </w:tcPr>
          <w:p>
            <w:r>
              <w:rPr>
                <w:b w:val="false"/>
                <w:bCs w:val="false"/>
                <w:sz w:val="20"/>
                <w:szCs w:val="20"/>
              </w:rPr>
              <w:t xml:space="preserve">Denormalized for fast history reads; recomputable from full history if ever in doubt</w:t>
            </w:r>
          </w:p>
        </w:tc>
      </w:tr>
      <w:tr>
        <w:tc>
          <w:tcPr>
            <w:tcW w:type="dxa" w:w="2400"/>
            <w:tcMar>
              <w:top w:type="dxa" w:w="80"/>
              <w:left w:type="dxa" w:w="100"/>
              <w:bottom w:type="dxa" w:w="80"/>
              <w:right w:type="dxa" w:w="100"/>
            </w:tcMar>
          </w:tcPr>
          <w:p>
            <w:r>
              <w:rPr>
                <w:b w:val="false"/>
                <w:bCs w:val="false"/>
                <w:sz w:val="20"/>
                <w:szCs w:val="20"/>
              </w:rPr>
              <w:t xml:space="preserve">ref_id</w:t>
            </w:r>
          </w:p>
        </w:tc>
        <w:tc>
          <w:tcPr>
            <w:tcW w:type="dxa" w:w="2600"/>
            <w:tcMar>
              <w:top w:type="dxa" w:w="80"/>
              <w:left w:type="dxa" w:w="100"/>
              <w:bottom w:type="dxa" w:w="80"/>
              <w:right w:type="dxa" w:w="100"/>
            </w:tcMar>
          </w:tcPr>
          <w:p>
            <w:r>
              <w:rPr>
                <w:b w:val="false"/>
                <w:bCs w:val="false"/>
                <w:sz w:val="20"/>
                <w:szCs w:val="20"/>
              </w:rPr>
              <w:t xml:space="preserve">UUID</w:t>
            </w:r>
          </w:p>
        </w:tc>
        <w:tc>
          <w:tcPr>
            <w:tcW w:type="dxa" w:w="4360"/>
            <w:tcMar>
              <w:top w:type="dxa" w:w="80"/>
              <w:left w:type="dxa" w:w="100"/>
              <w:bottom w:type="dxa" w:w="80"/>
              <w:right w:type="dxa" w:w="100"/>
            </w:tcMar>
          </w:tcPr>
          <w:p>
            <w:r>
              <w:rPr>
                <w:b w:val="false"/>
                <w:bCs w:val="false"/>
                <w:sz w:val="20"/>
                <w:szCs w:val="20"/>
              </w:rPr>
              <w:t xml:space="preserve">Points to the originating transaction, conversion, or payment record</w:t>
            </w:r>
          </w:p>
        </w:tc>
      </w:tr>
      <w:tr>
        <w:tc>
          <w:tcPr>
            <w:tcW w:type="dxa" w:w="2400"/>
            <w:tcMar>
              <w:top w:type="dxa" w:w="80"/>
              <w:left w:type="dxa" w:w="100"/>
              <w:bottom w:type="dxa" w:w="80"/>
              <w:right w:type="dxa" w:w="100"/>
            </w:tcMar>
          </w:tcPr>
          <w:p>
            <w:r>
              <w:rPr>
                <w:b w:val="false"/>
                <w:bCs w:val="false"/>
                <w:sz w:val="20"/>
                <w:szCs w:val="20"/>
              </w:rPr>
              <w:t xml:space="preserve">created_at</w:t>
            </w:r>
          </w:p>
        </w:tc>
        <w:tc>
          <w:tcPr>
            <w:tcW w:type="dxa" w:w="2600"/>
            <w:tcMar>
              <w:top w:type="dxa" w:w="80"/>
              <w:left w:type="dxa" w:w="100"/>
              <w:bottom w:type="dxa" w:w="80"/>
              <w:right w:type="dxa" w:w="100"/>
            </w:tcMar>
          </w:tcPr>
          <w:p>
            <w:r>
              <w:rPr>
                <w:b w:val="false"/>
                <w:bCs w:val="false"/>
                <w:sz w:val="20"/>
                <w:szCs w:val="20"/>
              </w:rPr>
              <w:t xml:space="preserve">timestamptz</w:t>
            </w:r>
          </w:p>
        </w:tc>
        <w:tc>
          <w:tcPr>
            <w:tcW w:type="dxa" w:w="4360"/>
            <w:tcMar>
              <w:top w:type="dxa" w:w="80"/>
              <w:left w:type="dxa" w:w="100"/>
              <w:bottom w:type="dxa" w:w="80"/>
              <w:right w:type="dxa" w:w="100"/>
            </w:tcMar>
          </w:tcPr>
          <w:p>
            <w:r>
              <w:rPr>
                <w:b w:val="false"/>
                <w:bCs w:val="false"/>
                <w:sz w:val="20"/>
                <w:szCs w:val="20"/>
              </w:rPr>
              <w:t xml:space="preserve">Immutable — the only timestamp this table ever needs</w:t>
            </w:r>
          </w:p>
        </w:tc>
      </w:tr>
    </w:tbl>
    <w:p>
      <w:pPr>
        <w:pStyle w:val="Heading2"/>
        <w:spacing w:after="160" w:before="360"/>
      </w:pPr>
      <w:r>
        <w:t xml:space="preserve">25.4 compliance_holds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shd w:fill="1F3864" w:color="auto" w:val="clear"/>
            <w:tcMar>
              <w:top w:type="dxa" w:w="80"/>
              <w:left w:type="dxa" w:w="100"/>
              <w:bottom w:type="dxa" w:w="80"/>
              <w:right w:type="dxa" w:w="100"/>
            </w:tcMar>
          </w:tcPr>
          <w:p>
            <w:r>
              <w:rPr>
                <w:b/>
                <w:bCs/>
                <w:color w:val="FFFFFF"/>
                <w:sz w:val="20"/>
                <w:szCs w:val="20"/>
              </w:rPr>
              <w:t xml:space="preserve">Field</w:t>
            </w:r>
          </w:p>
        </w:tc>
        <w:tc>
          <w:tcPr>
            <w:tcW w:type="dxa" w:w="2600"/>
            <w:shd w:fill="1F3864" w:color="auto" w:val="clear"/>
            <w:tcMar>
              <w:top w:type="dxa" w:w="80"/>
              <w:left w:type="dxa" w:w="100"/>
              <w:bottom w:type="dxa" w:w="80"/>
              <w:right w:type="dxa" w:w="100"/>
            </w:tcMar>
          </w:tcPr>
          <w:p>
            <w:r>
              <w:rPr>
                <w:b/>
                <w:bCs/>
                <w:color w:val="FFFFFF"/>
                <w:sz w:val="20"/>
                <w:szCs w:val="20"/>
              </w:rPr>
              <w:t xml:space="preserve">Type</w:t>
            </w:r>
          </w:p>
        </w:tc>
        <w:tc>
          <w:tcPr>
            <w:tcW w:type="dxa" w:w="4360"/>
            <w:shd w:fill="1F3864" w:color="auto" w:val="clear"/>
            <w:tcMar>
              <w:top w:type="dxa" w:w="80"/>
              <w:left w:type="dxa" w:w="100"/>
              <w:bottom w:type="dxa" w:w="80"/>
              <w:right w:type="dxa" w:w="100"/>
            </w:tcMar>
          </w:tcPr>
          <w:p>
            <w:r>
              <w:rPr>
                <w:b/>
                <w:bCs/>
                <w:color w:val="FFFFFF"/>
                <w:sz w:val="20"/>
                <w:szCs w:val="20"/>
              </w:rPr>
              <w:t xml:space="preserve">Notes</w:t>
            </w:r>
          </w:p>
        </w:tc>
      </w:tr>
      <w:tr>
        <w:tc>
          <w:tcPr>
            <w:tcW w:type="dxa" w:w="2400"/>
            <w:tcMar>
              <w:top w:type="dxa" w:w="80"/>
              <w:left w:type="dxa" w:w="100"/>
              <w:bottom w:type="dxa" w:w="80"/>
              <w:right w:type="dxa" w:w="100"/>
            </w:tcMar>
          </w:tcPr>
          <w:p>
            <w:r>
              <w:rPr>
                <w:b w:val="false"/>
                <w:bCs w:val="false"/>
                <w:sz w:val="20"/>
                <w:szCs w:val="20"/>
              </w:rPr>
              <w:t xml:space="preserve">id</w:t>
            </w:r>
          </w:p>
        </w:tc>
        <w:tc>
          <w:tcPr>
            <w:tcW w:type="dxa" w:w="2600"/>
            <w:tcMar>
              <w:top w:type="dxa" w:w="80"/>
              <w:left w:type="dxa" w:w="100"/>
              <w:bottom w:type="dxa" w:w="80"/>
              <w:right w:type="dxa" w:w="100"/>
            </w:tcMar>
          </w:tcPr>
          <w:p>
            <w:r>
              <w:rPr>
                <w:b w:val="false"/>
                <w:bCs w:val="false"/>
                <w:sz w:val="20"/>
                <w:szCs w:val="20"/>
              </w:rPr>
              <w:t xml:space="preserve">UUID, PK</w:t>
            </w:r>
          </w:p>
        </w:tc>
        <w:tc>
          <w:tcPr>
            <w:tcW w:type="dxa" w:w="4360"/>
            <w:tcMar>
              <w:top w:type="dxa" w:w="80"/>
              <w:left w:type="dxa" w:w="100"/>
              <w:bottom w:type="dxa" w:w="80"/>
              <w:right w:type="dxa" w:w="100"/>
            </w:tcMar>
          </w:tcPr>
          <w:p>
            <w:r>
              <w:rPr>
                <w:b w:val="false"/>
                <w:bCs w:val="false"/>
                <w:sz w:val="20"/>
                <w:szCs w:val="20"/>
              </w:rPr>
              <w:t xml:space="preserve"/>
            </w:r>
          </w:p>
        </w:tc>
      </w:tr>
      <w:tr>
        <w:tc>
          <w:tcPr>
            <w:tcW w:type="dxa" w:w="2400"/>
            <w:tcMar>
              <w:top w:type="dxa" w:w="80"/>
              <w:left w:type="dxa" w:w="100"/>
              <w:bottom w:type="dxa" w:w="80"/>
              <w:right w:type="dxa" w:w="100"/>
            </w:tcMar>
          </w:tcPr>
          <w:p>
            <w:r>
              <w:rPr>
                <w:b w:val="false"/>
                <w:bCs w:val="false"/>
                <w:sz w:val="20"/>
                <w:szCs w:val="20"/>
              </w:rPr>
              <w:t xml:space="preserve">transaction_ref</w:t>
            </w:r>
          </w:p>
        </w:tc>
        <w:tc>
          <w:tcPr>
            <w:tcW w:type="dxa" w:w="2600"/>
            <w:tcMar>
              <w:top w:type="dxa" w:w="80"/>
              <w:left w:type="dxa" w:w="100"/>
              <w:bottom w:type="dxa" w:w="80"/>
              <w:right w:type="dxa" w:w="100"/>
            </w:tcMar>
          </w:tcPr>
          <w:p>
            <w:r>
              <w:rPr>
                <w:b w:val="false"/>
                <w:bCs w:val="false"/>
                <w:sz w:val="20"/>
                <w:szCs w:val="20"/>
              </w:rPr>
              <w:t xml:space="preserve">UUID</w:t>
            </w:r>
          </w:p>
        </w:tc>
        <w:tc>
          <w:tcPr>
            <w:tcW w:type="dxa" w:w="4360"/>
            <w:tcMar>
              <w:top w:type="dxa" w:w="80"/>
              <w:left w:type="dxa" w:w="100"/>
              <w:bottom w:type="dxa" w:w="80"/>
              <w:right w:type="dxa" w:w="100"/>
            </w:tcMar>
          </w:tcPr>
          <w:p>
            <w:r>
              <w:rPr>
                <w:b w:val="false"/>
                <w:bCs w:val="false"/>
                <w:sz w:val="20"/>
                <w:szCs w:val="20"/>
              </w:rPr>
              <w:t xml:space="preserve">Points to the held deposit/withdrawal/conversion</w:t>
            </w:r>
          </w:p>
        </w:tc>
      </w:tr>
      <w:tr>
        <w:tc>
          <w:tcPr>
            <w:tcW w:type="dxa" w:w="2400"/>
            <w:tcMar>
              <w:top w:type="dxa" w:w="80"/>
              <w:left w:type="dxa" w:w="100"/>
              <w:bottom w:type="dxa" w:w="80"/>
              <w:right w:type="dxa" w:w="100"/>
            </w:tcMar>
          </w:tcPr>
          <w:p>
            <w:r>
              <w:rPr>
                <w:b w:val="false"/>
                <w:bCs w:val="false"/>
                <w:sz w:val="20"/>
                <w:szCs w:val="20"/>
              </w:rPr>
              <w:t xml:space="preserve">threshold_rule_id</w:t>
            </w:r>
          </w:p>
        </w:tc>
        <w:tc>
          <w:tcPr>
            <w:tcW w:type="dxa" w:w="2600"/>
            <w:tcMar>
              <w:top w:type="dxa" w:w="80"/>
              <w:left w:type="dxa" w:w="100"/>
              <w:bottom w:type="dxa" w:w="80"/>
              <w:right w:type="dxa" w:w="100"/>
            </w:tcMar>
          </w:tcPr>
          <w:p>
            <w:r>
              <w:rPr>
                <w:b w:val="false"/>
                <w:bCs w:val="false"/>
                <w:sz w:val="20"/>
                <w:szCs w:val="20"/>
              </w:rPr>
              <w:t xml:space="preserve">UUID, FK → compliance_rules</w:t>
            </w:r>
          </w:p>
        </w:tc>
        <w:tc>
          <w:tcPr>
            <w:tcW w:type="dxa" w:w="4360"/>
            <w:tcMar>
              <w:top w:type="dxa" w:w="80"/>
              <w:left w:type="dxa" w:w="100"/>
              <w:bottom w:type="dxa" w:w="80"/>
              <w:right w:type="dxa" w:w="100"/>
            </w:tcMar>
          </w:tcPr>
          <w:p>
            <w:r>
              <w:rPr>
                <w:b w:val="false"/>
                <w:bCs w:val="false"/>
                <w:sz w:val="20"/>
                <w:szCs w:val="20"/>
              </w:rPr>
              <w:t xml:space="preserve">Configurable, not hardcoded (REQ-013)</w:t>
            </w:r>
          </w:p>
        </w:tc>
      </w:tr>
      <w:tr>
        <w:tc>
          <w:tcPr>
            <w:tcW w:type="dxa" w:w="2400"/>
            <w:tcMar>
              <w:top w:type="dxa" w:w="80"/>
              <w:left w:type="dxa" w:w="100"/>
              <w:bottom w:type="dxa" w:w="80"/>
              <w:right w:type="dxa" w:w="100"/>
            </w:tcMar>
          </w:tcPr>
          <w:p>
            <w:r>
              <w:rPr>
                <w:b w:val="false"/>
                <w:bCs w:val="false"/>
                <w:sz w:val="20"/>
                <w:szCs w:val="20"/>
              </w:rPr>
              <w:t xml:space="preserve">status</w:t>
            </w:r>
          </w:p>
        </w:tc>
        <w:tc>
          <w:tcPr>
            <w:tcW w:type="dxa" w:w="2600"/>
            <w:tcMar>
              <w:top w:type="dxa" w:w="80"/>
              <w:left w:type="dxa" w:w="100"/>
              <w:bottom w:type="dxa" w:w="80"/>
              <w:right w:type="dxa" w:w="100"/>
            </w:tcMar>
          </w:tcPr>
          <w:p>
            <w:r>
              <w:rPr>
                <w:b w:val="false"/>
                <w:bCs w:val="false"/>
                <w:sz w:val="20"/>
                <w:szCs w:val="20"/>
              </w:rPr>
              <w:t xml:space="preserve">enum: held/approved/rejected/escalated</w:t>
            </w:r>
          </w:p>
        </w:tc>
        <w:tc>
          <w:tcPr>
            <w:tcW w:type="dxa" w:w="4360"/>
            <w:tcMar>
              <w:top w:type="dxa" w:w="80"/>
              <w:left w:type="dxa" w:w="100"/>
              <w:bottom w:type="dxa" w:w="80"/>
              <w:right w:type="dxa" w:w="100"/>
            </w:tcMar>
          </w:tcPr>
          <w:p>
            <w:r>
              <w:rPr>
                <w:b w:val="false"/>
                <w:bCs w:val="false"/>
                <w:sz w:val="20"/>
                <w:szCs w:val="20"/>
              </w:rPr>
              <w:t xml:space="preserve"/>
            </w:r>
          </w:p>
        </w:tc>
      </w:tr>
      <w:tr>
        <w:tc>
          <w:tcPr>
            <w:tcW w:type="dxa" w:w="2400"/>
            <w:tcMar>
              <w:top w:type="dxa" w:w="80"/>
              <w:left w:type="dxa" w:w="100"/>
              <w:bottom w:type="dxa" w:w="80"/>
              <w:right w:type="dxa" w:w="100"/>
            </w:tcMar>
          </w:tcPr>
          <w:p>
            <w:r>
              <w:rPr>
                <w:b w:val="false"/>
                <w:bCs w:val="false"/>
                <w:sz w:val="20"/>
                <w:szCs w:val="20"/>
              </w:rPr>
              <w:t xml:space="preserve">decided_by</w:t>
            </w:r>
          </w:p>
        </w:tc>
        <w:tc>
          <w:tcPr>
            <w:tcW w:type="dxa" w:w="2600"/>
            <w:tcMar>
              <w:top w:type="dxa" w:w="80"/>
              <w:left w:type="dxa" w:w="100"/>
              <w:bottom w:type="dxa" w:w="80"/>
              <w:right w:type="dxa" w:w="100"/>
            </w:tcMar>
          </w:tcPr>
          <w:p>
            <w:r>
              <w:rPr>
                <w:b w:val="false"/>
                <w:bCs w:val="false"/>
                <w:sz w:val="20"/>
                <w:szCs w:val="20"/>
              </w:rPr>
              <w:t xml:space="preserve">UUID, FK → users (staff)</w:t>
            </w:r>
          </w:p>
        </w:tc>
        <w:tc>
          <w:tcPr>
            <w:tcW w:type="dxa" w:w="4360"/>
            <w:tcMar>
              <w:top w:type="dxa" w:w="80"/>
              <w:left w:type="dxa" w:w="100"/>
              <w:bottom w:type="dxa" w:w="80"/>
              <w:right w:type="dxa" w:w="100"/>
            </w:tcMar>
          </w:tcPr>
          <w:p>
            <w:r>
              <w:rPr>
                <w:b w:val="false"/>
                <w:bCs w:val="false"/>
                <w:sz w:val="20"/>
                <w:szCs w:val="20"/>
              </w:rPr>
              <w:t xml:space="preserve">Nullable until decided</w:t>
            </w:r>
          </w:p>
        </w:tc>
      </w:tr>
      <w:tr>
        <w:tc>
          <w:tcPr>
            <w:tcW w:type="dxa" w:w="2400"/>
            <w:tcMar>
              <w:top w:type="dxa" w:w="80"/>
              <w:left w:type="dxa" w:w="100"/>
              <w:bottom w:type="dxa" w:w="80"/>
              <w:right w:type="dxa" w:w="100"/>
            </w:tcMar>
          </w:tcPr>
          <w:p>
            <w:r>
              <w:rPr>
                <w:b w:val="false"/>
                <w:bCs w:val="false"/>
                <w:sz w:val="20"/>
                <w:szCs w:val="20"/>
              </w:rPr>
              <w:t xml:space="preserve">decision_notes</w:t>
            </w:r>
          </w:p>
        </w:tc>
        <w:tc>
          <w:tcPr>
            <w:tcW w:type="dxa" w:w="2600"/>
            <w:tcMar>
              <w:top w:type="dxa" w:w="80"/>
              <w:left w:type="dxa" w:w="100"/>
              <w:bottom w:type="dxa" w:w="80"/>
              <w:right w:type="dxa" w:w="100"/>
            </w:tcMar>
          </w:tcPr>
          <w:p>
            <w:r>
              <w:rPr>
                <w:b w:val="false"/>
                <w:bCs w:val="false"/>
                <w:sz w:val="20"/>
                <w:szCs w:val="20"/>
              </w:rPr>
              <w:t xml:space="preserve">text, nullable</w:t>
            </w:r>
          </w:p>
        </w:tc>
        <w:tc>
          <w:tcPr>
            <w:tcW w:type="dxa" w:w="4360"/>
            <w:tcMar>
              <w:top w:type="dxa" w:w="80"/>
              <w:left w:type="dxa" w:w="100"/>
              <w:bottom w:type="dxa" w:w="80"/>
              <w:right w:type="dxa" w:w="100"/>
            </w:tcMar>
          </w:tcPr>
          <w:p>
            <w:r>
              <w:rPr>
                <w:b w:val="false"/>
                <w:bCs w:val="false"/>
                <w:sz w:val="20"/>
                <w:szCs w:val="20"/>
              </w:rPr>
              <w:t xml:space="preserve"/>
            </w:r>
          </w:p>
        </w:tc>
      </w:tr>
      <w:tr>
        <w:tc>
          <w:tcPr>
            <w:tcW w:type="dxa" w:w="2400"/>
            <w:tcMar>
              <w:top w:type="dxa" w:w="80"/>
              <w:left w:type="dxa" w:w="100"/>
              <w:bottom w:type="dxa" w:w="80"/>
              <w:right w:type="dxa" w:w="100"/>
            </w:tcMar>
          </w:tcPr>
          <w:p>
            <w:r>
              <w:rPr>
                <w:b w:val="false"/>
                <w:bCs w:val="false"/>
                <w:sz w:val="20"/>
                <w:szCs w:val="20"/>
              </w:rPr>
              <w:t xml:space="preserve">created_at / decided_at</w:t>
            </w:r>
          </w:p>
        </w:tc>
        <w:tc>
          <w:tcPr>
            <w:tcW w:type="dxa" w:w="2600"/>
            <w:tcMar>
              <w:top w:type="dxa" w:w="80"/>
              <w:left w:type="dxa" w:w="100"/>
              <w:bottom w:type="dxa" w:w="80"/>
              <w:right w:type="dxa" w:w="100"/>
            </w:tcMar>
          </w:tcPr>
          <w:p>
            <w:r>
              <w:rPr>
                <w:b w:val="false"/>
                <w:bCs w:val="false"/>
                <w:sz w:val="20"/>
                <w:szCs w:val="20"/>
              </w:rPr>
              <w:t xml:space="preserve">timestamptz</w:t>
            </w:r>
          </w:p>
        </w:tc>
        <w:tc>
          <w:tcPr>
            <w:tcW w:type="dxa" w:w="4360"/>
            <w:tcMar>
              <w:top w:type="dxa" w:w="80"/>
              <w:left w:type="dxa" w:w="100"/>
              <w:bottom w:type="dxa" w:w="80"/>
              <w:right w:type="dxa" w:w="100"/>
            </w:tcMar>
          </w:tcPr>
          <w:p>
            <w:r>
              <w:rPr>
                <w:b w:val="false"/>
                <w:bCs w:val="false"/>
                <w:sz w:val="20"/>
                <w:szCs w:val="20"/>
              </w:rPr>
              <w:t xml:space="preserve"/>
            </w:r>
          </w:p>
        </w:tc>
      </w:tr>
    </w:tbl>
    <w:p>
      <w:pPr>
        <w:pStyle w:val="Heading1"/>
        <w:spacing w:after="240" w:before="480"/>
      </w:pPr>
      <w:r>
        <w:t xml:space="preserve">26. Infrastructure and Cost Considerations</w:t>
      </w:r>
    </w:p>
    <w:p>
      <w:pPr>
        <w:spacing w:after="200" w:line="300"/>
        <w:jc w:val="left"/>
      </w:pPr>
      <w:r>
        <w:rPr>
          <w:b w:val="false"/>
          <w:bCs w:val="false"/>
          <w:i w:val="false"/>
          <w:iCs w:val="false"/>
        </w:rPr>
        <w:t xml:space="preserve">Not a substitute for a formal costing exercise, but a directional list of the cost centers a lead engineer should flag to product/finance early, since several scale with usage rather than being fixed:</w:t>
      </w:r>
    </w:p>
    <w:p>
      <w:pPr>
        <w:pStyle w:val="ListParagraph"/>
        <w:numPr>
          <w:ilvl w:val="0"/>
          <w:numId w:val="2"/>
        </w:numPr>
        <w:spacing w:after="100"/>
      </w:pPr>
      <w:r>
        <w:t xml:space="preserve">Compute: application-tier autoscaling groups sized for the 10x headroom target (Section 10) — provision for typical load, autoscale for peaks, rather than statically provisioning for the peak at all times.</w:t>
      </w:r>
    </w:p>
    <w:p>
      <w:pPr>
        <w:pStyle w:val="ListParagraph"/>
        <w:numPr>
          <w:ilvl w:val="0"/>
          <w:numId w:val="2"/>
        </w:numPr>
        <w:spacing w:after="100"/>
      </w:pPr>
      <w:r>
        <w:t xml:space="preserve">Database: a managed PostgreSQL instance with at least one read replica from launch, given reporting queries (REQ-050, REQ-062) should not compete with transactional traffic on the primary.</w:t>
      </w:r>
    </w:p>
    <w:p>
      <w:pPr>
        <w:pStyle w:val="ListParagraph"/>
        <w:numPr>
          <w:ilvl w:val="0"/>
          <w:numId w:val="2"/>
        </w:numPr>
        <w:spacing w:after="100"/>
      </w:pPr>
      <w:r>
        <w:t xml:space="preserve">KYC vendor fees: typically charged per verification attempt — worth negotiating volume pricing ahead of a marketing-driven signup spike, and worth monitoring as a per-user cost of acquisition, not just an engineering line item.</w:t>
      </w:r>
    </w:p>
    <w:p>
      <w:pPr>
        <w:pStyle w:val="ListParagraph"/>
        <w:numPr>
          <w:ilvl w:val="0"/>
          <w:numId w:val="2"/>
        </w:numPr>
        <w:spacing w:after="100"/>
      </w:pPr>
      <w:r>
        <w:t xml:space="preserve">Payment provider fees: M-Pesa/Daraja and banking partner transaction fees are usually a percentage of transaction value — these should be reflected in the fee schedule the Conversion/Payments modules apply (Section 6.1), not absorbed silently.</w:t>
      </w:r>
    </w:p>
    <w:p>
      <w:pPr>
        <w:pStyle w:val="ListParagraph"/>
        <w:numPr>
          <w:ilvl w:val="0"/>
          <w:numId w:val="2"/>
        </w:numPr>
        <w:spacing w:after="100"/>
      </w:pPr>
      <w:r>
        <w:t xml:space="preserve">Object storage: encrypted storage for ID documents and selfies grows linearly with user count and is rarely deleted (pending the retention policy in Section 11) — budget for sustained growth, not a one-time cost.</w:t>
      </w:r>
    </w:p>
    <w:p>
      <w:pPr>
        <w:pStyle w:val="ListParagraph"/>
        <w:numPr>
          <w:ilvl w:val="0"/>
          <w:numId w:val="2"/>
        </w:numPr>
        <w:spacing w:after="100"/>
      </w:pPr>
      <w:r>
        <w:t xml:space="preserve">Observability tooling: log retention and metrics cardinality both cost money at scale; the audit log and ledger tables in particular will be large and long-lived by design (Sections 5.3, 9.2) and should be planned for cheaper long-term storage tiers rather than kept solely in hot, queryable storage indefinitely.</w:t>
      </w:r>
    </w:p>
    <w:p>
      <w:pPr>
        <w:pStyle w:val="Heading1"/>
        <w:spacing w:after="240" w:before="480"/>
      </w:pPr>
      <w:r>
        <w:t xml:space="preserve">27. Team Structure Considerations</w:t>
      </w:r>
    </w:p>
    <w:p>
      <w:pPr>
        <w:spacing w:after="200" w:line="300"/>
        <w:jc w:val="left"/>
      </w:pPr>
      <w:r>
        <w:rPr>
          <w:b w:val="false"/>
          <w:bCs w:val="false"/>
          <w:i w:val="false"/>
          <w:iCs w:val="false"/>
        </w:rPr>
        <w:t xml:space="preserve">The module boundaries in Section 2.2 map reasonably well onto small, focused engineering pods, which also keeps compliance-sensitive code reviewed by a consistent, accountable group rather than diffused across the whole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shd w:fill="1F3864" w:color="auto" w:val="clear"/>
            <w:tcMar>
              <w:top w:type="dxa" w:w="80"/>
              <w:left w:type="dxa" w:w="100"/>
              <w:bottom w:type="dxa" w:w="80"/>
              <w:right w:type="dxa" w:w="100"/>
            </w:tcMar>
          </w:tcPr>
          <w:p>
            <w:r>
              <w:rPr>
                <w:b/>
                <w:bCs/>
                <w:color w:val="FFFFFF"/>
                <w:sz w:val="20"/>
                <w:szCs w:val="20"/>
              </w:rPr>
              <w:t xml:space="preserve">Pod</w:t>
            </w:r>
          </w:p>
        </w:tc>
        <w:tc>
          <w:tcPr>
            <w:tcW w:type="dxa" w:w="4160"/>
            <w:shd w:fill="1F3864" w:color="auto" w:val="clear"/>
            <w:tcMar>
              <w:top w:type="dxa" w:w="80"/>
              <w:left w:type="dxa" w:w="100"/>
              <w:bottom w:type="dxa" w:w="80"/>
              <w:right w:type="dxa" w:w="100"/>
            </w:tcMar>
          </w:tcPr>
          <w:p>
            <w:r>
              <w:rPr>
                <w:b/>
                <w:bCs/>
                <w:color w:val="FFFFFF"/>
                <w:sz w:val="20"/>
                <w:szCs w:val="20"/>
              </w:rPr>
              <w:t xml:space="preserve">Owns</w:t>
            </w:r>
          </w:p>
        </w:tc>
        <w:tc>
          <w:tcPr>
            <w:tcW w:type="dxa" w:w="3000"/>
            <w:shd w:fill="1F3864" w:color="auto" w:val="clear"/>
            <w:tcMar>
              <w:top w:type="dxa" w:w="80"/>
              <w:left w:type="dxa" w:w="100"/>
              <w:bottom w:type="dxa" w:w="80"/>
              <w:right w:type="dxa" w:w="100"/>
            </w:tcMar>
          </w:tcPr>
          <w:p>
            <w:r>
              <w:rPr>
                <w:b/>
                <w:bCs/>
                <w:color w:val="FFFFFF"/>
                <w:sz w:val="20"/>
                <w:szCs w:val="20"/>
              </w:rPr>
              <w:t xml:space="preserve">Suggested Composition</w:t>
            </w:r>
          </w:p>
        </w:tc>
      </w:tr>
      <w:tr>
        <w:tc>
          <w:tcPr>
            <w:tcW w:type="dxa" w:w="2200"/>
            <w:tcMar>
              <w:top w:type="dxa" w:w="80"/>
              <w:left w:type="dxa" w:w="100"/>
              <w:bottom w:type="dxa" w:w="80"/>
              <w:right w:type="dxa" w:w="100"/>
            </w:tcMar>
          </w:tcPr>
          <w:p>
            <w:r>
              <w:rPr>
                <w:b w:val="false"/>
                <w:bCs w:val="false"/>
                <w:sz w:val="20"/>
                <w:szCs w:val="20"/>
              </w:rPr>
              <w:t xml:space="preserve">Platform</w:t>
            </w:r>
          </w:p>
        </w:tc>
        <w:tc>
          <w:tcPr>
            <w:tcW w:type="dxa" w:w="4160"/>
            <w:tcMar>
              <w:top w:type="dxa" w:w="80"/>
              <w:left w:type="dxa" w:w="100"/>
              <w:bottom w:type="dxa" w:w="80"/>
              <w:right w:type="dxa" w:w="100"/>
            </w:tcMar>
          </w:tcPr>
          <w:p>
            <w:r>
              <w:rPr>
                <w:b w:val="false"/>
                <w:bCs w:val="false"/>
                <w:sz w:val="20"/>
                <w:szCs w:val="20"/>
              </w:rPr>
              <w:t xml:space="preserve">Identity &amp; Access, infra, CI/CD, observability</w:t>
            </w:r>
          </w:p>
        </w:tc>
        <w:tc>
          <w:tcPr>
            <w:tcW w:type="dxa" w:w="3000"/>
            <w:tcMar>
              <w:top w:type="dxa" w:w="80"/>
              <w:left w:type="dxa" w:w="100"/>
              <w:bottom w:type="dxa" w:w="80"/>
              <w:right w:type="dxa" w:w="100"/>
            </w:tcMar>
          </w:tcPr>
          <w:p>
            <w:r>
              <w:rPr>
                <w:b w:val="false"/>
                <w:bCs w:val="false"/>
                <w:sz w:val="20"/>
                <w:szCs w:val="20"/>
              </w:rPr>
              <w:t xml:space="preserve">2–3 backend engineers, 1 DevOps/SRE</w:t>
            </w:r>
          </w:p>
        </w:tc>
      </w:tr>
      <w:tr>
        <w:tc>
          <w:tcPr>
            <w:tcW w:type="dxa" w:w="2200"/>
            <w:tcMar>
              <w:top w:type="dxa" w:w="80"/>
              <w:left w:type="dxa" w:w="100"/>
              <w:bottom w:type="dxa" w:w="80"/>
              <w:right w:type="dxa" w:w="100"/>
            </w:tcMar>
          </w:tcPr>
          <w:p>
            <w:r>
              <w:rPr>
                <w:b w:val="false"/>
                <w:bCs w:val="false"/>
                <w:sz w:val="20"/>
                <w:szCs w:val="20"/>
              </w:rPr>
              <w:t xml:space="preserve">Trust &amp; Safety</w:t>
            </w:r>
          </w:p>
        </w:tc>
        <w:tc>
          <w:tcPr>
            <w:tcW w:type="dxa" w:w="4160"/>
            <w:tcMar>
              <w:top w:type="dxa" w:w="80"/>
              <w:left w:type="dxa" w:w="100"/>
              <w:bottom w:type="dxa" w:w="80"/>
              <w:right w:type="dxa" w:w="100"/>
            </w:tcMar>
          </w:tcPr>
          <w:p>
            <w:r>
              <w:rPr>
                <w:b w:val="false"/>
                <w:bCs w:val="false"/>
                <w:sz w:val="20"/>
                <w:szCs w:val="20"/>
              </w:rPr>
              <w:t xml:space="preserve">KYC, Compliance Engine, Admin Console</w:t>
            </w:r>
          </w:p>
        </w:tc>
        <w:tc>
          <w:tcPr>
            <w:tcW w:type="dxa" w:w="3000"/>
            <w:tcMar>
              <w:top w:type="dxa" w:w="80"/>
              <w:left w:type="dxa" w:w="100"/>
              <w:bottom w:type="dxa" w:w="80"/>
              <w:right w:type="dxa" w:w="100"/>
            </w:tcMar>
          </w:tcPr>
          <w:p>
            <w:r>
              <w:rPr>
                <w:b w:val="false"/>
                <w:bCs w:val="false"/>
                <w:sz w:val="20"/>
                <w:szCs w:val="20"/>
              </w:rPr>
              <w:t xml:space="preserve">2–3 backend engineers, 1 who partners closely with the Compliance Officer role</w:t>
            </w:r>
          </w:p>
        </w:tc>
      </w:tr>
      <w:tr>
        <w:tc>
          <w:tcPr>
            <w:tcW w:type="dxa" w:w="2200"/>
            <w:tcMar>
              <w:top w:type="dxa" w:w="80"/>
              <w:left w:type="dxa" w:w="100"/>
              <w:bottom w:type="dxa" w:w="80"/>
              <w:right w:type="dxa" w:w="100"/>
            </w:tcMar>
          </w:tcPr>
          <w:p>
            <w:r>
              <w:rPr>
                <w:b w:val="false"/>
                <w:bCs w:val="false"/>
                <w:sz w:val="20"/>
                <w:szCs w:val="20"/>
              </w:rPr>
              <w:t xml:space="preserve">Money Movement</w:t>
            </w:r>
          </w:p>
        </w:tc>
        <w:tc>
          <w:tcPr>
            <w:tcW w:type="dxa" w:w="4160"/>
            <w:tcMar>
              <w:top w:type="dxa" w:w="80"/>
              <w:left w:type="dxa" w:w="100"/>
              <w:bottom w:type="dxa" w:w="80"/>
              <w:right w:type="dxa" w:w="100"/>
            </w:tcMar>
          </w:tcPr>
          <w:p>
            <w:r>
              <w:rPr>
                <w:b w:val="false"/>
                <w:bCs w:val="false"/>
                <w:sz w:val="20"/>
                <w:szCs w:val="20"/>
              </w:rPr>
              <w:t xml:space="preserve">Wallet, Conversion, Payments</w:t>
            </w:r>
          </w:p>
        </w:tc>
        <w:tc>
          <w:tcPr>
            <w:tcW w:type="dxa" w:w="3000"/>
            <w:tcMar>
              <w:top w:type="dxa" w:w="80"/>
              <w:left w:type="dxa" w:w="100"/>
              <w:bottom w:type="dxa" w:w="80"/>
              <w:right w:type="dxa" w:w="100"/>
            </w:tcMar>
          </w:tcPr>
          <w:p>
            <w:r>
              <w:rPr>
                <w:b w:val="false"/>
                <w:bCs w:val="false"/>
                <w:sz w:val="20"/>
                <w:szCs w:val="20"/>
              </w:rPr>
              <w:t xml:space="preserve">2–3 backend engineers with payments/fintech experience, 1 QA focused on reconciliation correctness</w:t>
            </w:r>
          </w:p>
        </w:tc>
      </w:tr>
      <w:tr>
        <w:tc>
          <w:tcPr>
            <w:tcW w:type="dxa" w:w="2200"/>
            <w:tcMar>
              <w:top w:type="dxa" w:w="80"/>
              <w:left w:type="dxa" w:w="100"/>
              <w:bottom w:type="dxa" w:w="80"/>
              <w:right w:type="dxa" w:w="100"/>
            </w:tcMar>
          </w:tcPr>
          <w:p>
            <w:r>
              <w:rPr>
                <w:b w:val="false"/>
                <w:bCs w:val="false"/>
                <w:sz w:val="20"/>
                <w:szCs w:val="20"/>
              </w:rPr>
              <w:t xml:space="preserve">Client</w:t>
            </w:r>
          </w:p>
        </w:tc>
        <w:tc>
          <w:tcPr>
            <w:tcW w:type="dxa" w:w="4160"/>
            <w:tcMar>
              <w:top w:type="dxa" w:w="80"/>
              <w:left w:type="dxa" w:w="100"/>
              <w:bottom w:type="dxa" w:w="80"/>
              <w:right w:type="dxa" w:w="100"/>
            </w:tcMar>
          </w:tcPr>
          <w:p>
            <w:r>
              <w:rPr>
                <w:b w:val="false"/>
                <w:bCs w:val="false"/>
                <w:sz w:val="20"/>
                <w:szCs w:val="20"/>
              </w:rPr>
              <w:t xml:space="preserve">Mobile app, notification UX</w:t>
            </w:r>
          </w:p>
        </w:tc>
        <w:tc>
          <w:tcPr>
            <w:tcW w:type="dxa" w:w="3000"/>
            <w:tcMar>
              <w:top w:type="dxa" w:w="80"/>
              <w:left w:type="dxa" w:w="100"/>
              <w:bottom w:type="dxa" w:w="80"/>
              <w:right w:type="dxa" w:w="100"/>
            </w:tcMar>
          </w:tcPr>
          <w:p>
            <w:r>
              <w:rPr>
                <w:b w:val="false"/>
                <w:bCs w:val="false"/>
                <w:sz w:val="20"/>
                <w:szCs w:val="20"/>
              </w:rPr>
              <w:t xml:space="preserve">2 mobile engineers, 1 designer</w:t>
            </w:r>
          </w:p>
        </w:tc>
      </w:tr>
    </w:tbl>
    <w:p>
      <w:pPr>
        <w:spacing w:after="200" w:line="300"/>
        <w:jc w:val="left"/>
      </w:pPr>
      <w:r>
        <w:rPr>
          <w:b w:val="false"/>
          <w:bCs w:val="false"/>
          <w:i w:val="false"/>
          <w:iCs w:val="false"/>
        </w:rPr>
        <w:t xml:space="preserve">Given how much of this BRS is compliance-gated (Sections 4, 8, 9 above), it is worth having a named engineering point of contact who sits in on legal/compliance discussions from the start, rather than compliance requirements arriving at engineering secondhand after decisions are already made — misreadings of regulatory text tend to be expensive to unwind once they're built into a data model.</w:t>
      </w:r>
    </w:p>
    <w:p>
      <w:pPr>
        <w:pStyle w:val="Heading1"/>
        <w:spacing w:after="240" w:before="480"/>
      </w:pPr>
      <w:r>
        <w:t xml:space="preserve">28. Monitoring and Alerting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shd w:fill="1F3864" w:color="auto" w:val="clear"/>
            <w:tcMar>
              <w:top w:type="dxa" w:w="80"/>
              <w:left w:type="dxa" w:w="100"/>
              <w:bottom w:type="dxa" w:w="80"/>
              <w:right w:type="dxa" w:w="100"/>
            </w:tcMar>
          </w:tcPr>
          <w:p>
            <w:r>
              <w:rPr>
                <w:b/>
                <w:bCs/>
                <w:color w:val="FFFFFF"/>
                <w:sz w:val="20"/>
                <w:szCs w:val="20"/>
              </w:rPr>
              <w:t xml:space="preserve">Metric</w:t>
            </w:r>
          </w:p>
        </w:tc>
        <w:tc>
          <w:tcPr>
            <w:tcW w:type="dxa" w:w="3760"/>
            <w:shd w:fill="1F3864" w:color="auto" w:val="clear"/>
            <w:tcMar>
              <w:top w:type="dxa" w:w="80"/>
              <w:left w:type="dxa" w:w="100"/>
              <w:bottom w:type="dxa" w:w="80"/>
              <w:right w:type="dxa" w:w="100"/>
            </w:tcMar>
          </w:tcPr>
          <w:p>
            <w:r>
              <w:rPr>
                <w:b/>
                <w:bCs/>
                <w:color w:val="FFFFFF"/>
                <w:sz w:val="20"/>
                <w:szCs w:val="20"/>
              </w:rPr>
              <w:t xml:space="preserve">Why It Matters</w:t>
            </w:r>
          </w:p>
        </w:tc>
        <w:tc>
          <w:tcPr>
            <w:tcW w:type="dxa" w:w="3200"/>
            <w:shd w:fill="1F3864" w:color="auto" w:val="clear"/>
            <w:tcMar>
              <w:top w:type="dxa" w:w="80"/>
              <w:left w:type="dxa" w:w="100"/>
              <w:bottom w:type="dxa" w:w="80"/>
              <w:right w:type="dxa" w:w="100"/>
            </w:tcMar>
          </w:tcPr>
          <w:p>
            <w:r>
              <w:rPr>
                <w:b/>
                <w:bCs/>
                <w:color w:val="FFFFFF"/>
                <w:sz w:val="20"/>
                <w:szCs w:val="20"/>
              </w:rPr>
              <w:t xml:space="preserve">Suggested Alert</w:t>
            </w:r>
          </w:p>
        </w:tc>
      </w:tr>
      <w:tr>
        <w:tc>
          <w:tcPr>
            <w:tcW w:type="dxa" w:w="2400"/>
            <w:tcMar>
              <w:top w:type="dxa" w:w="80"/>
              <w:left w:type="dxa" w:w="100"/>
              <w:bottom w:type="dxa" w:w="80"/>
              <w:right w:type="dxa" w:w="100"/>
            </w:tcMar>
          </w:tcPr>
          <w:p>
            <w:r>
              <w:rPr>
                <w:b w:val="false"/>
                <w:bCs w:val="false"/>
                <w:sz w:val="20"/>
                <w:szCs w:val="20"/>
              </w:rPr>
              <w:t xml:space="preserve">API p95/p99 latency</w:t>
            </w:r>
          </w:p>
        </w:tc>
        <w:tc>
          <w:tcPr>
            <w:tcW w:type="dxa" w:w="3760"/>
            <w:tcMar>
              <w:top w:type="dxa" w:w="80"/>
              <w:left w:type="dxa" w:w="100"/>
              <w:bottom w:type="dxa" w:w="80"/>
              <w:right w:type="dxa" w:w="100"/>
            </w:tcMar>
          </w:tcPr>
          <w:p>
            <w:r>
              <w:rPr>
                <w:b w:val="false"/>
                <w:bCs w:val="false"/>
                <w:sz w:val="20"/>
                <w:szCs w:val="20"/>
              </w:rPr>
              <w:t xml:space="preserve">Directly tracks the BRS speed target</w:t>
            </w:r>
          </w:p>
        </w:tc>
        <w:tc>
          <w:tcPr>
            <w:tcW w:type="dxa" w:w="3200"/>
            <w:tcMar>
              <w:top w:type="dxa" w:w="80"/>
              <w:left w:type="dxa" w:w="100"/>
              <w:bottom w:type="dxa" w:w="80"/>
              <w:right w:type="dxa" w:w="100"/>
            </w:tcMar>
          </w:tcPr>
          <w:p>
            <w:r>
              <w:rPr>
                <w:b w:val="false"/>
                <w:bCs w:val="false"/>
                <w:sz w:val="20"/>
                <w:szCs w:val="20"/>
              </w:rPr>
              <w:t xml:space="preserve">Page if p95 exceeds ~1.2s for 5+ minutes</w:t>
            </w:r>
          </w:p>
        </w:tc>
      </w:tr>
      <w:tr>
        <w:tc>
          <w:tcPr>
            <w:tcW w:type="dxa" w:w="2400"/>
            <w:tcMar>
              <w:top w:type="dxa" w:w="80"/>
              <w:left w:type="dxa" w:w="100"/>
              <w:bottom w:type="dxa" w:w="80"/>
              <w:right w:type="dxa" w:w="100"/>
            </w:tcMar>
          </w:tcPr>
          <w:p>
            <w:r>
              <w:rPr>
                <w:b w:val="false"/>
                <w:bCs w:val="false"/>
                <w:sz w:val="20"/>
                <w:szCs w:val="20"/>
              </w:rPr>
              <w:t xml:space="preserve">Uptime / error rate</w:t>
            </w:r>
          </w:p>
        </w:tc>
        <w:tc>
          <w:tcPr>
            <w:tcW w:type="dxa" w:w="3760"/>
            <w:tcMar>
              <w:top w:type="dxa" w:w="80"/>
              <w:left w:type="dxa" w:w="100"/>
              <w:bottom w:type="dxa" w:w="80"/>
              <w:right w:type="dxa" w:w="100"/>
            </w:tcMar>
          </w:tcPr>
          <w:p>
            <w:r>
              <w:rPr>
                <w:b w:val="false"/>
                <w:bCs w:val="false"/>
                <w:sz w:val="20"/>
                <w:szCs w:val="20"/>
              </w:rPr>
              <w:t xml:space="preserve">Directly tracks the 99.5% uptime target</w:t>
            </w:r>
          </w:p>
        </w:tc>
        <w:tc>
          <w:tcPr>
            <w:tcW w:type="dxa" w:w="3200"/>
            <w:tcMar>
              <w:top w:type="dxa" w:w="80"/>
              <w:left w:type="dxa" w:w="100"/>
              <w:bottom w:type="dxa" w:w="80"/>
              <w:right w:type="dxa" w:w="100"/>
            </w:tcMar>
          </w:tcPr>
          <w:p>
            <w:r>
              <w:rPr>
                <w:b w:val="false"/>
                <w:bCs w:val="false"/>
                <w:sz w:val="20"/>
                <w:szCs w:val="20"/>
              </w:rPr>
              <w:t xml:space="preserve">Page on elevated 5xx rate or failed health checks</w:t>
            </w:r>
          </w:p>
        </w:tc>
      </w:tr>
      <w:tr>
        <w:tc>
          <w:tcPr>
            <w:tcW w:type="dxa" w:w="2400"/>
            <w:tcMar>
              <w:top w:type="dxa" w:w="80"/>
              <w:left w:type="dxa" w:w="100"/>
              <w:bottom w:type="dxa" w:w="80"/>
              <w:right w:type="dxa" w:w="100"/>
            </w:tcMar>
          </w:tcPr>
          <w:p>
            <w:r>
              <w:rPr>
                <w:b w:val="false"/>
                <w:bCs w:val="false"/>
                <w:sz w:val="20"/>
                <w:szCs w:val="20"/>
              </w:rPr>
              <w:t xml:space="preserve">KYC manual-review queue depth and age</w:t>
            </w:r>
          </w:p>
        </w:tc>
        <w:tc>
          <w:tcPr>
            <w:tcW w:type="dxa" w:w="3760"/>
            <w:tcMar>
              <w:top w:type="dxa" w:w="80"/>
              <w:left w:type="dxa" w:w="100"/>
              <w:bottom w:type="dxa" w:w="80"/>
              <w:right w:type="dxa" w:w="100"/>
            </w:tcMar>
          </w:tcPr>
          <w:p>
            <w:r>
              <w:rPr>
                <w:b w:val="false"/>
                <w:bCs w:val="false"/>
                <w:sz w:val="20"/>
                <w:szCs w:val="20"/>
              </w:rPr>
              <w:t xml:space="preserve">A growing queue means real users are stuck waiting to use the app</w:t>
            </w:r>
          </w:p>
        </w:tc>
        <w:tc>
          <w:tcPr>
            <w:tcW w:type="dxa" w:w="3200"/>
            <w:tcMar>
              <w:top w:type="dxa" w:w="80"/>
              <w:left w:type="dxa" w:w="100"/>
              <w:bottom w:type="dxa" w:w="80"/>
              <w:right w:type="dxa" w:w="100"/>
            </w:tcMar>
          </w:tcPr>
          <w:p>
            <w:r>
              <w:rPr>
                <w:b w:val="false"/>
                <w:bCs w:val="false"/>
                <w:sz w:val="20"/>
                <w:szCs w:val="20"/>
              </w:rPr>
              <w:t xml:space="preserve">Alert if queue age exceeds a defined SLA (e.g., 24h)</w:t>
            </w:r>
          </w:p>
        </w:tc>
      </w:tr>
      <w:tr>
        <w:tc>
          <w:tcPr>
            <w:tcW w:type="dxa" w:w="2400"/>
            <w:tcMar>
              <w:top w:type="dxa" w:w="80"/>
              <w:left w:type="dxa" w:w="100"/>
              <w:bottom w:type="dxa" w:w="80"/>
              <w:right w:type="dxa" w:w="100"/>
            </w:tcMar>
          </w:tcPr>
          <w:p>
            <w:r>
              <w:rPr>
                <w:b w:val="false"/>
                <w:bCs w:val="false"/>
                <w:sz w:val="20"/>
                <w:szCs w:val="20"/>
              </w:rPr>
              <w:t xml:space="preserve">Compliance-hold queue age</w:t>
            </w:r>
          </w:p>
        </w:tc>
        <w:tc>
          <w:tcPr>
            <w:tcW w:type="dxa" w:w="3760"/>
            <w:tcMar>
              <w:top w:type="dxa" w:w="80"/>
              <w:left w:type="dxa" w:w="100"/>
              <w:bottom w:type="dxa" w:w="80"/>
              <w:right w:type="dxa" w:w="100"/>
            </w:tcMar>
          </w:tcPr>
          <w:p>
            <w:r>
              <w:rPr>
                <w:b w:val="false"/>
                <w:bCs w:val="false"/>
                <w:sz w:val="20"/>
                <w:szCs w:val="20"/>
              </w:rPr>
              <w:t xml:space="preserve">Held funds sitting too long is both a user-experience and a regulatory-optics problem</w:t>
            </w:r>
          </w:p>
        </w:tc>
        <w:tc>
          <w:tcPr>
            <w:tcW w:type="dxa" w:w="3200"/>
            <w:tcMar>
              <w:top w:type="dxa" w:w="80"/>
              <w:left w:type="dxa" w:w="100"/>
              <w:bottom w:type="dxa" w:w="80"/>
              <w:right w:type="dxa" w:w="100"/>
            </w:tcMar>
          </w:tcPr>
          <w:p>
            <w:r>
              <w:rPr>
                <w:b w:val="false"/>
                <w:bCs w:val="false"/>
                <w:sz w:val="20"/>
                <w:szCs w:val="20"/>
              </w:rPr>
              <w:t xml:space="preserve">Alert on holds older than a defined threshold</w:t>
            </w:r>
          </w:p>
        </w:tc>
      </w:tr>
      <w:tr>
        <w:tc>
          <w:tcPr>
            <w:tcW w:type="dxa" w:w="2400"/>
            <w:tcMar>
              <w:top w:type="dxa" w:w="80"/>
              <w:left w:type="dxa" w:w="100"/>
              <w:bottom w:type="dxa" w:w="80"/>
              <w:right w:type="dxa" w:w="100"/>
            </w:tcMar>
          </w:tcPr>
          <w:p>
            <w:r>
              <w:rPr>
                <w:b w:val="false"/>
                <w:bCs w:val="false"/>
                <w:sz w:val="20"/>
                <w:szCs w:val="20"/>
              </w:rPr>
              <w:t xml:space="preserve">Reconciliation mismatch count</w:t>
            </w:r>
          </w:p>
        </w:tc>
        <w:tc>
          <w:tcPr>
            <w:tcW w:type="dxa" w:w="3760"/>
            <w:tcMar>
              <w:top w:type="dxa" w:w="80"/>
              <w:left w:type="dxa" w:w="100"/>
              <w:bottom w:type="dxa" w:w="80"/>
              <w:right w:type="dxa" w:w="100"/>
            </w:tcMar>
          </w:tcPr>
          <w:p>
            <w:r>
              <w:rPr>
                <w:b w:val="false"/>
                <w:bCs w:val="false"/>
                <w:sz w:val="20"/>
                <w:szCs w:val="20"/>
              </w:rPr>
              <w:t xml:space="preserve">Directly implements REQ-042's alerting requirement</w:t>
            </w:r>
          </w:p>
        </w:tc>
        <w:tc>
          <w:tcPr>
            <w:tcW w:type="dxa" w:w="3200"/>
            <w:tcMar>
              <w:top w:type="dxa" w:w="80"/>
              <w:left w:type="dxa" w:w="100"/>
              <w:bottom w:type="dxa" w:w="80"/>
              <w:right w:type="dxa" w:w="100"/>
            </w:tcMar>
          </w:tcPr>
          <w:p>
            <w:r>
              <w:rPr>
                <w:b w:val="false"/>
                <w:bCs w:val="false"/>
                <w:sz w:val="20"/>
                <w:szCs w:val="20"/>
              </w:rPr>
              <w:t xml:space="preserve">Alert immediately on any mismatch beyond tolerance</w:t>
            </w:r>
          </w:p>
        </w:tc>
      </w:tr>
      <w:tr>
        <w:tc>
          <w:tcPr>
            <w:tcW w:type="dxa" w:w="2400"/>
            <w:tcMar>
              <w:top w:type="dxa" w:w="80"/>
              <w:left w:type="dxa" w:w="100"/>
              <w:bottom w:type="dxa" w:w="80"/>
              <w:right w:type="dxa" w:w="100"/>
            </w:tcMar>
          </w:tcPr>
          <w:p>
            <w:r>
              <w:rPr>
                <w:b w:val="false"/>
                <w:bCs w:val="false"/>
                <w:sz w:val="20"/>
                <w:szCs w:val="20"/>
              </w:rPr>
              <w:t xml:space="preserve">Ledger vs. wallet_balances drift</w:t>
            </w:r>
          </w:p>
        </w:tc>
        <w:tc>
          <w:tcPr>
            <w:tcW w:type="dxa" w:w="3760"/>
            <w:tcMar>
              <w:top w:type="dxa" w:w="80"/>
              <w:left w:type="dxa" w:w="100"/>
              <w:bottom w:type="dxa" w:w="80"/>
              <w:right w:type="dxa" w:w="100"/>
            </w:tcMar>
          </w:tcPr>
          <w:p>
            <w:r>
              <w:rPr>
                <w:b w:val="false"/>
                <w:bCs w:val="false"/>
                <w:sz w:val="20"/>
                <w:szCs w:val="20"/>
              </w:rPr>
              <w:t xml:space="preserve">Catches the exact class of bug that most damages user trust in a financial app</w:t>
            </w:r>
          </w:p>
        </w:tc>
        <w:tc>
          <w:tcPr>
            <w:tcW w:type="dxa" w:w="3200"/>
            <w:tcMar>
              <w:top w:type="dxa" w:w="80"/>
              <w:left w:type="dxa" w:w="100"/>
              <w:bottom w:type="dxa" w:w="80"/>
              <w:right w:type="dxa" w:w="100"/>
            </w:tcMar>
          </w:tcPr>
          <w:p>
            <w:r>
              <w:rPr>
                <w:b w:val="false"/>
                <w:bCs w:val="false"/>
                <w:sz w:val="20"/>
                <w:szCs w:val="20"/>
              </w:rPr>
              <w:t xml:space="preserve">Alert on any nonzero drift after a reconciliation job run</w:t>
            </w:r>
          </w:p>
        </w:tc>
      </w:tr>
      <w:tr>
        <w:tc>
          <w:tcPr>
            <w:tcW w:type="dxa" w:w="2400"/>
            <w:tcMar>
              <w:top w:type="dxa" w:w="80"/>
              <w:left w:type="dxa" w:w="100"/>
              <w:bottom w:type="dxa" w:w="80"/>
              <w:right w:type="dxa" w:w="100"/>
            </w:tcMar>
          </w:tcPr>
          <w:p>
            <w:r>
              <w:rPr>
                <w:b w:val="false"/>
                <w:bCs w:val="false"/>
                <w:sz w:val="20"/>
                <w:szCs w:val="20"/>
              </w:rPr>
              <w:t xml:space="preserve">Failed login / lockout rate</w:t>
            </w:r>
          </w:p>
        </w:tc>
        <w:tc>
          <w:tcPr>
            <w:tcW w:type="dxa" w:w="3760"/>
            <w:tcMar>
              <w:top w:type="dxa" w:w="80"/>
              <w:left w:type="dxa" w:w="100"/>
              <w:bottom w:type="dxa" w:w="80"/>
              <w:right w:type="dxa" w:w="100"/>
            </w:tcMar>
          </w:tcPr>
          <w:p>
            <w:r>
              <w:rPr>
                <w:b w:val="false"/>
                <w:bCs w:val="false"/>
                <w:sz w:val="20"/>
                <w:szCs w:val="20"/>
              </w:rPr>
              <w:t xml:space="preserve">Spikes can indicate credential-stuffing attacks</w:t>
            </w:r>
          </w:p>
        </w:tc>
        <w:tc>
          <w:tcPr>
            <w:tcW w:type="dxa" w:w="3200"/>
            <w:tcMar>
              <w:top w:type="dxa" w:w="80"/>
              <w:left w:type="dxa" w:w="100"/>
              <w:bottom w:type="dxa" w:w="80"/>
              <w:right w:type="dxa" w:w="100"/>
            </w:tcMar>
          </w:tcPr>
          <w:p>
            <w:r>
              <w:rPr>
                <w:b w:val="false"/>
                <w:bCs w:val="false"/>
                <w:sz w:val="20"/>
                <w:szCs w:val="20"/>
              </w:rPr>
              <w:t xml:space="preserve">Alert on rate anomalies vs. baseline</w:t>
            </w:r>
          </w:p>
        </w:tc>
      </w:tr>
      <w:tr>
        <w:tc>
          <w:tcPr>
            <w:tcW w:type="dxa" w:w="2400"/>
            <w:tcMar>
              <w:top w:type="dxa" w:w="80"/>
              <w:left w:type="dxa" w:w="100"/>
              <w:bottom w:type="dxa" w:w="80"/>
              <w:right w:type="dxa" w:w="100"/>
            </w:tcMar>
          </w:tcPr>
          <w:p>
            <w:r>
              <w:rPr>
                <w:b w:val="false"/>
                <w:bCs w:val="false"/>
                <w:sz w:val="20"/>
                <w:szCs w:val="20"/>
              </w:rPr>
              <w:t xml:space="preserve">Daraja/KYC vendor error rate</w:t>
            </w:r>
          </w:p>
        </w:tc>
        <w:tc>
          <w:tcPr>
            <w:tcW w:type="dxa" w:w="3760"/>
            <w:tcMar>
              <w:top w:type="dxa" w:w="80"/>
              <w:left w:type="dxa" w:w="100"/>
              <w:bottom w:type="dxa" w:w="80"/>
              <w:right w:type="dxa" w:w="100"/>
            </w:tcMar>
          </w:tcPr>
          <w:p>
            <w:r>
              <w:rPr>
                <w:b w:val="false"/>
                <w:bCs w:val="false"/>
                <w:sz w:val="20"/>
                <w:szCs w:val="20"/>
              </w:rPr>
              <w:t xml:space="preserve">Both are hard external dependencies on the critical path</w:t>
            </w:r>
          </w:p>
        </w:tc>
        <w:tc>
          <w:tcPr>
            <w:tcW w:type="dxa" w:w="3200"/>
            <w:tcMar>
              <w:top w:type="dxa" w:w="80"/>
              <w:left w:type="dxa" w:w="100"/>
              <w:bottom w:type="dxa" w:w="80"/>
              <w:right w:type="dxa" w:w="100"/>
            </w:tcMar>
          </w:tcPr>
          <w:p>
            <w:r>
              <w:rPr>
                <w:b w:val="false"/>
                <w:bCs w:val="false"/>
                <w:sz w:val="20"/>
                <w:szCs w:val="20"/>
              </w:rPr>
              <w:t xml:space="preserve">Alert on elevated error rate; auto-fallback to manual review where applicable</w:t>
            </w:r>
          </w:p>
        </w:tc>
      </w:tr>
    </w:tbl>
    <w:p>
      <w:pPr>
        <w:pStyle w:val="Heading1"/>
        <w:spacing w:after="240" w:before="480"/>
      </w:pPr>
      <w:r>
        <w:t xml:space="preserve">29. Readiness for Future Scope (BRS Section 9)</w:t>
      </w:r>
    </w:p>
    <w:p>
      <w:pPr>
        <w:spacing w:after="200" w:line="300"/>
        <w:jc w:val="left"/>
      </w:pPr>
      <w:r>
        <w:rPr>
          <w:b w:val="false"/>
          <w:bCs w:val="false"/>
          <w:i w:val="false"/>
          <w:iCs w:val="false"/>
        </w:rPr>
        <w:t xml:space="preserve">The BRS is explicit that lending/borrowing, staking, multi-country support, currency-to-currency swap, business accounts, and a proprietary stablecoin are all out of scope for this version. None of them need to be built now, but a few architectural choices made now materially affect how expensive they are to add later — worth naming so the team doesn't accidentally make the MVP harder to extend than it needs to be:</w:t>
      </w:r>
    </w:p>
    <w:p>
      <w:pPr>
        <w:pStyle w:val="ListParagraph"/>
        <w:numPr>
          <w:ilvl w:val="0"/>
          <w:numId w:val="2"/>
        </w:numPr>
        <w:spacing w:after="100"/>
      </w:pPr>
      <w:r>
        <w:t xml:space="preserve">Multi-country/multi-currency: keeping currency codes and regulatory-rule references as data (not hardcoded 'KES' and 'Kenya' strings scattered through the codebase) costs little now and saves a significant refactor if a second market is ever greenlit.</w:t>
      </w:r>
    </w:p>
    <w:p>
      <w:pPr>
        <w:pStyle w:val="ListParagraph"/>
        <w:numPr>
          <w:ilvl w:val="0"/>
          <w:numId w:val="2"/>
        </w:numPr>
        <w:spacing w:after="100"/>
      </w:pPr>
      <w:r>
        <w:t xml:space="preserve">Staking/lending: because REQ-053 keeps these entirely out of the wallet and ledger model, no schema changes are needed to accommodate them later — they would be genuinely new modules, not extensions of existing ones, which is the cleaner outcome.</w:t>
      </w:r>
    </w:p>
    <w:p>
      <w:pPr>
        <w:pStyle w:val="ListParagraph"/>
        <w:numPr>
          <w:ilvl w:val="0"/>
          <w:numId w:val="2"/>
        </w:numPr>
        <w:spacing w:after="100"/>
      </w:pPr>
      <w:r>
        <w:t xml:space="preserve">Business accounts: if ever added, would likely need a distinct KYC flow (KYB — Know Your Business) and multi-user access to a single account — worth noting that the current users table's 1:1 assumption between a user and an account would need revisiting, not extending.</w:t>
      </w:r>
    </w:p>
    <w:p>
      <w:pPr>
        <w:pStyle w:val="ListParagraph"/>
        <w:numPr>
          <w:ilvl w:val="0"/>
          <w:numId w:val="2"/>
        </w:numPr>
        <w:spacing w:after="100"/>
      </w:pPr>
      <w:r>
        <w:t xml:space="preserve">Stablecoin issuance: the BRS itself flags the 30%-reserve implication (BRS Section 7) — this is a business/compliance decision far more than an engineering one, and is intentionally not designed for here.</w:t>
      </w:r>
    </w:p>
    <w:p>
      <w:pPr>
        <w:spacing w:after="200" w:line="300"/>
        <w:jc w:val="left"/>
      </w:pPr>
      <w:r>
        <w:rPr>
          <w:b w:val="false"/>
          <w:bCs w:val="false"/>
          <w:i w:val="false"/>
          <w:iCs w:val="false"/>
        </w:rPr>
        <w:t xml:space="preserve">The purpose of naming these now is not to build for them — over-engineering for hypothetical future scope is its own risk — but to make sure the MVP's design doesn't quietly foreclose them either.</w:t>
      </w:r>
    </w:p>
    <w:p>
      <w:r>
        <w:br w:type="page"/>
      </w:r>
    </w:p>
    <w:p>
      <w:pPr>
        <w:pStyle w:val="Heading1"/>
        <w:spacing w:after="240" w:before="480"/>
      </w:pPr>
      <w:r>
        <w:t xml:space="preserve">30. Disaster Recovery and Business Continuity</w:t>
      </w:r>
    </w:p>
    <w:p>
      <w:pPr>
        <w:spacing w:after="200" w:line="300"/>
        <w:jc w:val="left"/>
      </w:pPr>
      <w:r>
        <w:rPr>
          <w:b w:val="false"/>
          <w:bCs w:val="false"/>
          <w:i w:val="false"/>
          <w:iCs w:val="false"/>
        </w:rPr>
        <w:t xml:space="preserve">A financial system holding user funds and identity data needs a documented, tested recovery posture — not just backups that have never been restored. This section sets targets an engineering team can design and drill against.</w:t>
      </w:r>
    </w:p>
    <w:p>
      <w:pPr>
        <w:pStyle w:val="Heading2"/>
        <w:spacing w:after="160" w:before="360"/>
      </w:pPr>
      <w:r>
        <w:t xml:space="preserve">30.1 Recovery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1F3864" w:color="auto" w:val="clear"/>
            <w:tcMar>
              <w:top w:type="dxa" w:w="80"/>
              <w:left w:type="dxa" w:w="100"/>
              <w:bottom w:type="dxa" w:w="80"/>
              <w:right w:type="dxa" w:w="100"/>
            </w:tcMar>
          </w:tcPr>
          <w:p>
            <w:r>
              <w:rPr>
                <w:b/>
                <w:bCs/>
                <w:color w:val="FFFFFF"/>
                <w:sz w:val="20"/>
                <w:szCs w:val="20"/>
              </w:rPr>
              <w:t xml:space="preserve">Component</w:t>
            </w:r>
          </w:p>
        </w:tc>
        <w:tc>
          <w:tcPr>
            <w:tcW w:type="dxa" w:w="3200"/>
            <w:shd w:fill="1F3864" w:color="auto" w:val="clear"/>
            <w:tcMar>
              <w:top w:type="dxa" w:w="80"/>
              <w:left w:type="dxa" w:w="100"/>
              <w:bottom w:type="dxa" w:w="80"/>
              <w:right w:type="dxa" w:w="100"/>
            </w:tcMar>
          </w:tcPr>
          <w:p>
            <w:r>
              <w:rPr>
                <w:b/>
                <w:bCs/>
                <w:color w:val="FFFFFF"/>
                <w:sz w:val="20"/>
                <w:szCs w:val="20"/>
              </w:rPr>
              <w:t xml:space="preserve">Recovery Point Objective (RPO)</w:t>
            </w:r>
          </w:p>
        </w:tc>
        <w:tc>
          <w:tcPr>
            <w:tcW w:type="dxa" w:w="2960"/>
            <w:shd w:fill="1F3864" w:color="auto" w:val="clear"/>
            <w:tcMar>
              <w:top w:type="dxa" w:w="80"/>
              <w:left w:type="dxa" w:w="100"/>
              <w:bottom w:type="dxa" w:w="80"/>
              <w:right w:type="dxa" w:w="100"/>
            </w:tcMar>
          </w:tcPr>
          <w:p>
            <w:r>
              <w:rPr>
                <w:b/>
                <w:bCs/>
                <w:color w:val="FFFFFF"/>
                <w:sz w:val="20"/>
                <w:szCs w:val="20"/>
              </w:rPr>
              <w:t xml:space="preserve">Recovery Time Objective (RTO)</w:t>
            </w:r>
          </w:p>
        </w:tc>
      </w:tr>
      <w:tr>
        <w:tc>
          <w:tcPr>
            <w:tcW w:type="dxa" w:w="3200"/>
            <w:tcMar>
              <w:top w:type="dxa" w:w="80"/>
              <w:left w:type="dxa" w:w="100"/>
              <w:bottom w:type="dxa" w:w="80"/>
              <w:right w:type="dxa" w:w="100"/>
            </w:tcMar>
          </w:tcPr>
          <w:p>
            <w:r>
              <w:rPr>
                <w:b w:val="false"/>
                <w:bCs w:val="false"/>
                <w:sz w:val="20"/>
                <w:szCs w:val="20"/>
              </w:rPr>
              <w:t xml:space="preserve">Primary database (ledger, users, KYC)</w:t>
            </w:r>
          </w:p>
        </w:tc>
        <w:tc>
          <w:tcPr>
            <w:tcW w:type="dxa" w:w="3200"/>
            <w:tcMar>
              <w:top w:type="dxa" w:w="80"/>
              <w:left w:type="dxa" w:w="100"/>
              <w:bottom w:type="dxa" w:w="80"/>
              <w:right w:type="dxa" w:w="100"/>
            </w:tcMar>
          </w:tcPr>
          <w:p>
            <w:r>
              <w:rPr>
                <w:b w:val="false"/>
                <w:bCs w:val="false"/>
                <w:sz w:val="20"/>
                <w:szCs w:val="20"/>
              </w:rPr>
              <w:t xml:space="preserve">Near-zero — continuous replication, point-in-time recovery</w:t>
            </w:r>
          </w:p>
        </w:tc>
        <w:tc>
          <w:tcPr>
            <w:tcW w:type="dxa" w:w="2960"/>
            <w:tcMar>
              <w:top w:type="dxa" w:w="80"/>
              <w:left w:type="dxa" w:w="100"/>
              <w:bottom w:type="dxa" w:w="80"/>
              <w:right w:type="dxa" w:w="100"/>
            </w:tcMar>
          </w:tcPr>
          <w:p>
            <w:r>
              <w:rPr>
                <w:b w:val="false"/>
                <w:bCs w:val="false"/>
                <w:sz w:val="20"/>
                <w:szCs w:val="20"/>
              </w:rPr>
              <w:t xml:space="preserve">Under 1 hour to a healthy replica/failover instance</w:t>
            </w:r>
          </w:p>
        </w:tc>
      </w:tr>
      <w:tr>
        <w:tc>
          <w:tcPr>
            <w:tcW w:type="dxa" w:w="3200"/>
            <w:tcMar>
              <w:top w:type="dxa" w:w="80"/>
              <w:left w:type="dxa" w:w="100"/>
              <w:bottom w:type="dxa" w:w="80"/>
              <w:right w:type="dxa" w:w="100"/>
            </w:tcMar>
          </w:tcPr>
          <w:p>
            <w:r>
              <w:rPr>
                <w:b w:val="false"/>
                <w:bCs w:val="false"/>
                <w:sz w:val="20"/>
                <w:szCs w:val="20"/>
              </w:rPr>
              <w:t xml:space="preserve">Object storage (ID documents, selfies)</w:t>
            </w:r>
          </w:p>
        </w:tc>
        <w:tc>
          <w:tcPr>
            <w:tcW w:type="dxa" w:w="3200"/>
            <w:tcMar>
              <w:top w:type="dxa" w:w="80"/>
              <w:left w:type="dxa" w:w="100"/>
              <w:bottom w:type="dxa" w:w="80"/>
              <w:right w:type="dxa" w:w="100"/>
            </w:tcMar>
          </w:tcPr>
          <w:p>
            <w:r>
              <w:rPr>
                <w:b w:val="false"/>
                <w:bCs w:val="false"/>
                <w:sz w:val="20"/>
                <w:szCs w:val="20"/>
              </w:rPr>
              <w:t xml:space="preserve">Near-zero — provider-level cross-region replication</w:t>
            </w:r>
          </w:p>
        </w:tc>
        <w:tc>
          <w:tcPr>
            <w:tcW w:type="dxa" w:w="2960"/>
            <w:tcMar>
              <w:top w:type="dxa" w:w="80"/>
              <w:left w:type="dxa" w:w="100"/>
              <w:bottom w:type="dxa" w:w="80"/>
              <w:right w:type="dxa" w:w="100"/>
            </w:tcMar>
          </w:tcPr>
          <w:p>
            <w:r>
              <w:rPr>
                <w:b w:val="false"/>
                <w:bCs w:val="false"/>
                <w:sz w:val="20"/>
                <w:szCs w:val="20"/>
              </w:rPr>
              <w:t xml:space="preserve">Under 1 hour</w:t>
            </w:r>
          </w:p>
        </w:tc>
      </w:tr>
      <w:tr>
        <w:tc>
          <w:tcPr>
            <w:tcW w:type="dxa" w:w="3200"/>
            <w:tcMar>
              <w:top w:type="dxa" w:w="80"/>
              <w:left w:type="dxa" w:w="100"/>
              <w:bottom w:type="dxa" w:w="80"/>
              <w:right w:type="dxa" w:w="100"/>
            </w:tcMar>
          </w:tcPr>
          <w:p>
            <w:r>
              <w:rPr>
                <w:b w:val="false"/>
                <w:bCs w:val="false"/>
                <w:sz w:val="20"/>
                <w:szCs w:val="20"/>
              </w:rPr>
              <w:t xml:space="preserve">Application tier</w:t>
            </w:r>
          </w:p>
        </w:tc>
        <w:tc>
          <w:tcPr>
            <w:tcW w:type="dxa" w:w="3200"/>
            <w:tcMar>
              <w:top w:type="dxa" w:w="80"/>
              <w:left w:type="dxa" w:w="100"/>
              <w:bottom w:type="dxa" w:w="80"/>
              <w:right w:type="dxa" w:w="100"/>
            </w:tcMar>
          </w:tcPr>
          <w:p>
            <w:r>
              <w:rPr>
                <w:b w:val="false"/>
                <w:bCs w:val="false"/>
                <w:sz w:val="20"/>
                <w:szCs w:val="20"/>
              </w:rPr>
              <w:t xml:space="preserve">N/A (stateless)</w:t>
            </w:r>
          </w:p>
        </w:tc>
        <w:tc>
          <w:tcPr>
            <w:tcW w:type="dxa" w:w="2960"/>
            <w:tcMar>
              <w:top w:type="dxa" w:w="80"/>
              <w:left w:type="dxa" w:w="100"/>
              <w:bottom w:type="dxa" w:w="80"/>
              <w:right w:type="dxa" w:w="100"/>
            </w:tcMar>
          </w:tcPr>
          <w:p>
            <w:r>
              <w:rPr>
                <w:b w:val="false"/>
                <w:bCs w:val="false"/>
                <w:sz w:val="20"/>
                <w:szCs w:val="20"/>
              </w:rPr>
              <w:t xml:space="preserve">Minutes — redeploy from CI/CD artifacts to a healthy region/cluster</w:t>
            </w:r>
          </w:p>
        </w:tc>
      </w:tr>
      <w:tr>
        <w:tc>
          <w:tcPr>
            <w:tcW w:type="dxa" w:w="3200"/>
            <w:tcMar>
              <w:top w:type="dxa" w:w="80"/>
              <w:left w:type="dxa" w:w="100"/>
              <w:bottom w:type="dxa" w:w="80"/>
              <w:right w:type="dxa" w:w="100"/>
            </w:tcMar>
          </w:tcPr>
          <w:p>
            <w:r>
              <w:rPr>
                <w:b w:val="false"/>
                <w:bCs w:val="false"/>
                <w:sz w:val="20"/>
                <w:szCs w:val="20"/>
              </w:rPr>
              <w:t xml:space="preserve">Event bus / async job state</w:t>
            </w:r>
          </w:p>
        </w:tc>
        <w:tc>
          <w:tcPr>
            <w:tcW w:type="dxa" w:w="3200"/>
            <w:tcMar>
              <w:top w:type="dxa" w:w="80"/>
              <w:left w:type="dxa" w:w="100"/>
              <w:bottom w:type="dxa" w:w="80"/>
              <w:right w:type="dxa" w:w="100"/>
            </w:tcMar>
          </w:tcPr>
          <w:p>
            <w:r>
              <w:rPr>
                <w:b w:val="false"/>
                <w:bCs w:val="false"/>
                <w:sz w:val="20"/>
                <w:szCs w:val="20"/>
              </w:rPr>
              <w:t xml:space="preserve">Minutes — acceptable to replay a short window of events</w:t>
            </w:r>
          </w:p>
        </w:tc>
        <w:tc>
          <w:tcPr>
            <w:tcW w:type="dxa" w:w="2960"/>
            <w:tcMar>
              <w:top w:type="dxa" w:w="80"/>
              <w:left w:type="dxa" w:w="100"/>
              <w:bottom w:type="dxa" w:w="80"/>
              <w:right w:type="dxa" w:w="100"/>
            </w:tcMar>
          </w:tcPr>
          <w:p>
            <w:r>
              <w:rPr>
                <w:b w:val="false"/>
                <w:bCs w:val="false"/>
                <w:sz w:val="20"/>
                <w:szCs w:val="20"/>
              </w:rPr>
              <w:t xml:space="preserve">Under 1 hour</w:t>
            </w:r>
          </w:p>
        </w:tc>
      </w:tr>
    </w:tbl>
    <w:p>
      <w:pPr>
        <w:pStyle w:val="Heading2"/>
        <w:spacing w:after="160" w:before="360"/>
      </w:pPr>
      <w:r>
        <w:t xml:space="preserve">30.2 Practices</w:t>
      </w:r>
    </w:p>
    <w:p>
      <w:pPr>
        <w:pStyle w:val="ListParagraph"/>
        <w:numPr>
          <w:ilvl w:val="0"/>
          <w:numId w:val="2"/>
        </w:numPr>
        <w:spacing w:after="100"/>
      </w:pPr>
      <w:r>
        <w:t xml:space="preserve">Automated, encrypted database backups with regular restore drills — a backup that has never been restored is not a verified backup.</w:t>
      </w:r>
    </w:p>
    <w:p>
      <w:pPr>
        <w:pStyle w:val="ListParagraph"/>
        <w:numPr>
          <w:ilvl w:val="0"/>
          <w:numId w:val="2"/>
        </w:numPr>
        <w:spacing w:after="100"/>
      </w:pPr>
      <w:r>
        <w:t xml:space="preserve">A documented runbook for the two most consequential failure modes given this system's nature: a payment-provider outage mid-settlement, and a database failover during active trading — both should have a rehearsed, written procedure, not an improvised one.</w:t>
      </w:r>
    </w:p>
    <w:p>
      <w:pPr>
        <w:pStyle w:val="ListParagraph"/>
        <w:numPr>
          <w:ilvl w:val="0"/>
          <w:numId w:val="2"/>
        </w:numPr>
        <w:spacing w:after="100"/>
      </w:pPr>
      <w:r>
        <w:t xml:space="preserve">Because the ledger and audit_log tables are the system's source of truth for both money and accountability (Sections 5.3, 9.2), any DR exercise should explicitly verify that restored data preserves the append-only, tamper-evident guarantees, not just that the row counts match.</w:t>
      </w:r>
    </w:p>
    <w:p>
      <w:pPr>
        <w:pStyle w:val="ListParagraph"/>
        <w:numPr>
          <w:ilvl w:val="0"/>
          <w:numId w:val="2"/>
        </w:numPr>
        <w:spacing w:after="100"/>
      </w:pPr>
      <w:r>
        <w:t xml:space="preserve">A clear communication plan for users during an outage, consistent with the notification infrastructure already built for transaction events (REQ-023) — reusing that channel for status updates keeps users informed without a second system to build.</w:t>
      </w:r>
    </w:p>
    <w:p>
      <w:pPr>
        <w:pStyle w:val="Heading1"/>
        <w:spacing w:after="240" w:before="480"/>
      </w:pPr>
      <w:r>
        <w:t xml:space="preserve">31. Support Agent Tooling</w:t>
      </w:r>
    </w:p>
    <w:p>
      <w:pPr>
        <w:spacing w:after="200" w:line="300"/>
        <w:jc w:val="left"/>
      </w:pPr>
      <w:r>
        <w:rPr>
          <w:b w:val="false"/>
          <w:bCs w:val="false"/>
          <w:i w:val="false"/>
          <w:iCs w:val="false"/>
        </w:rPr>
        <w:t xml:space="preserve">BRS Section 3 defines Support Agents as able to 'look up (but not fully control) user accounts.' This is a permissions design point worth being explicit about, since it's easy to accidentally over-grant access when building a single Admin Console shared by three roles (Section 9.1).</w:t>
      </w:r>
    </w:p>
    <w:p>
      <w:pPr>
        <w:pStyle w:val="ListParagraph"/>
        <w:numPr>
          <w:ilvl w:val="0"/>
          <w:numId w:val="2"/>
        </w:numPr>
        <w:spacing w:after="100"/>
      </w:pPr>
      <w:r>
        <w:t xml:space="preserve">Support Agents should see: verification status, recent transaction summaries (not full financial detail needed for compliance decisions), account lock/unlock status, and linked payment methods (masked/tokenized, never raw numbers).</w:t>
      </w:r>
    </w:p>
    <w:p>
      <w:pPr>
        <w:pStyle w:val="ListParagraph"/>
        <w:numPr>
          <w:ilvl w:val="0"/>
          <w:numId w:val="2"/>
        </w:numPr>
        <w:spacing w:after="100"/>
      </w:pPr>
      <w:r>
        <w:t xml:space="preserve">Support Agents should not see: raw KYC documents (National ID scans, selfies) unless a specific, logged reason elevates a case to a Compliance Officer — routine support shouldn't require routine access to the most sensitive data in the system.</w:t>
      </w:r>
    </w:p>
    <w:p>
      <w:pPr>
        <w:pStyle w:val="ListParagraph"/>
        <w:numPr>
          <w:ilvl w:val="0"/>
          <w:numId w:val="2"/>
        </w:numPr>
        <w:spacing w:after="100"/>
      </w:pPr>
      <w:r>
        <w:t xml:space="preserve">Every account lookup by a Support Agent should itself be logged (who looked up whom, when) — this protects users' privacy and gives the team an answer if a user ever asks 'who looked at my account.'</w:t>
      </w:r>
    </w:p>
    <w:p>
      <w:pPr>
        <w:pStyle w:val="ListParagraph"/>
        <w:numPr>
          <w:ilvl w:val="0"/>
          <w:numId w:val="2"/>
        </w:numPr>
        <w:spacing w:after="100"/>
      </w:pPr>
      <w:r>
        <w:t xml:space="preserve">A 'request compliance review' action lets a Support Agent escalate a case to a Compliance Officer's queue without needing elevated permissions themselves — this keeps the permission boundary in Section 9.1 clean while still letting support staff be useful on tricky cases.</w:t>
      </w:r>
    </w:p>
    <w:p>
      <w:pPr>
        <w:pStyle w:val="Heading1"/>
        <w:spacing w:after="240" w:before="480"/>
      </w:pPr>
      <w:r>
        <w:t xml:space="preserve">32. Localization and Accessibility — Implementation Detail</w:t>
      </w:r>
    </w:p>
    <w:p>
      <w:pPr>
        <w:spacing w:after="200" w:line="300"/>
        <w:jc w:val="left"/>
      </w:pPr>
      <w:r>
        <w:rPr>
          <w:b w:val="false"/>
          <w:bCs w:val="false"/>
          <w:i w:val="false"/>
          <w:iCs w:val="false"/>
        </w:rPr>
        <w:t xml:space="preserve">BRS Section 5 sets English as default with Swahili as a nice-to-have, and general accessibility as a target 'where practical.' Translated into engineering practice:</w:t>
      </w:r>
    </w:p>
    <w:p>
      <w:pPr>
        <w:pStyle w:val="ListParagraph"/>
        <w:numPr>
          <w:ilvl w:val="0"/>
          <w:numId w:val="2"/>
        </w:numPr>
        <w:spacing w:after="100"/>
      </w:pPr>
      <w:r>
        <w:t xml:space="preserve">All user-facing strings (including SMS/push notification templates and compliance-related in-app messages, e.g. 'your account is locked' or 'this transaction is under review') live in an externalized resource bundle keyed by locale from day one, even though only English ships at launch — this is the single cheapest decision that keeps Swahili a translation task later rather than an engineering project.</w:t>
      </w:r>
    </w:p>
    <w:p>
      <w:pPr>
        <w:pStyle w:val="ListParagraph"/>
        <w:numPr>
          <w:ilvl w:val="0"/>
          <w:numId w:val="2"/>
        </w:numPr>
        <w:spacing w:after="100"/>
      </w:pPr>
      <w:r>
        <w:t xml:space="preserve">Numeric, date, and currency formatting should already be locale-aware (KES formatting, date formats) since Kenya-specific formatting is needed regardless of how many languages ship.</w:t>
      </w:r>
    </w:p>
    <w:p>
      <w:pPr>
        <w:pStyle w:val="ListParagraph"/>
        <w:numPr>
          <w:ilvl w:val="0"/>
          <w:numId w:val="2"/>
        </w:numPr>
        <w:spacing w:after="100"/>
      </w:pPr>
      <w:r>
        <w:t xml:space="preserve">Accessibility baseline for the mobile app: all interactive elements reachable and labeled for screen readers (TalkBack/VoiceOver), minimum tap-target sizing, color contrast meeting WCAG 2.1 AA for text, and no information conveyed by color alone (relevant for status indicators like 'held', 'verified', 'rejected').</w:t>
      </w:r>
    </w:p>
    <w:p>
      <w:pPr>
        <w:pStyle w:val="ListParagraph"/>
        <w:numPr>
          <w:ilvl w:val="0"/>
          <w:numId w:val="2"/>
        </w:numPr>
        <w:spacing w:after="100"/>
      </w:pPr>
      <w:r>
        <w:t xml:space="preserve">Given many users' primary access point is a phone, test on lower-end Android devices and slower network conditions specifically — 'accessibility' in this market context includes performance accessibility (usable on constrained devices/networks), not only assistive-technology compatibility.</w:t>
      </w:r>
    </w:p>
    <w:p>
      <w:pPr>
        <w:pStyle w:val="Heading1"/>
        <w:spacing w:after="240" w:before="480"/>
      </w:pPr>
      <w:r>
        <w:t xml:space="preserve">33. Configuration Parameters (Representative)</w:t>
      </w:r>
    </w:p>
    <w:p>
      <w:pPr>
        <w:spacing w:after="200" w:line="300"/>
        <w:jc w:val="left"/>
      </w:pPr>
      <w:r>
        <w:rPr>
          <w:b w:val="false"/>
          <w:bCs w:val="false"/>
          <w:i w:val="false"/>
          <w:iCs w:val="false"/>
        </w:rPr>
        <w:t xml:space="preserve">Consolidating the 'should be configurable, not hardcoded' points made throughout this document (Sections 4.3, 6.1, 8.1) into a single reference list — these are strong candidates for an admin-editable settings table rather than application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60"/>
        <w:gridCol w:w="3600"/>
      </w:tblGrid>
      <w:tr>
        <w:trPr>
          <w:tblHeader/>
        </w:trPr>
        <w:tc>
          <w:tcPr>
            <w:tcW w:type="dxa" w:w="2600"/>
            <w:shd w:fill="1F3864" w:color="auto" w:val="clear"/>
            <w:tcMar>
              <w:top w:type="dxa" w:w="80"/>
              <w:left w:type="dxa" w:w="100"/>
              <w:bottom w:type="dxa" w:w="80"/>
              <w:right w:type="dxa" w:w="100"/>
            </w:tcMar>
          </w:tcPr>
          <w:p>
            <w:r>
              <w:rPr>
                <w:b/>
                <w:bCs/>
                <w:color w:val="FFFFFF"/>
                <w:sz w:val="20"/>
                <w:szCs w:val="20"/>
              </w:rPr>
              <w:t xml:space="preserve">Parameter</w:t>
            </w:r>
          </w:p>
        </w:tc>
        <w:tc>
          <w:tcPr>
            <w:tcW w:type="dxa" w:w="3160"/>
            <w:shd w:fill="1F3864" w:color="auto" w:val="clear"/>
            <w:tcMar>
              <w:top w:type="dxa" w:w="80"/>
              <w:left w:type="dxa" w:w="100"/>
              <w:bottom w:type="dxa" w:w="80"/>
              <w:right w:type="dxa" w:w="100"/>
            </w:tcMar>
          </w:tcPr>
          <w:p>
            <w:r>
              <w:rPr>
                <w:b/>
                <w:bCs/>
                <w:color w:val="FFFFFF"/>
                <w:sz w:val="20"/>
                <w:szCs w:val="20"/>
              </w:rPr>
              <w:t xml:space="preserve">Used By</w:t>
            </w:r>
          </w:p>
        </w:tc>
        <w:tc>
          <w:tcPr>
            <w:tcW w:type="dxa" w:w="3600"/>
            <w:shd w:fill="1F3864" w:color="auto" w:val="clear"/>
            <w:tcMar>
              <w:top w:type="dxa" w:w="80"/>
              <w:left w:type="dxa" w:w="100"/>
              <w:bottom w:type="dxa" w:w="80"/>
              <w:right w:type="dxa" w:w="100"/>
            </w:tcMar>
          </w:tcPr>
          <w:p>
            <w:r>
              <w:rPr>
                <w:b/>
                <w:bCs/>
                <w:color w:val="FFFFFF"/>
                <w:sz w:val="20"/>
                <w:szCs w:val="20"/>
              </w:rPr>
              <w:t xml:space="preserve">Why It Must Be Configurable</w:t>
            </w:r>
          </w:p>
        </w:tc>
      </w:tr>
      <w:tr>
        <w:tc>
          <w:tcPr>
            <w:tcW w:type="dxa" w:w="2600"/>
            <w:tcMar>
              <w:top w:type="dxa" w:w="80"/>
              <w:left w:type="dxa" w:w="100"/>
              <w:bottom w:type="dxa" w:w="80"/>
              <w:right w:type="dxa" w:w="100"/>
            </w:tcMar>
          </w:tcPr>
          <w:p>
            <w:r>
              <w:rPr>
                <w:b w:val="false"/>
                <w:bCs w:val="false"/>
                <w:sz w:val="20"/>
                <w:szCs w:val="20"/>
              </w:rPr>
              <w:t xml:space="preserve">Compliance reporting threshold</w:t>
            </w:r>
          </w:p>
        </w:tc>
        <w:tc>
          <w:tcPr>
            <w:tcW w:type="dxa" w:w="3160"/>
            <w:tcMar>
              <w:top w:type="dxa" w:w="80"/>
              <w:left w:type="dxa" w:w="100"/>
              <w:bottom w:type="dxa" w:w="80"/>
              <w:right w:type="dxa" w:w="100"/>
            </w:tcMar>
          </w:tcPr>
          <w:p>
            <w:r>
              <w:rPr>
                <w:b w:val="false"/>
                <w:bCs w:val="false"/>
                <w:sz w:val="20"/>
                <w:szCs w:val="20"/>
              </w:rPr>
              <w:t xml:space="preserve">Compliance Engine (REQ-013)</w:t>
            </w:r>
          </w:p>
        </w:tc>
        <w:tc>
          <w:tcPr>
            <w:tcW w:type="dxa" w:w="3600"/>
            <w:tcMar>
              <w:top w:type="dxa" w:w="80"/>
              <w:left w:type="dxa" w:w="100"/>
              <w:bottom w:type="dxa" w:w="80"/>
              <w:right w:type="dxa" w:w="100"/>
            </w:tcMar>
          </w:tcPr>
          <w:p>
            <w:r>
              <w:rPr>
                <w:b w:val="false"/>
                <w:bCs w:val="false"/>
                <w:sz w:val="20"/>
                <w:szCs w:val="20"/>
              </w:rPr>
              <w:t xml:space="preserve">Explicitly required by the BRS acceptance criteria to be settings-driven</w:t>
            </w:r>
          </w:p>
        </w:tc>
      </w:tr>
      <w:tr>
        <w:tc>
          <w:tcPr>
            <w:tcW w:type="dxa" w:w="2600"/>
            <w:tcMar>
              <w:top w:type="dxa" w:w="80"/>
              <w:left w:type="dxa" w:w="100"/>
              <w:bottom w:type="dxa" w:w="80"/>
              <w:right w:type="dxa" w:w="100"/>
            </w:tcMar>
          </w:tcPr>
          <w:p>
            <w:r>
              <w:rPr>
                <w:b w:val="false"/>
                <w:bCs w:val="false"/>
                <w:sz w:val="20"/>
                <w:szCs w:val="20"/>
              </w:rPr>
              <w:t xml:space="preserve">Tier transaction limits (Basic/Verified/Enhanced)</w:t>
            </w:r>
          </w:p>
        </w:tc>
        <w:tc>
          <w:tcPr>
            <w:tcW w:type="dxa" w:w="3160"/>
            <w:tcMar>
              <w:top w:type="dxa" w:w="80"/>
              <w:left w:type="dxa" w:w="100"/>
              <w:bottom w:type="dxa" w:w="80"/>
              <w:right w:type="dxa" w:w="100"/>
            </w:tcMar>
          </w:tcPr>
          <w:p>
            <w:r>
              <w:rPr>
                <w:b w:val="false"/>
                <w:bCs w:val="false"/>
                <w:sz w:val="20"/>
                <w:szCs w:val="20"/>
              </w:rPr>
              <w:t xml:space="preserve">KYC/Tiering (REQ-012)</w:t>
            </w:r>
          </w:p>
        </w:tc>
        <w:tc>
          <w:tcPr>
            <w:tcW w:type="dxa" w:w="3600"/>
            <w:tcMar>
              <w:top w:type="dxa" w:w="80"/>
              <w:left w:type="dxa" w:w="100"/>
              <w:bottom w:type="dxa" w:w="80"/>
              <w:right w:type="dxa" w:w="100"/>
            </w:tcMar>
          </w:tcPr>
          <w:p>
            <w:r>
              <w:rPr>
                <w:b w:val="false"/>
                <w:bCs w:val="false"/>
                <w:sz w:val="20"/>
                <w:szCs w:val="20"/>
              </w:rPr>
              <w:t xml:space="preserve">Regulatory limits and business risk appetite both change independently of code releases</w:t>
            </w:r>
          </w:p>
        </w:tc>
      </w:tr>
      <w:tr>
        <w:tc>
          <w:tcPr>
            <w:tcW w:type="dxa" w:w="2600"/>
            <w:tcMar>
              <w:top w:type="dxa" w:w="80"/>
              <w:left w:type="dxa" w:w="100"/>
              <w:bottom w:type="dxa" w:w="80"/>
              <w:right w:type="dxa" w:w="100"/>
            </w:tcMar>
          </w:tcPr>
          <w:p>
            <w:r>
              <w:rPr>
                <w:b w:val="false"/>
                <w:bCs w:val="false"/>
                <w:sz w:val="20"/>
                <w:szCs w:val="20"/>
              </w:rPr>
              <w:t xml:space="preserve">FX quote expiry window</w:t>
            </w:r>
          </w:p>
        </w:tc>
        <w:tc>
          <w:tcPr>
            <w:tcW w:type="dxa" w:w="3160"/>
            <w:tcMar>
              <w:top w:type="dxa" w:w="80"/>
              <w:left w:type="dxa" w:w="100"/>
              <w:bottom w:type="dxa" w:w="80"/>
              <w:right w:type="dxa" w:w="100"/>
            </w:tcMar>
          </w:tcPr>
          <w:p>
            <w:r>
              <w:rPr>
                <w:b w:val="false"/>
                <w:bCs w:val="false"/>
                <w:sz w:val="20"/>
                <w:szCs w:val="20"/>
              </w:rPr>
              <w:t xml:space="preserve">Conversion Engine (REQ-030–031)</w:t>
            </w:r>
          </w:p>
        </w:tc>
        <w:tc>
          <w:tcPr>
            <w:tcW w:type="dxa" w:w="3600"/>
            <w:tcMar>
              <w:top w:type="dxa" w:w="80"/>
              <w:left w:type="dxa" w:w="100"/>
              <w:bottom w:type="dxa" w:w="80"/>
              <w:right w:type="dxa" w:w="100"/>
            </w:tcMar>
          </w:tcPr>
          <w:p>
            <w:r>
              <w:rPr>
                <w:b w:val="false"/>
                <w:bCs w:val="false"/>
                <w:sz w:val="20"/>
                <w:szCs w:val="20"/>
              </w:rPr>
              <w:t xml:space="preserve">May need tuning based on observed price volatility or provider latency</w:t>
            </w:r>
          </w:p>
        </w:tc>
      </w:tr>
      <w:tr>
        <w:tc>
          <w:tcPr>
            <w:tcW w:type="dxa" w:w="2600"/>
            <w:tcMar>
              <w:top w:type="dxa" w:w="80"/>
              <w:left w:type="dxa" w:w="100"/>
              <w:bottom w:type="dxa" w:w="80"/>
              <w:right w:type="dxa" w:w="100"/>
            </w:tcMar>
          </w:tcPr>
          <w:p>
            <w:r>
              <w:rPr>
                <w:b w:val="false"/>
                <w:bCs w:val="false"/>
                <w:sz w:val="20"/>
                <w:szCs w:val="20"/>
              </w:rPr>
              <w:t xml:space="preserve">Conversion fee schedule</w:t>
            </w:r>
          </w:p>
        </w:tc>
        <w:tc>
          <w:tcPr>
            <w:tcW w:type="dxa" w:w="3160"/>
            <w:tcMar>
              <w:top w:type="dxa" w:w="80"/>
              <w:left w:type="dxa" w:w="100"/>
              <w:bottom w:type="dxa" w:w="80"/>
              <w:right w:type="dxa" w:w="100"/>
            </w:tcMar>
          </w:tcPr>
          <w:p>
            <w:r>
              <w:rPr>
                <w:b w:val="false"/>
                <w:bCs w:val="false"/>
                <w:sz w:val="20"/>
                <w:szCs w:val="20"/>
              </w:rPr>
              <w:t xml:space="preserve">Conversion Engine (REQ-031)</w:t>
            </w:r>
          </w:p>
        </w:tc>
        <w:tc>
          <w:tcPr>
            <w:tcW w:type="dxa" w:w="3600"/>
            <w:tcMar>
              <w:top w:type="dxa" w:w="80"/>
              <w:left w:type="dxa" w:w="100"/>
              <w:bottom w:type="dxa" w:w="80"/>
              <w:right w:type="dxa" w:w="100"/>
            </w:tcMar>
          </w:tcPr>
          <w:p>
            <w:r>
              <w:rPr>
                <w:b w:val="false"/>
                <w:bCs w:val="false"/>
                <w:sz w:val="20"/>
                <w:szCs w:val="20"/>
              </w:rPr>
              <w:t xml:space="preserve">A pricing/business decision, not an engineering one</w:t>
            </w:r>
          </w:p>
        </w:tc>
      </w:tr>
      <w:tr>
        <w:tc>
          <w:tcPr>
            <w:tcW w:type="dxa" w:w="2600"/>
            <w:tcMar>
              <w:top w:type="dxa" w:w="80"/>
              <w:left w:type="dxa" w:w="100"/>
              <w:bottom w:type="dxa" w:w="80"/>
              <w:right w:type="dxa" w:w="100"/>
            </w:tcMar>
          </w:tcPr>
          <w:p>
            <w:r>
              <w:rPr>
                <w:b w:val="false"/>
                <w:bCs w:val="false"/>
                <w:sz w:val="20"/>
                <w:szCs w:val="20"/>
              </w:rPr>
              <w:t xml:space="preserve">KRA tax rate table</w:t>
            </w:r>
          </w:p>
        </w:tc>
        <w:tc>
          <w:tcPr>
            <w:tcW w:type="dxa" w:w="3160"/>
            <w:tcMar>
              <w:top w:type="dxa" w:w="80"/>
              <w:left w:type="dxa" w:w="100"/>
              <w:bottom w:type="dxa" w:w="80"/>
              <w:right w:type="dxa" w:w="100"/>
            </w:tcMar>
          </w:tcPr>
          <w:p>
            <w:r>
              <w:rPr>
                <w:b w:val="false"/>
                <w:bCs w:val="false"/>
                <w:sz w:val="20"/>
                <w:szCs w:val="20"/>
              </w:rPr>
              <w:t xml:space="preserve">Compliance/Reporting (REQ-051)</w:t>
            </w:r>
          </w:p>
        </w:tc>
        <w:tc>
          <w:tcPr>
            <w:tcW w:type="dxa" w:w="3600"/>
            <w:tcMar>
              <w:top w:type="dxa" w:w="80"/>
              <w:left w:type="dxa" w:w="100"/>
              <w:bottom w:type="dxa" w:w="80"/>
              <w:right w:type="dxa" w:w="100"/>
            </w:tcMar>
          </w:tcPr>
          <w:p>
            <w:r>
              <w:rPr>
                <w:b w:val="false"/>
                <w:bCs w:val="false"/>
                <w:sz w:val="20"/>
                <w:szCs w:val="20"/>
              </w:rPr>
              <w:t xml:space="preserve">Government-set rates change on their own schedule</w:t>
            </w:r>
          </w:p>
        </w:tc>
      </w:tr>
      <w:tr>
        <w:tc>
          <w:tcPr>
            <w:tcW w:type="dxa" w:w="2600"/>
            <w:tcMar>
              <w:top w:type="dxa" w:w="80"/>
              <w:left w:type="dxa" w:w="100"/>
              <w:bottom w:type="dxa" w:w="80"/>
              <w:right w:type="dxa" w:w="100"/>
            </w:tcMar>
          </w:tcPr>
          <w:p>
            <w:r>
              <w:rPr>
                <w:b w:val="false"/>
                <w:bCs w:val="false"/>
                <w:sz w:val="20"/>
                <w:szCs w:val="20"/>
              </w:rPr>
              <w:t xml:space="preserve">Reconciliation mismatch tolerance</w:t>
            </w:r>
          </w:p>
        </w:tc>
        <w:tc>
          <w:tcPr>
            <w:tcW w:type="dxa" w:w="3160"/>
            <w:tcMar>
              <w:top w:type="dxa" w:w="80"/>
              <w:left w:type="dxa" w:w="100"/>
              <w:bottom w:type="dxa" w:w="80"/>
              <w:right w:type="dxa" w:w="100"/>
            </w:tcMar>
          </w:tcPr>
          <w:p>
            <w:r>
              <w:rPr>
                <w:b w:val="false"/>
                <w:bCs w:val="false"/>
                <w:sz w:val="20"/>
                <w:szCs w:val="20"/>
              </w:rPr>
              <w:t xml:space="preserve">Payments (REQ-042)</w:t>
            </w:r>
          </w:p>
        </w:tc>
        <w:tc>
          <w:tcPr>
            <w:tcW w:type="dxa" w:w="3600"/>
            <w:tcMar>
              <w:top w:type="dxa" w:w="80"/>
              <w:left w:type="dxa" w:w="100"/>
              <w:bottom w:type="dxa" w:w="80"/>
              <w:right w:type="dxa" w:w="100"/>
            </w:tcMar>
          </w:tcPr>
          <w:p>
            <w:r>
              <w:rPr>
                <w:b w:val="false"/>
                <w:bCs w:val="false"/>
                <w:sz w:val="20"/>
                <w:szCs w:val="20"/>
              </w:rPr>
              <w:t xml:space="preserve">Needs tuning to balance alert noise against real risk</w:t>
            </w:r>
          </w:p>
        </w:tc>
      </w:tr>
      <w:tr>
        <w:tc>
          <w:tcPr>
            <w:tcW w:type="dxa" w:w="2600"/>
            <w:tcMar>
              <w:top w:type="dxa" w:w="80"/>
              <w:left w:type="dxa" w:w="100"/>
              <w:bottom w:type="dxa" w:w="80"/>
              <w:right w:type="dxa" w:w="100"/>
            </w:tcMar>
          </w:tcPr>
          <w:p>
            <w:r>
              <w:rPr>
                <w:b w:val="false"/>
                <w:bCs w:val="false"/>
                <w:sz w:val="20"/>
                <w:szCs w:val="20"/>
              </w:rPr>
              <w:t xml:space="preserve">Data retention period, per data category</w:t>
            </w:r>
          </w:p>
        </w:tc>
        <w:tc>
          <w:tcPr>
            <w:tcW w:type="dxa" w:w="3160"/>
            <w:tcMar>
              <w:top w:type="dxa" w:w="80"/>
              <w:left w:type="dxa" w:w="100"/>
              <w:bottom w:type="dxa" w:w="80"/>
              <w:right w:type="dxa" w:w="100"/>
            </w:tcMar>
          </w:tcPr>
          <w:p>
            <w:r>
              <w:rPr>
                <w:b w:val="false"/>
                <w:bCs w:val="false"/>
                <w:sz w:val="20"/>
                <w:szCs w:val="20"/>
              </w:rPr>
              <w:t xml:space="preserve">Data lifecycle jobs (Section 11)</w:t>
            </w:r>
          </w:p>
        </w:tc>
        <w:tc>
          <w:tcPr>
            <w:tcW w:type="dxa" w:w="3600"/>
            <w:tcMar>
              <w:top w:type="dxa" w:w="80"/>
              <w:left w:type="dxa" w:w="100"/>
              <w:bottom w:type="dxa" w:w="80"/>
              <w:right w:type="dxa" w:w="100"/>
            </w:tcMar>
          </w:tcPr>
          <w:p>
            <w:r>
              <w:rPr>
                <w:b w:val="false"/>
                <w:bCs w:val="false"/>
                <w:sz w:val="20"/>
                <w:szCs w:val="20"/>
              </w:rPr>
              <w:t xml:space="preserve">Pending legal confirmation (BRS Section 6); must not require a deploy once known</w:t>
            </w:r>
          </w:p>
        </w:tc>
      </w:tr>
      <w:tr>
        <w:tc>
          <w:tcPr>
            <w:tcW w:type="dxa" w:w="2600"/>
            <w:tcMar>
              <w:top w:type="dxa" w:w="80"/>
              <w:left w:type="dxa" w:w="100"/>
              <w:bottom w:type="dxa" w:w="80"/>
              <w:right w:type="dxa" w:w="100"/>
            </w:tcMar>
          </w:tcPr>
          <w:p>
            <w:r>
              <w:rPr>
                <w:b w:val="false"/>
                <w:bCs w:val="false"/>
                <w:sz w:val="20"/>
                <w:szCs w:val="20"/>
              </w:rPr>
              <w:t xml:space="preserve">Password/MFA policy parameters</w:t>
            </w:r>
          </w:p>
        </w:tc>
        <w:tc>
          <w:tcPr>
            <w:tcW w:type="dxa" w:w="3160"/>
            <w:tcMar>
              <w:top w:type="dxa" w:w="80"/>
              <w:left w:type="dxa" w:w="100"/>
              <w:bottom w:type="dxa" w:w="80"/>
              <w:right w:type="dxa" w:w="100"/>
            </w:tcMar>
          </w:tcPr>
          <w:p>
            <w:r>
              <w:rPr>
                <w:b w:val="false"/>
                <w:bCs w:val="false"/>
                <w:sz w:val="20"/>
                <w:szCs w:val="20"/>
              </w:rPr>
              <w:t xml:space="preserve">Identity &amp; Access (REQ-001–002)</w:t>
            </w:r>
          </w:p>
        </w:tc>
        <w:tc>
          <w:tcPr>
            <w:tcW w:type="dxa" w:w="3600"/>
            <w:tcMar>
              <w:top w:type="dxa" w:w="80"/>
              <w:left w:type="dxa" w:w="100"/>
              <w:bottom w:type="dxa" w:w="80"/>
              <w:right w:type="dxa" w:w="100"/>
            </w:tcMar>
          </w:tcPr>
          <w:p>
            <w:r>
              <w:rPr>
                <w:b w:val="false"/>
                <w:bCs w:val="false"/>
                <w:sz w:val="20"/>
                <w:szCs w:val="20"/>
              </w:rPr>
              <w:t xml:space="preserve">Security posture may tighten over time without a code change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AfriXchange — Engineering Analysis &amp; Technical Design Companion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2026-07-13T19:26:12.511Z</dcterms:created>
  <dcterms:modified xsi:type="dcterms:W3CDTF">2026-07-13T19:26:12.511Z</dcterms:modified>
</cp:coreProperties>
</file>

<file path=docProps/custom.xml><?xml version="1.0" encoding="utf-8"?>
<Properties xmlns="http://schemas.openxmlformats.org/officeDocument/2006/custom-properties" xmlns:vt="http://schemas.openxmlformats.org/officeDocument/2006/docPropsVTypes"/>
</file>