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b w:val="1"/>
          <w:u w:val="single"/>
          <w:rtl w:val="0"/>
        </w:rPr>
        <w:t xml:space="preserve">A Call for Papers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About TPPA </w:t>
      </w:r>
    </w:p>
    <w:p w:rsidR="00000000" w:rsidDel="00000000" w:rsidP="00000000" w:rsidRDefault="00000000" w:rsidRPr="00000000" w14:paraId="00000007">
      <w:pPr>
        <w:spacing w:line="276" w:lineRule="auto"/>
        <w:rPr/>
      </w:pPr>
      <w:r w:rsidDel="00000000" w:rsidR="00000000" w:rsidRPr="00000000">
        <w:rPr>
          <w:rtl w:val="0"/>
        </w:rPr>
        <w:t xml:space="preserve">The Tanzania Privacy Professionals Association (TPPA) is a registered entity formed to support and advance privacy professionals in the United Republic of Tanzania. TPPA aims to serve as a platform for nurturing, supporting, influencing, and growing privacy expertise in the country.</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jc w:val="both"/>
        <w:rPr>
          <w:b w:val="1"/>
        </w:rPr>
      </w:pPr>
      <w:r w:rsidDel="00000000" w:rsidR="00000000" w:rsidRPr="00000000">
        <w:rPr>
          <w:rtl w:val="0"/>
        </w:rPr>
        <w:t xml:space="preserve">TPPA’s mission is to empower privacy professionals and businesses in Tanzania through comprehensive education, networking, and advocacy, fostering a culture of robust data protection and ethical digital practices. As a long-lasting vision, TPPA looks to be the leading platform for privacy excellence in Tanzania, recognized for driving innovation, protecting digital rights, and setting international standards in data privacy and protection.</w:t>
      </w:r>
      <w:r w:rsidDel="00000000" w:rsidR="00000000" w:rsidRPr="00000000">
        <w:rPr>
          <w:rtl w:val="0"/>
        </w:rPr>
      </w:r>
    </w:p>
    <w:p w:rsidR="00000000" w:rsidDel="00000000" w:rsidP="00000000" w:rsidRDefault="00000000" w:rsidRPr="00000000" w14:paraId="0000000A">
      <w:pPr>
        <w:spacing w:line="276" w:lineRule="auto"/>
        <w:jc w:val="both"/>
        <w:rPr>
          <w:b w:val="1"/>
        </w:rPr>
      </w:pPr>
      <w:r w:rsidDel="00000000" w:rsidR="00000000" w:rsidRPr="00000000">
        <w:rPr>
          <w:rtl w:val="0"/>
        </w:rPr>
      </w:r>
    </w:p>
    <w:p w:rsidR="00000000" w:rsidDel="00000000" w:rsidP="00000000" w:rsidRDefault="00000000" w:rsidRPr="00000000" w14:paraId="0000000B">
      <w:pPr>
        <w:spacing w:line="276" w:lineRule="auto"/>
        <w:jc w:val="both"/>
        <w:rPr>
          <w:b w:val="1"/>
        </w:rPr>
      </w:pPr>
      <w:r w:rsidDel="00000000" w:rsidR="00000000" w:rsidRPr="00000000">
        <w:rPr>
          <w:rtl w:val="0"/>
        </w:rPr>
      </w:r>
    </w:p>
    <w:p w:rsidR="00000000" w:rsidDel="00000000" w:rsidP="00000000" w:rsidRDefault="00000000" w:rsidRPr="00000000" w14:paraId="0000000C">
      <w:pPr>
        <w:spacing w:line="276" w:lineRule="auto"/>
        <w:jc w:val="both"/>
        <w:rPr>
          <w:b w:val="1"/>
        </w:rPr>
      </w:pPr>
      <w:r w:rsidDel="00000000" w:rsidR="00000000" w:rsidRPr="00000000">
        <w:rPr>
          <w:b w:val="1"/>
          <w:rtl w:val="0"/>
        </w:rPr>
        <w:t xml:space="preserve">TPPA Journal </w:t>
      </w:r>
    </w:p>
    <w:p w:rsidR="00000000" w:rsidDel="00000000" w:rsidP="00000000" w:rsidRDefault="00000000" w:rsidRPr="00000000" w14:paraId="0000000D">
      <w:pPr>
        <w:spacing w:line="276" w:lineRule="auto"/>
        <w:jc w:val="both"/>
        <w:rPr/>
      </w:pPr>
      <w:r w:rsidDel="00000000" w:rsidR="00000000" w:rsidRPr="00000000">
        <w:rPr>
          <w:rtl w:val="0"/>
        </w:rPr>
        <w:t xml:space="preserve">The </w:t>
      </w:r>
      <w:r w:rsidDel="00000000" w:rsidR="00000000" w:rsidRPr="00000000">
        <w:rPr>
          <w:rtl w:val="0"/>
        </w:rPr>
        <w:t xml:space="preserve">TPPA journal serves as a comprehensive platform dedicated to exploring the dynamic and evolving landscape of data privacy, security, and protection across the African continent. This journal aims to provide a space for scholarly discourse, policy analysis, legal frameworks, and practical solutions to address these issues in the African context.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Call for Submissions</w:t>
      </w:r>
    </w:p>
    <w:p w:rsidR="00000000" w:rsidDel="00000000" w:rsidP="00000000" w:rsidRDefault="00000000" w:rsidRPr="00000000" w14:paraId="00000011">
      <w:pPr>
        <w:jc w:val="both"/>
        <w:rPr/>
      </w:pPr>
      <w:r w:rsidDel="00000000" w:rsidR="00000000" w:rsidRPr="00000000">
        <w:rPr>
          <w:rtl w:val="0"/>
        </w:rPr>
        <w:t xml:space="preserve">The TPPA Legal-Tech Review/Journal calls for paper submission for its inaugural Special Issue.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This is a call to invite high-quality submissions for its upcoming special issue on the theme “Data Protection During Elections and Political Processes.” This issue seeks to explore the legal, technological, ethical, and regulatory dimensions of data protection in the context of electoral processes and political undertakings. Elections and political processes continue to employ technology to support, simplify and expedite  important democratic activities. Unfortunately, these developments touch into some of the most important aspects of citizens and their ability to exercise their civic rights. One of the areas affected is the privacy of individuals and integrity of their personal information used to facilitate these political processes. As such, the need to balance the protection of individual rights (to data and privacy) while ensuring free and fair elections as well as support crucial political processes becomes of utmost importance.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We welcome original articles, case studies, policy analyses, and interdisciplinary research from legal scholars, technologists, policymakers, practitioners, and beyond. Contributions may focus on national, regional, or international perspectives.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Submission can focus on any of the following Sub-Themes: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A Look at Legal Frameworks for Electoral Data Protection: Comparative analysis of existing laws, regulations, and standards governing political data privacy.</w:t>
      </w:r>
      <w:r w:rsidDel="00000000" w:rsidR="00000000" w:rsidRPr="00000000">
        <w:rPr>
          <w:rtl w:val="0"/>
        </w:rPr>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Cross-Border Data Flows in to Support Political Processes or Campaigns.</w:t>
      </w:r>
      <w:r w:rsidDel="00000000" w:rsidR="00000000" w:rsidRPr="00000000">
        <w:rPr>
          <w:rtl w:val="0"/>
        </w:rPr>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Artificial Intelligence and Voter Profiling: Ethical and legal implications of Artificial Intelligence (AI)I-driven microtargeting in political messaging.</w:t>
      </w:r>
      <w:r w:rsidDel="00000000" w:rsidR="00000000" w:rsidRPr="00000000">
        <w:rPr>
          <w:rtl w:val="0"/>
        </w:rPr>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Cybersecurity and Election Infrastructure: Safeguarding electoral rolls, voting machines, and digital polling systems from data breaches and manipulation.</w:t>
      </w:r>
      <w:r w:rsidDel="00000000" w:rsidR="00000000" w:rsidRPr="00000000">
        <w:rPr>
          <w:rtl w:val="0"/>
        </w:rPr>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Role of Data Protection Authorities in Political Contexts: Institutional oversight, enforcement gaps, and proactive regulation of political actions.</w:t>
      </w:r>
      <w:r w:rsidDel="00000000" w:rsidR="00000000" w:rsidRPr="00000000">
        <w:rPr>
          <w:rtl w:val="0"/>
        </w:rPr>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Digital Campaigning and Consent: Legal responsibilities of political parties in collecting and using personal data during campaigns.</w:t>
      </w:r>
      <w:r w:rsidDel="00000000" w:rsidR="00000000" w:rsidRPr="00000000">
        <w:rPr>
          <w:rtl w:val="0"/>
        </w:rPr>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Social Media Platforms and Political Advertising Transparency: Accountability of tech platforms in handling political data and ensuring fair use.</w:t>
      </w:r>
      <w:r w:rsidDel="00000000" w:rsidR="00000000" w:rsidRPr="00000000">
        <w:rPr>
          <w:rtl w:val="0"/>
        </w:rPr>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Biometric Data in Voter Registration and Identification: Risks and safeguards in using biometric systems for electoral processes.</w:t>
      </w:r>
      <w:r w:rsidDel="00000000" w:rsidR="00000000" w:rsidRPr="00000000">
        <w:rPr>
          <w:rtl w:val="0"/>
        </w:rPr>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Freedom of Expression vs. Data Privacy in Political Discourse: Balancing open political debate with the right to informational privacy.</w:t>
      </w:r>
      <w:r w:rsidDel="00000000" w:rsidR="00000000" w:rsidRPr="00000000">
        <w:rPr>
          <w:rtl w:val="0"/>
        </w:rPr>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Blockchain and Emerging Technologies in Electoral Systems: Opportunities and pitfalls in using distributed technologies for secure and transparent elections.</w:t>
      </w:r>
      <w:r w:rsidDel="00000000" w:rsidR="00000000" w:rsidRPr="00000000">
        <w:rPr>
          <w:rtl w:val="0"/>
        </w:rPr>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Misinformation, Disinformation, and Data Integrity: Legal and technical strategies to combat data-driven political misinformation campaigns.</w:t>
      </w:r>
      <w:r w:rsidDel="00000000" w:rsidR="00000000" w:rsidRPr="00000000">
        <w:rPr>
          <w:rtl w:val="0"/>
        </w:rPr>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Civic Tech and Citizen-Led Data Auditing During Elections: Empowering the electorate through technology-driven transparency tools.</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Submission Guidelines</w:t>
      </w:r>
    </w:p>
    <w:p w:rsidR="00000000" w:rsidDel="00000000" w:rsidP="00000000" w:rsidRDefault="00000000" w:rsidRPr="00000000" w14:paraId="00000030">
      <w:pPr>
        <w:jc w:val="both"/>
        <w:rPr/>
      </w:pPr>
      <w:r w:rsidDel="00000000" w:rsidR="00000000" w:rsidRPr="00000000">
        <w:rPr>
          <w:rtl w:val="0"/>
        </w:rPr>
        <w:t xml:space="preserve">Manuscripts must be original and not under consideration elsewhere. We do not discourage the use of Artificial Intelligence (AI) tools, however we strongly advise that the authors clearly disclose </w:t>
      </w:r>
      <w:r w:rsidDel="00000000" w:rsidR="00000000" w:rsidRPr="00000000">
        <w:rPr>
          <w:rtl w:val="0"/>
        </w:rPr>
        <w:t xml:space="preserve">the extent and aspects of AI use in their work. </w:t>
      </w:r>
    </w:p>
    <w:p w:rsidR="00000000" w:rsidDel="00000000" w:rsidP="00000000" w:rsidRDefault="00000000" w:rsidRPr="00000000" w14:paraId="00000031">
      <w:pPr>
        <w:jc w:val="both"/>
        <w:rPr>
          <w:color w:val="ff0000"/>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Format</w:t>
      </w:r>
    </w:p>
    <w:p w:rsidR="00000000" w:rsidDel="00000000" w:rsidP="00000000" w:rsidRDefault="00000000" w:rsidRPr="00000000" w14:paraId="00000033">
      <w:pPr>
        <w:jc w:val="both"/>
        <w:rPr/>
      </w:pPr>
      <w:r w:rsidDel="00000000" w:rsidR="00000000" w:rsidRPr="00000000">
        <w:rPr>
          <w:b w:val="1"/>
          <w:rtl w:val="0"/>
        </w:rPr>
        <w:t xml:space="preserve">Language</w:t>
      </w:r>
      <w:r w:rsidDel="00000000" w:rsidR="00000000" w:rsidRPr="00000000">
        <w:rPr>
          <w:rtl w:val="0"/>
        </w:rPr>
        <w:t xml:space="preserve">: </w:t>
      </w:r>
      <w:r w:rsidDel="00000000" w:rsidR="00000000" w:rsidRPr="00000000">
        <w:rPr>
          <w:rtl w:val="0"/>
        </w:rPr>
        <w:t xml:space="preserve">Submissions must be written in English, using a clear, formal tone. </w:t>
      </w: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Length</w:t>
      </w:r>
      <w:r w:rsidDel="00000000" w:rsidR="00000000" w:rsidRPr="00000000">
        <w:rPr>
          <w:rtl w:val="0"/>
        </w:rPr>
        <w:t xml:space="preserve">: </w:t>
      </w:r>
      <w:r w:rsidDel="00000000" w:rsidR="00000000" w:rsidRPr="00000000">
        <w:rPr>
          <w:rtl w:val="0"/>
        </w:rPr>
        <w:t xml:space="preserve">Articles between 5,000 – 10,000 words; Case notes and policy briefs between 2,000 – 4,000 words.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spacing w:line="276" w:lineRule="auto"/>
        <w:ind w:left="720" w:firstLine="0"/>
        <w:jc w:val="both"/>
        <w:rPr/>
      </w:pPr>
      <w:r w:rsidDel="00000000" w:rsidR="00000000" w:rsidRPr="00000000">
        <w:rPr>
          <w:rtl w:val="0"/>
        </w:rPr>
      </w:r>
    </w:p>
    <w:p w:rsidR="00000000" w:rsidDel="00000000" w:rsidP="00000000" w:rsidRDefault="00000000" w:rsidRPr="00000000" w14:paraId="00000037">
      <w:pPr>
        <w:spacing w:line="276" w:lineRule="auto"/>
        <w:ind w:left="720" w:firstLine="0"/>
        <w:jc w:val="both"/>
        <w:rPr/>
      </w:pPr>
      <w:r w:rsidDel="00000000" w:rsidR="00000000" w:rsidRPr="00000000">
        <w:rPr>
          <w:rtl w:val="0"/>
        </w:rPr>
      </w:r>
    </w:p>
    <w:p w:rsidR="00000000" w:rsidDel="00000000" w:rsidP="00000000" w:rsidRDefault="00000000" w:rsidRPr="00000000" w14:paraId="00000038">
      <w:pPr>
        <w:spacing w:line="276" w:lineRule="auto"/>
        <w:ind w:left="0" w:firstLine="0"/>
        <w:jc w:val="both"/>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39">
      <w:pPr>
        <w:spacing w:line="276" w:lineRule="auto"/>
        <w:ind w:left="0" w:firstLine="0"/>
        <w:jc w:val="both"/>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Title</w:t>
      </w:r>
      <w:r w:rsidDel="00000000" w:rsidR="00000000" w:rsidRPr="00000000">
        <w:rPr>
          <w:rFonts w:ascii="Roboto" w:cs="Roboto" w:eastAsia="Roboto" w:hAnsi="Roboto"/>
          <w:sz w:val="21"/>
          <w:szCs w:val="21"/>
          <w:highlight w:val="white"/>
          <w:rtl w:val="0"/>
        </w:rPr>
        <w:t xml:space="preserve">: The title of articles must not exceed 15 words. This includes punctuation marks if used. The title must be capitalized and rendered in Bold, </w:t>
      </w:r>
      <w:r w:rsidDel="00000000" w:rsidR="00000000" w:rsidRPr="00000000">
        <w:rPr>
          <w:rtl w:val="0"/>
        </w:rPr>
        <w:t xml:space="preserve">Times New Roman</w:t>
      </w:r>
      <w:r w:rsidDel="00000000" w:rsidR="00000000" w:rsidRPr="00000000">
        <w:rPr>
          <w:rFonts w:ascii="Roboto" w:cs="Roboto" w:eastAsia="Roboto" w:hAnsi="Roboto"/>
          <w:sz w:val="21"/>
          <w:szCs w:val="21"/>
          <w:highlight w:val="white"/>
          <w:rtl w:val="0"/>
        </w:rPr>
        <w:t xml:space="preserve"> 12 Pt, and aligned to the centre.</w:t>
      </w:r>
    </w:p>
    <w:p w:rsidR="00000000" w:rsidDel="00000000" w:rsidP="00000000" w:rsidRDefault="00000000" w:rsidRPr="00000000" w14:paraId="0000003A">
      <w:pPr>
        <w:spacing w:line="276" w:lineRule="auto"/>
        <w:ind w:left="0" w:firstLine="0"/>
        <w:jc w:val="both"/>
        <w:rPr/>
      </w:pPr>
      <w:r w:rsidDel="00000000" w:rsidR="00000000" w:rsidRPr="00000000">
        <w:rPr>
          <w:b w:val="1"/>
          <w:rtl w:val="0"/>
        </w:rPr>
        <w:t xml:space="preserve">Body</w:t>
      </w:r>
      <w:r w:rsidDel="00000000" w:rsidR="00000000" w:rsidRPr="00000000">
        <w:rPr>
          <w:rtl w:val="0"/>
        </w:rPr>
        <w:t xml:space="preserve">: </w:t>
      </w:r>
      <w:r w:rsidDel="00000000" w:rsidR="00000000" w:rsidRPr="00000000">
        <w:rPr>
          <w:rtl w:val="0"/>
        </w:rPr>
        <w:t xml:space="preserve">The body of the article should be divided into the introduction, methodology (if applicable), analysis or discussion, and conclusion. Each section should flow logically, with well-organised paragraphs and headings that guide the reader through the argument or findings. </w:t>
      </w:r>
    </w:p>
    <w:p w:rsidR="00000000" w:rsidDel="00000000" w:rsidP="00000000" w:rsidRDefault="00000000" w:rsidRPr="00000000" w14:paraId="0000003B">
      <w:pPr>
        <w:spacing w:line="276" w:lineRule="auto"/>
        <w:ind w:left="0" w:firstLine="0"/>
        <w:jc w:val="both"/>
        <w:rPr/>
      </w:pPr>
      <w:r w:rsidDel="00000000" w:rsidR="00000000" w:rsidRPr="00000000">
        <w:rPr>
          <w:b w:val="1"/>
          <w:rtl w:val="0"/>
        </w:rPr>
        <w:t xml:space="preserve">References</w:t>
      </w:r>
      <w:r w:rsidDel="00000000" w:rsidR="00000000" w:rsidRPr="00000000">
        <w:rPr>
          <w:rtl w:val="0"/>
        </w:rPr>
        <w:t xml:space="preserve">: These should be formatted according to footnotes and a full reference list at the end of the article. Tables, figures, and charts must be clearly labelled and referenced within the text.</w:t>
      </w:r>
    </w:p>
    <w:p w:rsidR="00000000" w:rsidDel="00000000" w:rsidP="00000000" w:rsidRDefault="00000000" w:rsidRPr="00000000" w14:paraId="0000003C">
      <w:pPr>
        <w:spacing w:line="276" w:lineRule="auto"/>
        <w:ind w:left="0" w:firstLine="0"/>
        <w:jc w:val="both"/>
        <w:rPr>
          <w:color w:val="0000ff"/>
        </w:rPr>
      </w:pPr>
      <w:r w:rsidDel="00000000" w:rsidR="00000000" w:rsidRPr="00000000">
        <w:rPr>
          <w:rFonts w:ascii="Roboto" w:cs="Roboto" w:eastAsia="Roboto" w:hAnsi="Roboto"/>
          <w:b w:val="1"/>
          <w:sz w:val="21"/>
          <w:szCs w:val="21"/>
          <w:highlight w:val="white"/>
          <w:rtl w:val="0"/>
        </w:rPr>
        <w:t xml:space="preserve">Font</w:t>
      </w:r>
      <w:r w:rsidDel="00000000" w:rsidR="00000000" w:rsidRPr="00000000">
        <w:rPr>
          <w:rFonts w:ascii="Roboto" w:cs="Roboto" w:eastAsia="Roboto" w:hAnsi="Roboto"/>
          <w:sz w:val="21"/>
          <w:szCs w:val="21"/>
          <w:highlight w:val="white"/>
          <w:rtl w:val="0"/>
        </w:rPr>
        <w:t xml:space="preserve">: </w:t>
      </w:r>
      <w:r w:rsidDel="00000000" w:rsidR="00000000" w:rsidRPr="00000000">
        <w:rPr>
          <w:rtl w:val="0"/>
        </w:rPr>
        <w:t xml:space="preserve">All submissions should be typed in Times New Roman font, 12-point size, with 1.5 line spacing and a 1-inch margin on all sides.</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All submissions will undergo double-blind peer review.</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Deadline for Submissions: Monday, 16th June 2025</w:t>
      </w:r>
    </w:p>
    <w:p w:rsidR="00000000" w:rsidDel="00000000" w:rsidP="00000000" w:rsidRDefault="00000000" w:rsidRPr="00000000" w14:paraId="00000041">
      <w:pPr>
        <w:jc w:val="both"/>
        <w:rPr/>
      </w:pPr>
      <w:r w:rsidDel="00000000" w:rsidR="00000000" w:rsidRPr="00000000">
        <w:rPr>
          <w:rtl w:val="0"/>
        </w:rPr>
        <w:t xml:space="preserve">Notification of Acceptance: Monday, 28th July 2025</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All submissions and inquiries should be sent to </w:t>
      </w:r>
      <w:hyperlink r:id="rId7">
        <w:r w:rsidDel="00000000" w:rsidR="00000000" w:rsidRPr="00000000">
          <w:rPr>
            <w:color w:val="1155cc"/>
            <w:u w:val="single"/>
            <w:rtl w:val="0"/>
          </w:rPr>
          <w:t xml:space="preserve">Journal@tpp</w:t>
        </w:r>
      </w:hyperlink>
      <w:hyperlink r:id="rId8">
        <w:r w:rsidDel="00000000" w:rsidR="00000000" w:rsidRPr="00000000">
          <w:rPr>
            <w:color w:val="1155cc"/>
            <w:u w:val="single"/>
            <w:rtl w:val="0"/>
          </w:rPr>
          <w:t xml:space="preserve">a.co.tz</w:t>
        </w:r>
      </w:hyperlink>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We look forward to your contributions to this vital and timely discourse.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TPPA Legal-Tech Review Editorial Board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1423988</wp:posOffset>
          </wp:positionH>
          <wp:positionV relativeFrom="paragraph">
            <wp:posOffset>-38099</wp:posOffset>
          </wp:positionV>
          <wp:extent cx="3099159" cy="1262743"/>
          <wp:effectExtent b="0" l="0" r="0" t="0"/>
          <wp:wrapNone/>
          <wp:docPr id="1" name="image1.png"/>
          <a:graphic>
            <a:graphicData uri="http://schemas.openxmlformats.org/drawingml/2006/picture">
              <pic:pic>
                <pic:nvPicPr>
                  <pic:cNvPr id="0" name="image1.png"/>
                  <pic:cNvPicPr preferRelativeResize="0"/>
                </pic:nvPicPr>
                <pic:blipFill>
                  <a:blip r:embed="rId1"/>
                  <a:srcRect b="30054" l="8212" r="9971" t="32529"/>
                  <a:stretch>
                    <a:fillRect/>
                  </a:stretch>
                </pic:blipFill>
                <pic:spPr>
                  <a:xfrm>
                    <a:off x="0" y="0"/>
                    <a:ext cx="3099159" cy="126274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urnal@tppa.co.tz" TargetMode="External"/><Relationship Id="rId8" Type="http://schemas.openxmlformats.org/officeDocument/2006/relationships/hyperlink" Target="mailto:Journal@tppa.co.t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s0b8Sg2JP2sBAZ1buE6mI4Unag==">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