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46"/>
          <w:szCs w:val="46"/>
        </w:rPr>
        <w:t xml:space="preserve">Does Discounting Actually Hurt Profit?</w:t>
      </w:r>
    </w:p>
    <w:p>
      <w:pPr>
        <w:spacing w:after="360"/>
        <w:jc w:val="center"/>
      </w:pPr>
      <w:r>
        <w:rPr>
          <w:b/>
          <w:bCs/>
          <w:color w:val="E8703A"/>
          <w:sz w:val="32"/>
          <w:szCs w:val="32"/>
        </w:rPr>
        <w:t xml:space="preserve">A Hypothesis Testing Report on Retail Sales Data</w:t>
      </w:r>
    </w:p>
    <w:p>
      <w:pPr>
        <w:spacing w:after="700"/>
        <w:jc w:val="center"/>
      </w:pPr>
      <w:r>
        <w:rPr>
          <w:i/>
          <w:iCs/>
          <w:color w:val="595959"/>
          <w:sz w:val="24"/>
          <w:szCs w:val="24"/>
        </w:rPr>
        <w:t xml:space="preserve">Week 3 Task – Statistical Analysis and Hypothesis Testing in Python</w:t>
      </w:r>
    </w:p>
    <w:p>
      <w:pPr>
        <w:spacing w:after="90"/>
        <w:jc w:val="center"/>
      </w:pPr>
      <w:r>
        <w:rPr>
          <w:sz w:val="22"/>
          <w:szCs w:val="22"/>
        </w:rPr>
        <w:t xml:space="preserve">Yuva Intern / NSDC Data Analytics Program</w:t>
      </w:r>
    </w:p>
    <w:p>
      <w:pPr>
        <w:spacing w:after="90"/>
        <w:jc w:val="center"/>
      </w:pPr>
      <w:r>
        <w:rPr>
          <w:color w:val="595959"/>
          <w:sz w:val="20"/>
          <w:szCs w:val="20"/>
        </w:rPr>
        <w:t xml:space="preserve">Python libraries used: Pandas, NumPy, SciPy, Matplotlib, Seaborn</w:t>
      </w:r>
    </w:p>
    <w:p>
      <w:pPr>
        <w:jc w:val="center"/>
      </w:pPr>
      <w:r>
        <w:rPr>
          <w:color w:val="595959"/>
          <w:sz w:val="20"/>
          <w:szCs w:val="20"/>
        </w:rPr>
        <w:t xml:space="preserve">August 2026</w:t>
      </w:r>
    </w:p>
    <w:p>
      <w:r>
        <w:br w:type="page"/>
      </w:r>
    </w:p>
    <w:p>
      <w:pPr>
        <w:pStyle w:val="Heading1"/>
        <w:spacing w:after="160" w:before="340"/>
      </w:pPr>
      <w:r>
        <w:t xml:space="preserve">1. Introduction and Hypothesis</w:t>
      </w:r>
    </w:p>
    <w:p>
      <w:pPr>
        <w:spacing w:after="170" w:line="300"/>
      </w:pPr>
      <w:r>
        <w:t xml:space="preserve">For this task I reused the retail sales dataset I built for the Week 2 visualization assignment (9,000 order records across 5 regions, 3 product categories, and 3 customer segments, from Jan 2023 to Dec 2024). In that report I noticed on the discount-vs-profit chart that heavily discounted orders looked like they were losing money, but I never actually tested that statistically - it was just eyeballed from a scatter plot. So this week I wanted to go back and properly test it, along with two other questions I was curious about.</w:t>
      </w:r>
    </w:p>
    <w:p>
      <w:pPr>
        <w:spacing w:after="170" w:line="300"/>
      </w:pPr>
      <w:r>
        <w:t xml:space="preserve">I picked three separate hypotheses so I could practice three different tests, as required by the task:</w:t>
      </w:r>
    </w:p>
    <w:p>
      <w:pPr>
        <w:pStyle w:val="ListParagraph"/>
        <w:numPr>
          <w:ilvl w:val="0"/>
          <w:numId w:val="1"/>
        </w:numPr>
        <w:spacing w:after="90"/>
      </w:pPr>
      <w:r>
        <w:t xml:space="preserve">H1 (t-test): Discounted orders have a lower average profit margin than non-discounted orders.</w:t>
      </w:r>
    </w:p>
    <w:p>
      <w:pPr>
        <w:pStyle w:val="ListParagraph"/>
        <w:numPr>
          <w:ilvl w:val="0"/>
          <w:numId w:val="1"/>
        </w:numPr>
        <w:spacing w:after="90"/>
      </w:pPr>
      <w:r>
        <w:t xml:space="preserve">H2 (chi-square): A customer's segment (Consumer / Corporate / Home Office) is related to which product category they buy.</w:t>
      </w:r>
    </w:p>
    <w:p>
      <w:pPr>
        <w:pStyle w:val="ListParagraph"/>
        <w:numPr>
          <w:ilvl w:val="0"/>
          <w:numId w:val="1"/>
        </w:numPr>
        <w:spacing w:after="90"/>
      </w:pPr>
      <w:r>
        <w:t xml:space="preserve">H3 (ANOVA): Average order value (Sales) is not the same across all five regions.</w:t>
      </w:r>
    </w:p>
    <w:p>
      <w:pPr>
        <w:spacing w:after="170" w:line="300"/>
      </w:pPr>
      <w:r>
        <w:t xml:space="preserve">For each one I set a null hypothesis (no difference / no relationship) and an alternative hypothesis, ran the appropriate test in Python, and checked the result against a significance level of α = 0.05.</w:t>
      </w:r>
    </w:p>
    <w:p>
      <w:pPr>
        <w:pStyle w:val="Heading1"/>
        <w:spacing w:after="160" w:before="340"/>
      </w:pPr>
      <w:r>
        <w:t xml:space="preserve">2. Data and Methodology</w:t>
      </w:r>
    </w:p>
    <w:p>
      <w:pPr>
        <w:pStyle w:val="Heading2"/>
        <w:spacing w:after="130" w:before="240"/>
      </w:pPr>
      <w:r>
        <w:t xml:space="preserve">2.1 Dataset</w:t>
      </w:r>
    </w:p>
    <w:p>
      <w:pPr>
        <w:spacing w:after="170" w:line="300"/>
      </w:pPr>
      <w:r>
        <w:t xml:space="preserve">Same dataset as last week - retail_sales_synthetic.csv. Relevant columns for this analysis: Region, Category, Segment, Sales, Profit, Discount, and ProfitMargin (Profit divided by Sales). I added one derived column, Discounted, which is just "Discounted" if Discount &gt; 0 and "No Discount" if Discount = 0, so I could split the data into two clean groups for the t-test.</w:t>
      </w:r>
    </w:p>
    <w:p>
      <w:pPr>
        <w:pStyle w:val="Heading2"/>
        <w:spacing w:after="130" w:before="240"/>
      </w:pPr>
      <w:r>
        <w:t xml:space="preserve">2.2 Why these tests</w:t>
      </w:r>
    </w:p>
    <w:p>
      <w:pPr>
        <w:pStyle w:val="ListParagraph"/>
        <w:numPr>
          <w:ilvl w:val="0"/>
          <w:numId w:val="1"/>
        </w:numPr>
        <w:spacing w:after="90"/>
      </w:pPr>
      <w:r>
        <w:t xml:space="preserve">Independent samples t-test - because I'm comparing the mean of a continuous variable (profit margin) between two independent groups (discounted vs not).</w:t>
      </w:r>
    </w:p>
    <w:p>
      <w:pPr>
        <w:pStyle w:val="ListParagraph"/>
        <w:numPr>
          <w:ilvl w:val="0"/>
          <w:numId w:val="1"/>
        </w:numPr>
        <w:spacing w:after="90"/>
      </w:pPr>
      <w:r>
        <w:t xml:space="preserve">Chi-square test of independence - because both Segment and Category are categorical variables, so I can't use a t-test or ANOVA here. Chi-square checks whether the observed counts in a segment x category table differ from what you'd expect if the two variables were unrelated.</w:t>
      </w:r>
    </w:p>
    <w:p>
      <w:pPr>
        <w:pStyle w:val="ListParagraph"/>
        <w:numPr>
          <w:ilvl w:val="0"/>
          <w:numId w:val="1"/>
        </w:numPr>
        <w:spacing w:after="90"/>
      </w:pPr>
      <w:r>
        <w:t xml:space="preserve">One-way ANOVA - because Region has 5 groups (not just 2), so a t-test doesn't apply directly. ANOVA checks whether at least one region's mean Sales is different from the others.</w:t>
      </w:r>
    </w:p>
    <w:p>
      <w:pPr>
        <w:pStyle w:val="Heading2"/>
        <w:spacing w:after="130" w:before="240"/>
      </w:pPr>
      <w:r>
        <w:t xml:space="preserve">2.3 Tools</w:t>
      </w:r>
    </w:p>
    <w:p>
      <w:pPr>
        <w:spacing w:after="170" w:line="300"/>
      </w:pPr>
      <w:r>
        <w:t xml:space="preserve">All tests were run using scipy.stats (ttest_ind, chi2_contingency, f_oneway). I also computed the ANOVA sum-of-squares table manually with pandas/numpy to double check scipy's F value and to actually understand what's going on under the hood instead of just calling a function. Charts were made with Matplotlib and Seaborn.</w:t>
      </w:r>
    </w:p>
    <w:p>
      <w:pPr>
        <w:pStyle w:val="Heading1"/>
        <w:spacing w:after="160" w:before="340"/>
      </w:pPr>
      <w:r>
        <w:t xml:space="preserve">3. Test 1 – Does Discounting Lower Profit Margin?</w:t>
      </w:r>
    </w:p>
    <w:p>
      <w:pPr>
        <w:pStyle w:val="Heading2"/>
        <w:spacing w:after="130" w:before="240"/>
      </w:pPr>
      <w:r>
        <w:t xml:space="preserve">3.1 Hypotheses</w:t>
      </w:r>
    </w:p>
    <w:p>
      <w:pPr>
        <w:spacing w:after="170" w:line="300"/>
      </w:pPr>
      <w:r>
        <w:t xml:space="preserve">H0: mean profit margin is the same for discounted and non-discounted orders.</w:t>
      </w:r>
    </w:p>
    <w:p>
      <w:pPr>
        <w:spacing w:after="170" w:line="300"/>
      </w:pPr>
      <w:r>
        <w:t xml:space="preserve">H1: mean profit margin for discounted orders is lower than for non-discounted orders (one-tailed).</w:t>
      </w:r>
    </w:p>
    <w:p>
      <w:pPr>
        <w:pStyle w:val="Heading2"/>
        <w:spacing w:after="130" w:before="240"/>
      </w:pPr>
      <w:r>
        <w:t xml:space="preserve">3.2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disc = df.loc[df.Discounted == "Discounted", "ProfitMargin"]</w:t>
            </w:r>
          </w:p>
          <w:p>
            <w:pPr>
              <w:spacing w:after="20"/>
            </w:pPr>
            <w:r>
              <w:rPr>
                <w:rFonts w:ascii="Consolas" w:cs="Consolas" w:eastAsia="Consolas" w:hAnsi="Consolas"/>
                <w:color w:val="1a1a1a"/>
                <w:sz w:val="18"/>
                <w:szCs w:val="18"/>
              </w:rPr>
              <w:t xml:space="preserve">nodisc = df.loc[df.Discounted == "No Discount", "ProfitMargin"]</w:t>
            </w:r>
          </w:p>
          <w:p>
            <w:pPr>
              <w:spacing w:after="20"/>
            </w:pPr>
            <w:r>
              <w:rPr>
                <w:rFonts w:ascii="Consolas" w:cs="Consolas" w:eastAsia="Consolas" w:hAnsi="Consolas"/>
                <w:color w:val="1a1a1a"/>
                <w:sz w:val="18"/>
                <w:szCs w:val="18"/>
              </w:rPr>
              <w:t xml:space="preserve"/>
            </w:r>
          </w:p>
          <w:p>
            <w:pPr>
              <w:spacing w:after="20"/>
            </w:pPr>
            <w:r>
              <w:rPr>
                <w:rFonts w:ascii="Consolas" w:cs="Consolas" w:eastAsia="Consolas" w:hAnsi="Consolas"/>
                <w:color w:val="1a1a1a"/>
                <w:sz w:val="18"/>
                <w:szCs w:val="18"/>
              </w:rPr>
              <w:t xml:space="preserve">t_stat, p_two = stats.ttest_ind(disc, nodisc, equal_var=False)</w:t>
            </w:r>
          </w:p>
          <w:p>
            <w:pPr>
              <w:spacing w:after="20"/>
            </w:pPr>
            <w:r>
              <w:rPr>
                <w:rFonts w:ascii="Consolas" w:cs="Consolas" w:eastAsia="Consolas" w:hAnsi="Consolas"/>
                <w:color w:val="1a1a1a"/>
                <w:sz w:val="18"/>
                <w:szCs w:val="18"/>
              </w:rPr>
              <w:t xml:space="preserve">mean_diff = disc.mean() - nodisc.mean()</w:t>
            </w:r>
          </w:p>
          <w:p>
            <w:pPr>
              <w:spacing w:after="20"/>
            </w:pPr>
            <w:r>
              <w:rPr>
                <w:rFonts w:ascii="Consolas" w:cs="Consolas" w:eastAsia="Consolas" w:hAnsi="Consolas"/>
                <w:color w:val="1a1a1a"/>
                <w:sz w:val="18"/>
                <w:szCs w:val="18"/>
              </w:rPr>
              <w:t xml:space="preserve">se_diff = np.sqrt(disc.var(ddof=1)/len(disc) + nodisc.var(ddof=1)/len(nodisc))</w:t>
            </w:r>
          </w:p>
          <w:p>
            <w:pPr>
              <w:spacing w:after="20"/>
            </w:pPr>
            <w:r>
              <w:rPr>
                <w:rFonts w:ascii="Consolas" w:cs="Consolas" w:eastAsia="Consolas" w:hAnsi="Consolas"/>
                <w:color w:val="1a1a1a"/>
                <w:sz w:val="18"/>
                <w:szCs w:val="18"/>
              </w:rPr>
              <w:t xml:space="preserve">ci_low, ci_high = mean_diff - 1.96*se_diff, mean_diff + 1.96*se_diff</w:t>
            </w:r>
          </w:p>
        </w:tc>
      </w:tr>
    </w:tbl>
    <w:p>
      <w:pPr>
        <w:spacing w:after="200"/>
      </w:pPr>
    </w:p>
    <w:p>
      <w:pPr>
        <w:pStyle w:val="Heading2"/>
        <w:spacing w:after="130" w:before="240"/>
      </w:pPr>
      <w:r>
        <w:t xml:space="preserve">3.3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3864" w:color="auto" w:val="clear"/>
            <w:tcMar>
              <w:top w:type="dxa" w:w="90"/>
              <w:left w:type="dxa" w:w="140"/>
              <w:bottom w:type="dxa" w:w="90"/>
              <w:right w:type="dxa" w:w="140"/>
            </w:tcMar>
          </w:tcPr>
          <w:p>
            <w:r>
              <w:rPr>
                <w:b/>
                <w:bCs/>
                <w:color w:val="FFFFFF"/>
                <w:sz w:val="20"/>
                <w:szCs w:val="20"/>
              </w:rPr>
              <w:t xml:space="preserve">Group</w:t>
            </w:r>
          </w:p>
        </w:tc>
        <w:tc>
          <w:tcPr>
            <w:tcW w:type="pct" w:w="25%"/>
            <w:shd w:fill="1F3864" w:color="auto" w:val="clear"/>
            <w:tcMar>
              <w:top w:type="dxa" w:w="90"/>
              <w:left w:type="dxa" w:w="140"/>
              <w:bottom w:type="dxa" w:w="90"/>
              <w:right w:type="dxa" w:w="140"/>
            </w:tcMar>
          </w:tcPr>
          <w:p>
            <w:r>
              <w:rPr>
                <w:b/>
                <w:bCs/>
                <w:color w:val="FFFFFF"/>
                <w:sz w:val="20"/>
                <w:szCs w:val="20"/>
              </w:rPr>
              <w:t xml:space="preserve">n</w:t>
            </w:r>
          </w:p>
        </w:tc>
        <w:tc>
          <w:tcPr>
            <w:tcW w:type="pct" w:w="25%"/>
            <w:shd w:fill="1F3864" w:color="auto" w:val="clear"/>
            <w:tcMar>
              <w:top w:type="dxa" w:w="90"/>
              <w:left w:type="dxa" w:w="140"/>
              <w:bottom w:type="dxa" w:w="90"/>
              <w:right w:type="dxa" w:w="140"/>
            </w:tcMar>
          </w:tcPr>
          <w:p>
            <w:r>
              <w:rPr>
                <w:b/>
                <w:bCs/>
                <w:color w:val="FFFFFF"/>
                <w:sz w:val="20"/>
                <w:szCs w:val="20"/>
              </w:rPr>
              <w:t xml:space="preserve">Mean margin</w:t>
            </w:r>
          </w:p>
        </w:tc>
        <w:tc>
          <w:tcPr>
            <w:tcW w:type="pct" w:w="25%"/>
            <w:shd w:fill="1F3864" w:color="auto" w:val="clear"/>
            <w:tcMar>
              <w:top w:type="dxa" w:w="90"/>
              <w:left w:type="dxa" w:w="140"/>
              <w:bottom w:type="dxa" w:w="90"/>
              <w:right w:type="dxa" w:w="140"/>
            </w:tcMar>
          </w:tcPr>
          <w:p>
            <w:r>
              <w:rPr>
                <w:b/>
                <w:bCs/>
                <w:color w:val="FFFFFF"/>
                <w:sz w:val="20"/>
                <w:szCs w:val="20"/>
              </w:rPr>
              <w:t xml:space="preserve">Std dev</w:t>
            </w:r>
          </w:p>
        </w:tc>
      </w:tr>
      <w:tr>
        <w:tc>
          <w:tcPr>
            <w:tcW w:type="pct" w:w="25%"/>
            <w:tcMar>
              <w:top w:type="dxa" w:w="90"/>
              <w:left w:type="dxa" w:w="140"/>
              <w:bottom w:type="dxa" w:w="90"/>
              <w:right w:type="dxa" w:w="140"/>
            </w:tcMar>
          </w:tcPr>
          <w:p>
            <w:r>
              <w:rPr>
                <w:b w:val="false"/>
                <w:bCs w:val="false"/>
                <w:color w:val="000000"/>
                <w:sz w:val="20"/>
                <w:szCs w:val="20"/>
              </w:rPr>
              <w:t xml:space="preserve">Discounted</w:t>
            </w:r>
          </w:p>
        </w:tc>
        <w:tc>
          <w:tcPr>
            <w:tcW w:type="pct" w:w="25%"/>
            <w:tcMar>
              <w:top w:type="dxa" w:w="90"/>
              <w:left w:type="dxa" w:w="140"/>
              <w:bottom w:type="dxa" w:w="90"/>
              <w:right w:type="dxa" w:w="140"/>
            </w:tcMar>
          </w:tcPr>
          <w:p>
            <w:r>
              <w:rPr>
                <w:b w:val="false"/>
                <w:bCs w:val="false"/>
                <w:color w:val="000000"/>
                <w:sz w:val="20"/>
                <w:szCs w:val="20"/>
              </w:rPr>
              <w:t xml:space="preserve">4,547</w:t>
            </w:r>
          </w:p>
        </w:tc>
        <w:tc>
          <w:tcPr>
            <w:tcW w:type="pct" w:w="25%"/>
            <w:tcMar>
              <w:top w:type="dxa" w:w="90"/>
              <w:left w:type="dxa" w:w="140"/>
              <w:bottom w:type="dxa" w:w="90"/>
              <w:right w:type="dxa" w:w="140"/>
            </w:tcMar>
          </w:tcPr>
          <w:p>
            <w:r>
              <w:rPr>
                <w:b w:val="false"/>
                <w:bCs w:val="false"/>
                <w:color w:val="000000"/>
                <w:sz w:val="20"/>
                <w:szCs w:val="20"/>
              </w:rPr>
              <w:t xml:space="preserve">-0.012</w:t>
            </w:r>
          </w:p>
        </w:tc>
        <w:tc>
          <w:tcPr>
            <w:tcW w:type="pct" w:w="25%"/>
            <w:tcMar>
              <w:top w:type="dxa" w:w="90"/>
              <w:left w:type="dxa" w:w="140"/>
              <w:bottom w:type="dxa" w:w="90"/>
              <w:right w:type="dxa" w:w="140"/>
            </w:tcMar>
          </w:tcPr>
          <w:p>
            <w:r>
              <w:rPr>
                <w:b w:val="false"/>
                <w:bCs w:val="false"/>
                <w:color w:val="000000"/>
                <w:sz w:val="20"/>
                <w:szCs w:val="20"/>
              </w:rPr>
              <w:t xml:space="preserve">0.193</w:t>
            </w:r>
          </w:p>
        </w:tc>
      </w:tr>
      <w:tr>
        <w:tc>
          <w:tcPr>
            <w:tcW w:type="pct" w:w="25%"/>
            <w:tcMar>
              <w:top w:type="dxa" w:w="90"/>
              <w:left w:type="dxa" w:w="140"/>
              <w:bottom w:type="dxa" w:w="90"/>
              <w:right w:type="dxa" w:w="140"/>
            </w:tcMar>
          </w:tcPr>
          <w:p>
            <w:r>
              <w:rPr>
                <w:b w:val="false"/>
                <w:bCs w:val="false"/>
                <w:color w:val="000000"/>
                <w:sz w:val="20"/>
                <w:szCs w:val="20"/>
              </w:rPr>
              <w:t xml:space="preserve">No discount</w:t>
            </w:r>
          </w:p>
        </w:tc>
        <w:tc>
          <w:tcPr>
            <w:tcW w:type="pct" w:w="25%"/>
            <w:tcMar>
              <w:top w:type="dxa" w:w="90"/>
              <w:left w:type="dxa" w:w="140"/>
              <w:bottom w:type="dxa" w:w="90"/>
              <w:right w:type="dxa" w:w="140"/>
            </w:tcMar>
          </w:tcPr>
          <w:p>
            <w:r>
              <w:rPr>
                <w:b w:val="false"/>
                <w:bCs w:val="false"/>
                <w:color w:val="000000"/>
                <w:sz w:val="20"/>
                <w:szCs w:val="20"/>
              </w:rPr>
              <w:t xml:space="preserve">4,453</w:t>
            </w:r>
          </w:p>
        </w:tc>
        <w:tc>
          <w:tcPr>
            <w:tcW w:type="pct" w:w="25%"/>
            <w:tcMar>
              <w:top w:type="dxa" w:w="90"/>
              <w:left w:type="dxa" w:w="140"/>
              <w:bottom w:type="dxa" w:w="90"/>
              <w:right w:type="dxa" w:w="140"/>
            </w:tcMar>
          </w:tcPr>
          <w:p>
            <w:r>
              <w:rPr>
                <w:b w:val="false"/>
                <w:bCs w:val="false"/>
                <w:color w:val="000000"/>
                <w:sz w:val="20"/>
                <w:szCs w:val="20"/>
              </w:rPr>
              <w:t xml:space="preserve">0.302</w:t>
            </w:r>
          </w:p>
        </w:tc>
        <w:tc>
          <w:tcPr>
            <w:tcW w:type="pct" w:w="25%"/>
            <w:tcMar>
              <w:top w:type="dxa" w:w="90"/>
              <w:left w:type="dxa" w:w="140"/>
              <w:bottom w:type="dxa" w:w="90"/>
              <w:right w:type="dxa" w:w="140"/>
            </w:tcMar>
          </w:tcPr>
          <w:p>
            <w:r>
              <w:rPr>
                <w:b w:val="false"/>
                <w:bCs w:val="false"/>
                <w:color w:val="000000"/>
                <w:sz w:val="20"/>
                <w:szCs w:val="20"/>
              </w:rPr>
              <w:t xml:space="preserve">0.085</w:t>
            </w:r>
          </w:p>
        </w:tc>
      </w:tr>
    </w:tbl>
    <w:p>
      <w:pPr>
        <w:spacing w:after="200"/>
      </w:pPr>
    </w:p>
    <w:p>
      <w:pPr>
        <w:spacing w:after="170" w:line="300"/>
      </w:pPr>
      <w:r>
        <w:t xml:space="preserve">Welch's t-test (unequal variances, since the discounted group is clearly more spread out): t = -100.45, p &lt; 0.001. The mean difference is -0.314, and the 95% confidence interval for that difference is [-0.320, -0.308] - it doesn't cross zero, so the difference is not just noise.</w:t>
      </w:r>
    </w:p>
    <w:p>
      <w:pPr>
        <w:spacing w:after="100" w:before="200"/>
        <w:jc w:val="center"/>
      </w:pPr>
      <w:r>
        <w:drawing>
          <wp:inline distT="0" distB="0" distL="0" distR="0">
            <wp:extent cx="512064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840480"/>
                    </a:xfrm>
                    <a:prstGeom prst="rect">
                      <a:avLst/>
                    </a:prstGeom>
                  </pic:spPr>
                </pic:pic>
              </a:graphicData>
            </a:graphic>
          </wp:inline>
        </w:drawing>
      </w:r>
    </w:p>
    <w:p>
      <w:pPr>
        <w:spacing w:after="220"/>
        <w:jc w:val="center"/>
      </w:pPr>
      <w:r>
        <w:rPr>
          <w:i/>
          <w:iCs/>
          <w:color w:val="595959"/>
          <w:sz w:val="20"/>
          <w:szCs w:val="20"/>
        </w:rPr>
        <w:t xml:space="preserve">Figure 1. Profit margin for discounted vs non-discounted orders.</w:t>
      </w:r>
    </w:p>
    <w:p>
      <w:pPr>
        <w:spacing w:after="100" w:before="200"/>
        <w:jc w:val="center"/>
      </w:pPr>
      <w:r>
        <w:drawing>
          <wp:inline distT="0" distB="0" distL="0" distR="0">
            <wp:extent cx="5120640" cy="3413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3413760"/>
                    </a:xfrm>
                    <a:prstGeom prst="rect">
                      <a:avLst/>
                    </a:prstGeom>
                  </pic:spPr>
                </pic:pic>
              </a:graphicData>
            </a:graphic>
          </wp:inline>
        </w:drawing>
      </w:r>
    </w:p>
    <w:p>
      <w:pPr>
        <w:spacing w:after="220"/>
        <w:jc w:val="center"/>
      </w:pPr>
      <w:r>
        <w:rPr>
          <w:i/>
          <w:iCs/>
          <w:color w:val="595959"/>
          <w:sz w:val="20"/>
          <w:szCs w:val="20"/>
        </w:rPr>
        <w:t xml:space="preserve">Figure 2. Overlapping distributions - dashed lines show group means.</w:t>
      </w:r>
    </w:p>
    <w:p>
      <w:pPr>
        <w:pStyle w:val="Heading2"/>
        <w:spacing w:after="130" w:before="240"/>
      </w:pPr>
      <w:r>
        <w:t xml:space="preserve">3.4 Interpretation</w:t>
      </w:r>
    </w:p>
    <w:p>
      <w:pPr>
        <w:spacing w:after="170" w:line="300"/>
      </w:pPr>
      <w:r>
        <w:t xml:space="preserve">p is way below 0.05, so I reject H0. Discounted orders really do have a lower average profit margin, and looking at the histogram, the discounted group's distribution stretches well into negative territory while the non-discounted group barely dips below zero. This backs up what I suspected from the Week 2 scatter plot, except now it's backed by an actual test instead of just "the line goes down." The effect size here is also just large in a practical sense, not only statistically significant - a ~31 percentage point drop in margin is a big deal for a business.</w:t>
      </w:r>
    </w:p>
    <w:p>
      <w:pPr>
        <w:pStyle w:val="Heading1"/>
        <w:spacing w:after="160" w:before="340"/>
      </w:pPr>
      <w:r>
        <w:t xml:space="preserve">4. Test 2 – Is Product Category Related to Customer Segment?</w:t>
      </w:r>
    </w:p>
    <w:p>
      <w:pPr>
        <w:pStyle w:val="Heading2"/>
        <w:spacing w:after="130" w:before="240"/>
      </w:pPr>
      <w:r>
        <w:t xml:space="preserve">4.1 Hypotheses</w:t>
      </w:r>
    </w:p>
    <w:p>
      <w:pPr>
        <w:spacing w:after="170" w:line="300"/>
      </w:pPr>
      <w:r>
        <w:t xml:space="preserve">H0: Segment and Category are independent (no relationship).</w:t>
      </w:r>
    </w:p>
    <w:p>
      <w:pPr>
        <w:spacing w:after="170" w:line="300"/>
      </w:pPr>
      <w:r>
        <w:t xml:space="preserve">H1: Segment and Category are related.</w:t>
      </w:r>
    </w:p>
    <w:p>
      <w:pPr>
        <w:pStyle w:val="Heading2"/>
        <w:spacing w:after="130" w:before="240"/>
      </w:pPr>
      <w:r>
        <w:t xml:space="preserve">4.2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contingency = pd.crosstab(df["Segment"], df["Category"])</w:t>
            </w:r>
          </w:p>
          <w:p>
            <w:pPr>
              <w:spacing w:after="20"/>
            </w:pPr>
            <w:r>
              <w:rPr>
                <w:rFonts w:ascii="Consolas" w:cs="Consolas" w:eastAsia="Consolas" w:hAnsi="Consolas"/>
                <w:color w:val="1a1a1a"/>
                <w:sz w:val="18"/>
                <w:szCs w:val="18"/>
              </w:rPr>
              <w:t xml:space="preserve">chi2, p_chi, dof, expected = stats.chi2_contingency(contingency)</w:t>
            </w:r>
          </w:p>
        </w:tc>
      </w:tr>
    </w:tbl>
    <w:p>
      <w:pPr>
        <w:spacing w:after="200"/>
      </w:pPr>
    </w:p>
    <w:p>
      <w:pPr>
        <w:pStyle w:val="Heading2"/>
        <w:spacing w:after="130" w:before="240"/>
      </w:pPr>
      <w:r>
        <w:t xml:space="preserve">4.3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3864" w:color="auto" w:val="clear"/>
            <w:tcMar>
              <w:top w:type="dxa" w:w="90"/>
              <w:left w:type="dxa" w:w="140"/>
              <w:bottom w:type="dxa" w:w="90"/>
              <w:right w:type="dxa" w:w="140"/>
            </w:tcMar>
          </w:tcPr>
          <w:p>
            <w:r>
              <w:rPr>
                <w:b/>
                <w:bCs/>
                <w:color w:val="FFFFFF"/>
                <w:sz w:val="20"/>
                <w:szCs w:val="20"/>
              </w:rPr>
              <w:t xml:space="preserve">Segment</w:t>
            </w:r>
          </w:p>
        </w:tc>
        <w:tc>
          <w:tcPr>
            <w:tcW w:type="pct" w:w="25%"/>
            <w:shd w:fill="1F3864" w:color="auto" w:val="clear"/>
            <w:tcMar>
              <w:top w:type="dxa" w:w="90"/>
              <w:left w:type="dxa" w:w="140"/>
              <w:bottom w:type="dxa" w:w="90"/>
              <w:right w:type="dxa" w:w="140"/>
            </w:tcMar>
          </w:tcPr>
          <w:p>
            <w:r>
              <w:rPr>
                <w:b/>
                <w:bCs/>
                <w:color w:val="FFFFFF"/>
                <w:sz w:val="20"/>
                <w:szCs w:val="20"/>
              </w:rPr>
              <w:t xml:space="preserve">Furniture</w:t>
            </w:r>
          </w:p>
        </w:tc>
        <w:tc>
          <w:tcPr>
            <w:tcW w:type="pct" w:w="25%"/>
            <w:shd w:fill="1F3864" w:color="auto" w:val="clear"/>
            <w:tcMar>
              <w:top w:type="dxa" w:w="90"/>
              <w:left w:type="dxa" w:w="140"/>
              <w:bottom w:type="dxa" w:w="90"/>
              <w:right w:type="dxa" w:w="140"/>
            </w:tcMar>
          </w:tcPr>
          <w:p>
            <w:r>
              <w:rPr>
                <w:b/>
                <w:bCs/>
                <w:color w:val="FFFFFF"/>
                <w:sz w:val="20"/>
                <w:szCs w:val="20"/>
              </w:rPr>
              <w:t xml:space="preserve">Office Supplies</w:t>
            </w:r>
          </w:p>
        </w:tc>
        <w:tc>
          <w:tcPr>
            <w:tcW w:type="pct" w:w="25%"/>
            <w:shd w:fill="1F3864" w:color="auto" w:val="clear"/>
            <w:tcMar>
              <w:top w:type="dxa" w:w="90"/>
              <w:left w:type="dxa" w:w="140"/>
              <w:bottom w:type="dxa" w:w="90"/>
              <w:right w:type="dxa" w:w="140"/>
            </w:tcMar>
          </w:tcPr>
          <w:p>
            <w:r>
              <w:rPr>
                <w:b/>
                <w:bCs/>
                <w:color w:val="FFFFFF"/>
                <w:sz w:val="20"/>
                <w:szCs w:val="20"/>
              </w:rPr>
              <w:t xml:space="preserve">Technology</w:t>
            </w:r>
          </w:p>
        </w:tc>
      </w:tr>
      <w:tr>
        <w:tc>
          <w:tcPr>
            <w:tcW w:type="pct" w:w="25%"/>
            <w:tcMar>
              <w:top w:type="dxa" w:w="90"/>
              <w:left w:type="dxa" w:w="140"/>
              <w:bottom w:type="dxa" w:w="90"/>
              <w:right w:type="dxa" w:w="140"/>
            </w:tcMar>
          </w:tcPr>
          <w:p>
            <w:r>
              <w:rPr>
                <w:b w:val="false"/>
                <w:bCs w:val="false"/>
                <w:color w:val="000000"/>
                <w:sz w:val="20"/>
                <w:szCs w:val="20"/>
              </w:rPr>
              <w:t xml:space="preserve">Consumer</w:t>
            </w:r>
          </w:p>
        </w:tc>
        <w:tc>
          <w:tcPr>
            <w:tcW w:type="pct" w:w="25%"/>
            <w:tcMar>
              <w:top w:type="dxa" w:w="90"/>
              <w:left w:type="dxa" w:w="140"/>
              <w:bottom w:type="dxa" w:w="90"/>
              <w:right w:type="dxa" w:w="140"/>
            </w:tcMar>
          </w:tcPr>
          <w:p>
            <w:r>
              <w:rPr>
                <w:b w:val="false"/>
                <w:bCs w:val="false"/>
                <w:color w:val="000000"/>
                <w:sz w:val="20"/>
                <w:szCs w:val="20"/>
              </w:rPr>
              <w:t xml:space="preserve">1,134</w:t>
            </w:r>
          </w:p>
        </w:tc>
        <w:tc>
          <w:tcPr>
            <w:tcW w:type="pct" w:w="25%"/>
            <w:tcMar>
              <w:top w:type="dxa" w:w="90"/>
              <w:left w:type="dxa" w:w="140"/>
              <w:bottom w:type="dxa" w:w="90"/>
              <w:right w:type="dxa" w:w="140"/>
            </w:tcMar>
          </w:tcPr>
          <w:p>
            <w:r>
              <w:rPr>
                <w:b w:val="false"/>
                <w:bCs w:val="false"/>
                <w:color w:val="000000"/>
                <w:sz w:val="20"/>
                <w:szCs w:val="20"/>
              </w:rPr>
              <w:t xml:space="preserve">1,979</w:t>
            </w:r>
          </w:p>
        </w:tc>
        <w:tc>
          <w:tcPr>
            <w:tcW w:type="pct" w:w="25%"/>
            <w:tcMar>
              <w:top w:type="dxa" w:w="90"/>
              <w:left w:type="dxa" w:w="140"/>
              <w:bottom w:type="dxa" w:w="90"/>
              <w:right w:type="dxa" w:w="140"/>
            </w:tcMar>
          </w:tcPr>
          <w:p>
            <w:r>
              <w:rPr>
                <w:b w:val="false"/>
                <w:bCs w:val="false"/>
                <w:color w:val="000000"/>
                <w:sz w:val="20"/>
                <w:szCs w:val="20"/>
              </w:rPr>
              <w:t xml:space="preserve">1,476</w:t>
            </w:r>
          </w:p>
        </w:tc>
      </w:tr>
      <w:tr>
        <w:tc>
          <w:tcPr>
            <w:tcW w:type="pct" w:w="25%"/>
            <w:tcMar>
              <w:top w:type="dxa" w:w="90"/>
              <w:left w:type="dxa" w:w="140"/>
              <w:bottom w:type="dxa" w:w="90"/>
              <w:right w:type="dxa" w:w="140"/>
            </w:tcMar>
          </w:tcPr>
          <w:p>
            <w:r>
              <w:rPr>
                <w:b w:val="false"/>
                <w:bCs w:val="false"/>
                <w:color w:val="000000"/>
                <w:sz w:val="20"/>
                <w:szCs w:val="20"/>
              </w:rPr>
              <w:t xml:space="preserve">Corporate</w:t>
            </w:r>
          </w:p>
        </w:tc>
        <w:tc>
          <w:tcPr>
            <w:tcW w:type="pct" w:w="25%"/>
            <w:tcMar>
              <w:top w:type="dxa" w:w="90"/>
              <w:left w:type="dxa" w:w="140"/>
              <w:bottom w:type="dxa" w:w="90"/>
              <w:right w:type="dxa" w:w="140"/>
            </w:tcMar>
          </w:tcPr>
          <w:p>
            <w:r>
              <w:rPr>
                <w:b w:val="false"/>
                <w:bCs w:val="false"/>
                <w:color w:val="000000"/>
                <w:sz w:val="20"/>
                <w:szCs w:val="20"/>
              </w:rPr>
              <w:t xml:space="preserve">694</w:t>
            </w:r>
          </w:p>
        </w:tc>
        <w:tc>
          <w:tcPr>
            <w:tcW w:type="pct" w:w="25%"/>
            <w:tcMar>
              <w:top w:type="dxa" w:w="90"/>
              <w:left w:type="dxa" w:w="140"/>
              <w:bottom w:type="dxa" w:w="90"/>
              <w:right w:type="dxa" w:w="140"/>
            </w:tcMar>
          </w:tcPr>
          <w:p>
            <w:r>
              <w:rPr>
                <w:b w:val="false"/>
                <w:bCs w:val="false"/>
                <w:color w:val="000000"/>
                <w:sz w:val="20"/>
                <w:szCs w:val="20"/>
              </w:rPr>
              <w:t xml:space="preserve">1,166</w:t>
            </w:r>
          </w:p>
        </w:tc>
        <w:tc>
          <w:tcPr>
            <w:tcW w:type="pct" w:w="25%"/>
            <w:tcMar>
              <w:top w:type="dxa" w:w="90"/>
              <w:left w:type="dxa" w:w="140"/>
              <w:bottom w:type="dxa" w:w="90"/>
              <w:right w:type="dxa" w:w="140"/>
            </w:tcMar>
          </w:tcPr>
          <w:p>
            <w:r>
              <w:rPr>
                <w:b w:val="false"/>
                <w:bCs w:val="false"/>
                <w:color w:val="000000"/>
                <w:sz w:val="20"/>
                <w:szCs w:val="20"/>
              </w:rPr>
              <w:t xml:space="preserve">962</w:t>
            </w:r>
          </w:p>
        </w:tc>
      </w:tr>
      <w:tr>
        <w:tc>
          <w:tcPr>
            <w:tcW w:type="pct" w:w="25%"/>
            <w:tcMar>
              <w:top w:type="dxa" w:w="90"/>
              <w:left w:type="dxa" w:w="140"/>
              <w:bottom w:type="dxa" w:w="90"/>
              <w:right w:type="dxa" w:w="140"/>
            </w:tcMar>
          </w:tcPr>
          <w:p>
            <w:r>
              <w:rPr>
                <w:b w:val="false"/>
                <w:bCs w:val="false"/>
                <w:color w:val="000000"/>
                <w:sz w:val="20"/>
                <w:szCs w:val="20"/>
              </w:rPr>
              <w:t xml:space="preserve">Home Office</w:t>
            </w:r>
          </w:p>
        </w:tc>
        <w:tc>
          <w:tcPr>
            <w:tcW w:type="pct" w:w="25%"/>
            <w:tcMar>
              <w:top w:type="dxa" w:w="90"/>
              <w:left w:type="dxa" w:w="140"/>
              <w:bottom w:type="dxa" w:w="90"/>
              <w:right w:type="dxa" w:w="140"/>
            </w:tcMar>
          </w:tcPr>
          <w:p>
            <w:r>
              <w:rPr>
                <w:b w:val="false"/>
                <w:bCs w:val="false"/>
                <w:color w:val="000000"/>
                <w:sz w:val="20"/>
                <w:szCs w:val="20"/>
              </w:rPr>
              <w:t xml:space="preserve">402</w:t>
            </w:r>
          </w:p>
        </w:tc>
        <w:tc>
          <w:tcPr>
            <w:tcW w:type="pct" w:w="25%"/>
            <w:tcMar>
              <w:top w:type="dxa" w:w="90"/>
              <w:left w:type="dxa" w:w="140"/>
              <w:bottom w:type="dxa" w:w="90"/>
              <w:right w:type="dxa" w:w="140"/>
            </w:tcMar>
          </w:tcPr>
          <w:p>
            <w:r>
              <w:rPr>
                <w:b w:val="false"/>
                <w:bCs w:val="false"/>
                <w:color w:val="000000"/>
                <w:sz w:val="20"/>
                <w:szCs w:val="20"/>
              </w:rPr>
              <w:t xml:space="preserve">690</w:t>
            </w:r>
          </w:p>
        </w:tc>
        <w:tc>
          <w:tcPr>
            <w:tcW w:type="pct" w:w="25%"/>
            <w:tcMar>
              <w:top w:type="dxa" w:w="90"/>
              <w:left w:type="dxa" w:w="140"/>
              <w:bottom w:type="dxa" w:w="90"/>
              <w:right w:type="dxa" w:w="140"/>
            </w:tcMar>
          </w:tcPr>
          <w:p>
            <w:r>
              <w:rPr>
                <w:b w:val="false"/>
                <w:bCs w:val="false"/>
                <w:color w:val="000000"/>
                <w:sz w:val="20"/>
                <w:szCs w:val="20"/>
              </w:rPr>
              <w:t xml:space="preserve">497</w:t>
            </w:r>
          </w:p>
        </w:tc>
      </w:tr>
    </w:tbl>
    <w:p>
      <w:pPr>
        <w:spacing w:after="200"/>
      </w:pPr>
    </w:p>
    <w:p>
      <w:pPr>
        <w:spacing w:after="170" w:line="300"/>
      </w:pPr>
      <w:r>
        <w:t xml:space="preserve">χ2(4, N = 9000) = 4.90, p = 0.298. Cramer's V = 0.017 (basically zero association).</w:t>
      </w:r>
    </w:p>
    <w:p>
      <w:pPr>
        <w:spacing w:after="100" w:before="200"/>
        <w:jc w:val="center"/>
      </w:pPr>
      <w:r>
        <w:drawing>
          <wp:inline distT="0" distB="0" distL="0" distR="0">
            <wp:extent cx="512064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3840480"/>
                    </a:xfrm>
                    <a:prstGeom prst="rect">
                      <a:avLst/>
                    </a:prstGeom>
                  </pic:spPr>
                </pic:pic>
              </a:graphicData>
            </a:graphic>
          </wp:inline>
        </w:drawing>
      </w:r>
    </w:p>
    <w:p>
      <w:pPr>
        <w:spacing w:after="220"/>
        <w:jc w:val="center"/>
      </w:pPr>
      <w:r>
        <w:rPr>
          <w:i/>
          <w:iCs/>
          <w:color w:val="595959"/>
          <w:sz w:val="20"/>
          <w:szCs w:val="20"/>
        </w:rPr>
        <w:t xml:space="preserve">Figure 3. Order counts by segment and category.</w:t>
      </w:r>
    </w:p>
    <w:p>
      <w:pPr>
        <w:pStyle w:val="Heading2"/>
        <w:spacing w:after="130" w:before="240"/>
      </w:pPr>
      <w:r>
        <w:t xml:space="preserve">4.4 Interpretation</w:t>
      </w:r>
    </w:p>
    <w:p>
      <w:pPr>
        <w:spacing w:after="170" w:line="300"/>
      </w:pPr>
      <w:r>
        <w:t xml:space="preserve">p = 0.298 is well above 0.05, so this time I fail to reject H0. I honestly expected some relationship here - I assumed Corporate buyers would lean more towards Technology, for example - but the data doesn't support that. Looking at the heatmap, the proportions across categories look pretty similar for every segment, they just differ in total volume (Consumer has the most orders overall). So in this dataset, which product category someone buys doesn't depend on what type of customer they are. This is a good reminder that not every hypothesis you're curious about turns out to be true, and that's a valid, useful result too.</w:t>
      </w:r>
    </w:p>
    <w:p>
      <w:pPr>
        <w:pStyle w:val="Heading1"/>
        <w:spacing w:after="160" w:before="340"/>
      </w:pPr>
      <w:r>
        <w:t xml:space="preserve">5. Test 3 – Does Average Order Value Differ by Region?</w:t>
      </w:r>
    </w:p>
    <w:p>
      <w:pPr>
        <w:pStyle w:val="Heading2"/>
        <w:spacing w:after="130" w:before="240"/>
      </w:pPr>
      <w:r>
        <w:t xml:space="preserve">5.1 Hypotheses</w:t>
      </w:r>
    </w:p>
    <w:p>
      <w:pPr>
        <w:spacing w:after="170" w:line="300"/>
      </w:pPr>
      <w:r>
        <w:t xml:space="preserve">H0: mean Sales per order is equal across all 5 regions.</w:t>
      </w:r>
    </w:p>
    <w:p>
      <w:pPr>
        <w:spacing w:after="170" w:line="300"/>
      </w:pPr>
      <w:r>
        <w:t xml:space="preserve">H1: at least one region has a different mean Sales per order.</w:t>
      </w:r>
    </w:p>
    <w:p>
      <w:pPr>
        <w:pStyle w:val="Heading2"/>
        <w:spacing w:after="130" w:before="240"/>
      </w:pPr>
      <w:r>
        <w:t xml:space="preserve">5.2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groups = [g["Sales"].values for _, g in df.groupby("Region")]</w:t>
            </w:r>
          </w:p>
          <w:p>
            <w:pPr>
              <w:spacing w:after="20"/>
            </w:pPr>
            <w:r>
              <w:rPr>
                <w:rFonts w:ascii="Consolas" w:cs="Consolas" w:eastAsia="Consolas" w:hAnsi="Consolas"/>
                <w:color w:val="1a1a1a"/>
                <w:sz w:val="18"/>
                <w:szCs w:val="18"/>
              </w:rPr>
              <w:t xml:space="preserve">f_stat, p_anova = stats.f_oneway(*groups)</w:t>
            </w:r>
          </w:p>
          <w:p>
            <w:pPr>
              <w:spacing w:after="20"/>
            </w:pPr>
            <w:r>
              <w:rPr>
                <w:rFonts w:ascii="Consolas" w:cs="Consolas" w:eastAsia="Consolas" w:hAnsi="Consolas"/>
                <w:color w:val="1a1a1a"/>
                <w:sz w:val="18"/>
                <w:szCs w:val="18"/>
              </w:rPr>
              <w:t xml:space="preserve"/>
            </w:r>
          </w:p>
          <w:p>
            <w:pPr>
              <w:spacing w:after="20"/>
            </w:pPr>
            <w:r>
              <w:rPr>
                <w:rFonts w:ascii="Consolas" w:cs="Consolas" w:eastAsia="Consolas" w:hAnsi="Consolas"/>
                <w:color w:val="1a1a1a"/>
                <w:sz w:val="18"/>
                <w:szCs w:val="18"/>
              </w:rPr>
              <w:t xml:space="preserve"># manual check of the ANOVA table</w:t>
            </w:r>
          </w:p>
          <w:p>
            <w:pPr>
              <w:spacing w:after="20"/>
            </w:pPr>
            <w:r>
              <w:rPr>
                <w:rFonts w:ascii="Consolas" w:cs="Consolas" w:eastAsia="Consolas" w:hAnsi="Consolas"/>
                <w:color w:val="1a1a1a"/>
                <w:sz w:val="18"/>
                <w:szCs w:val="18"/>
              </w:rPr>
              <w:t xml:space="preserve">ss_between = sum(len(g) * (g.mean() - grand_mean)**2 for g in groups)</w:t>
            </w:r>
          </w:p>
          <w:p>
            <w:pPr>
              <w:spacing w:after="20"/>
            </w:pPr>
            <w:r>
              <w:rPr>
                <w:rFonts w:ascii="Consolas" w:cs="Consolas" w:eastAsia="Consolas" w:hAnsi="Consolas"/>
                <w:color w:val="1a1a1a"/>
                <w:sz w:val="18"/>
                <w:szCs w:val="18"/>
              </w:rPr>
              <w:t xml:space="preserve">ss_within  = sum(((g - g.mean())**2).sum() for g in groups)</w:t>
            </w:r>
          </w:p>
          <w:p>
            <w:pPr>
              <w:spacing w:after="20"/>
            </w:pPr>
            <w:r>
              <w:rPr>
                <w:rFonts w:ascii="Consolas" w:cs="Consolas" w:eastAsia="Consolas" w:hAnsi="Consolas"/>
                <w:color w:val="1a1a1a"/>
                <w:sz w:val="18"/>
                <w:szCs w:val="18"/>
              </w:rPr>
              <w:t xml:space="preserve">ms_between = ss_between / (len(groups) - 1)</w:t>
            </w:r>
          </w:p>
          <w:p>
            <w:pPr>
              <w:spacing w:after="20"/>
            </w:pPr>
            <w:r>
              <w:rPr>
                <w:rFonts w:ascii="Consolas" w:cs="Consolas" w:eastAsia="Consolas" w:hAnsi="Consolas"/>
                <w:color w:val="1a1a1a"/>
                <w:sz w:val="18"/>
                <w:szCs w:val="18"/>
              </w:rPr>
              <w:t xml:space="preserve">ms_within  = ss_within / (len(df) - len(groups))</w:t>
            </w:r>
          </w:p>
          <w:p>
            <w:pPr>
              <w:spacing w:after="20"/>
            </w:pPr>
            <w:r>
              <w:rPr>
                <w:rFonts w:ascii="Consolas" w:cs="Consolas" w:eastAsia="Consolas" w:hAnsi="Consolas"/>
                <w:color w:val="1a1a1a"/>
                <w:sz w:val="18"/>
                <w:szCs w:val="18"/>
              </w:rPr>
              <w:t xml:space="preserve">F = ms_between / ms_within</w:t>
            </w:r>
          </w:p>
        </w:tc>
      </w:tr>
    </w:tbl>
    <w:p>
      <w:pPr>
        <w:spacing w:after="200"/>
      </w:pPr>
    </w:p>
    <w:p>
      <w:pPr>
        <w:pStyle w:val="Heading2"/>
        <w:spacing w:after="130" w:before="240"/>
      </w:pPr>
      <w:r>
        <w:t xml:space="preserve">5.3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3864" w:color="auto" w:val="clear"/>
            <w:tcMar>
              <w:top w:type="dxa" w:w="90"/>
              <w:left w:type="dxa" w:w="140"/>
              <w:bottom w:type="dxa" w:w="90"/>
              <w:right w:type="dxa" w:w="140"/>
            </w:tcMar>
          </w:tcPr>
          <w:p>
            <w:r>
              <w:rPr>
                <w:b/>
                <w:bCs/>
                <w:color w:val="FFFFFF"/>
                <w:sz w:val="20"/>
                <w:szCs w:val="20"/>
              </w:rPr>
              <w:t xml:space="preserve">Region</w:t>
            </w:r>
          </w:p>
        </w:tc>
        <w:tc>
          <w:tcPr>
            <w:tcW w:type="pct" w:w="25%"/>
            <w:shd w:fill="1F3864" w:color="auto" w:val="clear"/>
            <w:tcMar>
              <w:top w:type="dxa" w:w="90"/>
              <w:left w:type="dxa" w:w="140"/>
              <w:bottom w:type="dxa" w:w="90"/>
              <w:right w:type="dxa" w:w="140"/>
            </w:tcMar>
          </w:tcPr>
          <w:p>
            <w:r>
              <w:rPr>
                <w:b/>
                <w:bCs/>
                <w:color w:val="FFFFFF"/>
                <w:sz w:val="20"/>
                <w:szCs w:val="20"/>
              </w:rPr>
              <w:t xml:space="preserve">n</w:t>
            </w:r>
          </w:p>
        </w:tc>
        <w:tc>
          <w:tcPr>
            <w:tcW w:type="pct" w:w="25%"/>
            <w:shd w:fill="1F3864" w:color="auto" w:val="clear"/>
            <w:tcMar>
              <w:top w:type="dxa" w:w="90"/>
              <w:left w:type="dxa" w:w="140"/>
              <w:bottom w:type="dxa" w:w="90"/>
              <w:right w:type="dxa" w:w="140"/>
            </w:tcMar>
          </w:tcPr>
          <w:p>
            <w:r>
              <w:rPr>
                <w:b/>
                <w:bCs/>
                <w:color w:val="FFFFFF"/>
                <w:sz w:val="20"/>
                <w:szCs w:val="20"/>
              </w:rPr>
              <w:t xml:space="preserve">Mean sales</w:t>
            </w:r>
          </w:p>
        </w:tc>
        <w:tc>
          <w:tcPr>
            <w:tcW w:type="pct" w:w="25%"/>
            <w:shd w:fill="1F3864" w:color="auto" w:val="clear"/>
            <w:tcMar>
              <w:top w:type="dxa" w:w="90"/>
              <w:left w:type="dxa" w:w="140"/>
              <w:bottom w:type="dxa" w:w="90"/>
              <w:right w:type="dxa" w:w="140"/>
            </w:tcMar>
          </w:tcPr>
          <w:p>
            <w:r>
              <w:rPr>
                <w:b/>
                <w:bCs/>
                <w:color w:val="FFFFFF"/>
                <w:sz w:val="20"/>
                <w:szCs w:val="20"/>
              </w:rPr>
              <w:t xml:space="preserve">Std dev</w:t>
            </w:r>
          </w:p>
        </w:tc>
      </w:tr>
      <w:tr>
        <w:tc>
          <w:tcPr>
            <w:tcW w:type="pct" w:w="25%"/>
            <w:tcMar>
              <w:top w:type="dxa" w:w="90"/>
              <w:left w:type="dxa" w:w="140"/>
              <w:bottom w:type="dxa" w:w="90"/>
              <w:right w:type="dxa" w:w="140"/>
            </w:tcMar>
          </w:tcPr>
          <w:p>
            <w:r>
              <w:rPr>
                <w:b w:val="false"/>
                <w:bCs w:val="false"/>
                <w:color w:val="000000"/>
                <w:sz w:val="20"/>
                <w:szCs w:val="20"/>
              </w:rPr>
              <w:t xml:space="preserve">Latin America</w:t>
            </w:r>
          </w:p>
        </w:tc>
        <w:tc>
          <w:tcPr>
            <w:tcW w:type="pct" w:w="25%"/>
            <w:tcMar>
              <w:top w:type="dxa" w:w="90"/>
              <w:left w:type="dxa" w:w="140"/>
              <w:bottom w:type="dxa" w:w="90"/>
              <w:right w:type="dxa" w:w="140"/>
            </w:tcMar>
          </w:tcPr>
          <w:p>
            <w:r>
              <w:rPr>
                <w:b w:val="false"/>
                <w:bCs w:val="false"/>
                <w:color w:val="000000"/>
                <w:sz w:val="20"/>
                <w:szCs w:val="20"/>
              </w:rPr>
              <w:t xml:space="preserve">1,232</w:t>
            </w:r>
          </w:p>
        </w:tc>
        <w:tc>
          <w:tcPr>
            <w:tcW w:type="pct" w:w="25%"/>
            <w:tcMar>
              <w:top w:type="dxa" w:w="90"/>
              <w:left w:type="dxa" w:w="140"/>
              <w:bottom w:type="dxa" w:w="90"/>
              <w:right w:type="dxa" w:w="140"/>
            </w:tcMar>
          </w:tcPr>
          <w:p>
            <w:r>
              <w:rPr>
                <w:b w:val="false"/>
                <w:bCs w:val="false"/>
                <w:color w:val="000000"/>
                <w:sz w:val="20"/>
                <w:szCs w:val="20"/>
              </w:rPr>
              <w:t xml:space="preserve">$609.53</w:t>
            </w:r>
          </w:p>
        </w:tc>
        <w:tc>
          <w:tcPr>
            <w:tcW w:type="pct" w:w="25%"/>
            <w:tcMar>
              <w:top w:type="dxa" w:w="90"/>
              <w:left w:type="dxa" w:w="140"/>
              <w:bottom w:type="dxa" w:w="90"/>
              <w:right w:type="dxa" w:w="140"/>
            </w:tcMar>
          </w:tcPr>
          <w:p>
            <w:r>
              <w:rPr>
                <w:b w:val="false"/>
                <w:bCs w:val="false"/>
                <w:color w:val="000000"/>
                <w:sz w:val="20"/>
                <w:szCs w:val="20"/>
              </w:rPr>
              <w:t xml:space="preserve">$687.94</w:t>
            </w:r>
          </w:p>
        </w:tc>
      </w:tr>
      <w:tr>
        <w:tc>
          <w:tcPr>
            <w:tcW w:type="pct" w:w="25%"/>
            <w:tcMar>
              <w:top w:type="dxa" w:w="90"/>
              <w:left w:type="dxa" w:w="140"/>
              <w:bottom w:type="dxa" w:w="90"/>
              <w:right w:type="dxa" w:w="140"/>
            </w:tcMar>
          </w:tcPr>
          <w:p>
            <w:r>
              <w:rPr>
                <w:b w:val="false"/>
                <w:bCs w:val="false"/>
                <w:color w:val="000000"/>
                <w:sz w:val="20"/>
                <w:szCs w:val="20"/>
              </w:rPr>
              <w:t xml:space="preserve">Middle East &amp; Africa</w:t>
            </w:r>
          </w:p>
        </w:tc>
        <w:tc>
          <w:tcPr>
            <w:tcW w:type="pct" w:w="25%"/>
            <w:tcMar>
              <w:top w:type="dxa" w:w="90"/>
              <w:left w:type="dxa" w:w="140"/>
              <w:bottom w:type="dxa" w:w="90"/>
              <w:right w:type="dxa" w:w="140"/>
            </w:tcMar>
          </w:tcPr>
          <w:p>
            <w:r>
              <w:rPr>
                <w:b w:val="false"/>
                <w:bCs w:val="false"/>
                <w:color w:val="000000"/>
                <w:sz w:val="20"/>
                <w:szCs w:val="20"/>
              </w:rPr>
              <w:t xml:space="preserve">777</w:t>
            </w:r>
          </w:p>
        </w:tc>
        <w:tc>
          <w:tcPr>
            <w:tcW w:type="pct" w:w="25%"/>
            <w:tcMar>
              <w:top w:type="dxa" w:w="90"/>
              <w:left w:type="dxa" w:w="140"/>
              <w:bottom w:type="dxa" w:w="90"/>
              <w:right w:type="dxa" w:w="140"/>
            </w:tcMar>
          </w:tcPr>
          <w:p>
            <w:r>
              <w:rPr>
                <w:b w:val="false"/>
                <w:bCs w:val="false"/>
                <w:color w:val="000000"/>
                <w:sz w:val="20"/>
                <w:szCs w:val="20"/>
              </w:rPr>
              <w:t xml:space="preserve">$612.33</w:t>
            </w:r>
          </w:p>
        </w:tc>
        <w:tc>
          <w:tcPr>
            <w:tcW w:type="pct" w:w="25%"/>
            <w:tcMar>
              <w:top w:type="dxa" w:w="90"/>
              <w:left w:type="dxa" w:w="140"/>
              <w:bottom w:type="dxa" w:w="90"/>
              <w:right w:type="dxa" w:w="140"/>
            </w:tcMar>
          </w:tcPr>
          <w:p>
            <w:r>
              <w:rPr>
                <w:b w:val="false"/>
                <w:bCs w:val="false"/>
                <w:color w:val="000000"/>
                <w:sz w:val="20"/>
                <w:szCs w:val="20"/>
              </w:rPr>
              <w:t xml:space="preserve">$721.06</w:t>
            </w:r>
          </w:p>
        </w:tc>
      </w:tr>
      <w:tr>
        <w:tc>
          <w:tcPr>
            <w:tcW w:type="pct" w:w="25%"/>
            <w:tcMar>
              <w:top w:type="dxa" w:w="90"/>
              <w:left w:type="dxa" w:w="140"/>
              <w:bottom w:type="dxa" w:w="90"/>
              <w:right w:type="dxa" w:w="140"/>
            </w:tcMar>
          </w:tcPr>
          <w:p>
            <w:r>
              <w:rPr>
                <w:b w:val="false"/>
                <w:bCs w:val="false"/>
                <w:color w:val="000000"/>
                <w:sz w:val="20"/>
                <w:szCs w:val="20"/>
              </w:rPr>
              <w:t xml:space="preserve">North America</w:t>
            </w:r>
          </w:p>
        </w:tc>
        <w:tc>
          <w:tcPr>
            <w:tcW w:type="pct" w:w="25%"/>
            <w:tcMar>
              <w:top w:type="dxa" w:w="90"/>
              <w:left w:type="dxa" w:w="140"/>
              <w:bottom w:type="dxa" w:w="90"/>
              <w:right w:type="dxa" w:w="140"/>
            </w:tcMar>
          </w:tcPr>
          <w:p>
            <w:r>
              <w:rPr>
                <w:b w:val="false"/>
                <w:bCs w:val="false"/>
                <w:color w:val="000000"/>
                <w:sz w:val="20"/>
                <w:szCs w:val="20"/>
              </w:rPr>
              <w:t xml:space="preserve">2,864</w:t>
            </w:r>
          </w:p>
        </w:tc>
        <w:tc>
          <w:tcPr>
            <w:tcW w:type="pct" w:w="25%"/>
            <w:tcMar>
              <w:top w:type="dxa" w:w="90"/>
              <w:left w:type="dxa" w:w="140"/>
              <w:bottom w:type="dxa" w:w="90"/>
              <w:right w:type="dxa" w:w="140"/>
            </w:tcMar>
          </w:tcPr>
          <w:p>
            <w:r>
              <w:rPr>
                <w:b w:val="false"/>
                <w:bCs w:val="false"/>
                <w:color w:val="000000"/>
                <w:sz w:val="20"/>
                <w:szCs w:val="20"/>
              </w:rPr>
              <w:t xml:space="preserve">$575.16</w:t>
            </w:r>
          </w:p>
        </w:tc>
        <w:tc>
          <w:tcPr>
            <w:tcW w:type="pct" w:w="25%"/>
            <w:tcMar>
              <w:top w:type="dxa" w:w="90"/>
              <w:left w:type="dxa" w:w="140"/>
              <w:bottom w:type="dxa" w:w="90"/>
              <w:right w:type="dxa" w:w="140"/>
            </w:tcMar>
          </w:tcPr>
          <w:p>
            <w:r>
              <w:rPr>
                <w:b w:val="false"/>
                <w:bCs w:val="false"/>
                <w:color w:val="000000"/>
                <w:sz w:val="20"/>
                <w:szCs w:val="20"/>
              </w:rPr>
              <w:t xml:space="preserve">$627.35</w:t>
            </w:r>
          </w:p>
        </w:tc>
      </w:tr>
      <w:tr>
        <w:tc>
          <w:tcPr>
            <w:tcW w:type="pct" w:w="25%"/>
            <w:tcMar>
              <w:top w:type="dxa" w:w="90"/>
              <w:left w:type="dxa" w:w="140"/>
              <w:bottom w:type="dxa" w:w="90"/>
              <w:right w:type="dxa" w:w="140"/>
            </w:tcMar>
          </w:tcPr>
          <w:p>
            <w:r>
              <w:rPr>
                <w:b w:val="false"/>
                <w:bCs w:val="false"/>
                <w:color w:val="000000"/>
                <w:sz w:val="20"/>
                <w:szCs w:val="20"/>
              </w:rPr>
              <w:t xml:space="preserve">Asia Pacific</w:t>
            </w:r>
          </w:p>
        </w:tc>
        <w:tc>
          <w:tcPr>
            <w:tcW w:type="pct" w:w="25%"/>
            <w:tcMar>
              <w:top w:type="dxa" w:w="90"/>
              <w:left w:type="dxa" w:w="140"/>
              <w:bottom w:type="dxa" w:w="90"/>
              <w:right w:type="dxa" w:w="140"/>
            </w:tcMar>
          </w:tcPr>
          <w:p>
            <w:r>
              <w:rPr>
                <w:b w:val="false"/>
                <w:bCs w:val="false"/>
                <w:color w:val="000000"/>
                <w:sz w:val="20"/>
                <w:szCs w:val="20"/>
              </w:rPr>
              <w:t xml:space="preserve">1,986</w:t>
            </w:r>
          </w:p>
        </w:tc>
        <w:tc>
          <w:tcPr>
            <w:tcW w:type="pct" w:w="25%"/>
            <w:tcMar>
              <w:top w:type="dxa" w:w="90"/>
              <w:left w:type="dxa" w:w="140"/>
              <w:bottom w:type="dxa" w:w="90"/>
              <w:right w:type="dxa" w:w="140"/>
            </w:tcMar>
          </w:tcPr>
          <w:p>
            <w:r>
              <w:rPr>
                <w:b w:val="false"/>
                <w:bCs w:val="false"/>
                <w:color w:val="000000"/>
                <w:sz w:val="20"/>
                <w:szCs w:val="20"/>
              </w:rPr>
              <w:t xml:space="preserve">$571.51</w:t>
            </w:r>
          </w:p>
        </w:tc>
        <w:tc>
          <w:tcPr>
            <w:tcW w:type="pct" w:w="25%"/>
            <w:tcMar>
              <w:top w:type="dxa" w:w="90"/>
              <w:left w:type="dxa" w:w="140"/>
              <w:bottom w:type="dxa" w:w="90"/>
              <w:right w:type="dxa" w:w="140"/>
            </w:tcMar>
          </w:tcPr>
          <w:p>
            <w:r>
              <w:rPr>
                <w:b w:val="false"/>
                <w:bCs w:val="false"/>
                <w:color w:val="000000"/>
                <w:sz w:val="20"/>
                <w:szCs w:val="20"/>
              </w:rPr>
              <w:t xml:space="preserve">$625.80</w:t>
            </w:r>
          </w:p>
        </w:tc>
      </w:tr>
      <w:tr>
        <w:tc>
          <w:tcPr>
            <w:tcW w:type="pct" w:w="25%"/>
            <w:tcMar>
              <w:top w:type="dxa" w:w="90"/>
              <w:left w:type="dxa" w:w="140"/>
              <w:bottom w:type="dxa" w:w="90"/>
              <w:right w:type="dxa" w:w="140"/>
            </w:tcMar>
          </w:tcPr>
          <w:p>
            <w:r>
              <w:rPr>
                <w:b w:val="false"/>
                <w:bCs w:val="false"/>
                <w:color w:val="000000"/>
                <w:sz w:val="20"/>
                <w:szCs w:val="20"/>
              </w:rPr>
              <w:t xml:space="preserve">Europe</w:t>
            </w:r>
          </w:p>
        </w:tc>
        <w:tc>
          <w:tcPr>
            <w:tcW w:type="pct" w:w="25%"/>
            <w:tcMar>
              <w:top w:type="dxa" w:w="90"/>
              <w:left w:type="dxa" w:w="140"/>
              <w:bottom w:type="dxa" w:w="90"/>
              <w:right w:type="dxa" w:w="140"/>
            </w:tcMar>
          </w:tcPr>
          <w:p>
            <w:r>
              <w:rPr>
                <w:b w:val="false"/>
                <w:bCs w:val="false"/>
                <w:color w:val="000000"/>
                <w:sz w:val="20"/>
                <w:szCs w:val="20"/>
              </w:rPr>
              <w:t xml:space="preserve">2,141</w:t>
            </w:r>
          </w:p>
        </w:tc>
        <w:tc>
          <w:tcPr>
            <w:tcW w:type="pct" w:w="25%"/>
            <w:tcMar>
              <w:top w:type="dxa" w:w="90"/>
              <w:left w:type="dxa" w:w="140"/>
              <w:bottom w:type="dxa" w:w="90"/>
              <w:right w:type="dxa" w:w="140"/>
            </w:tcMar>
          </w:tcPr>
          <w:p>
            <w:r>
              <w:rPr>
                <w:b w:val="false"/>
                <w:bCs w:val="false"/>
                <w:color w:val="000000"/>
                <w:sz w:val="20"/>
                <w:szCs w:val="20"/>
              </w:rPr>
              <w:t xml:space="preserve">$570.24</w:t>
            </w:r>
          </w:p>
        </w:tc>
        <w:tc>
          <w:tcPr>
            <w:tcW w:type="pct" w:w="25%"/>
            <w:tcMar>
              <w:top w:type="dxa" w:w="90"/>
              <w:left w:type="dxa" w:w="140"/>
              <w:bottom w:type="dxa" w:w="90"/>
              <w:right w:type="dxa" w:w="140"/>
            </w:tcMar>
          </w:tcPr>
          <w:p>
            <w:r>
              <w:rPr>
                <w:b w:val="false"/>
                <w:bCs w:val="false"/>
                <w:color w:val="000000"/>
                <w:sz w:val="20"/>
                <w:szCs w:val="20"/>
              </w:rPr>
              <w:t xml:space="preserve">$660.62</w:t>
            </w:r>
          </w:p>
        </w:tc>
      </w:tr>
    </w:tbl>
    <w:p>
      <w:pPr>
        <w:spacing w:after="200"/>
      </w:pPr>
    </w:p>
    <w:p>
      <w:pPr>
        <w:spacing w:after="170" w:line="300"/>
      </w:pPr>
      <w:r>
        <w:t xml:space="preserve">F(4, 8995) = 1.346, p = 0.250.</w:t>
      </w:r>
    </w:p>
    <w:p>
      <w:pPr>
        <w:spacing w:after="100" w:before="200"/>
        <w:jc w:val="center"/>
      </w:pPr>
      <w:r>
        <w:drawing>
          <wp:inline distT="0" distB="0" distL="0" distR="0">
            <wp:extent cx="5120640" cy="33284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328416"/>
                    </a:xfrm>
                    <a:prstGeom prst="rect">
                      <a:avLst/>
                    </a:prstGeom>
                  </pic:spPr>
                </pic:pic>
              </a:graphicData>
            </a:graphic>
          </wp:inline>
        </w:drawing>
      </w:r>
    </w:p>
    <w:p>
      <w:pPr>
        <w:spacing w:after="220"/>
        <w:jc w:val="center"/>
      </w:pPr>
      <w:r>
        <w:rPr>
          <w:i/>
          <w:iCs/>
          <w:color w:val="595959"/>
          <w:sz w:val="20"/>
          <w:szCs w:val="20"/>
        </w:rPr>
        <w:t xml:space="preserve">Figure 4. Sales distribution by region (outliers hidden for readability).</w:t>
      </w:r>
    </w:p>
    <w:p>
      <w:pPr>
        <w:spacing w:after="100" w:before="200"/>
        <w:jc w:val="center"/>
      </w:pPr>
      <w:r>
        <w:drawing>
          <wp:inline distT="0" distB="0" distL="0" distR="0">
            <wp:extent cx="5120640" cy="33284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3328416"/>
                    </a:xfrm>
                    <a:prstGeom prst="rect">
                      <a:avLst/>
                    </a:prstGeom>
                  </pic:spPr>
                </pic:pic>
              </a:graphicData>
            </a:graphic>
          </wp:inline>
        </w:drawing>
      </w:r>
    </w:p>
    <w:p>
      <w:pPr>
        <w:spacing w:after="220"/>
        <w:jc w:val="center"/>
      </w:pPr>
      <w:r>
        <w:rPr>
          <w:i/>
          <w:iCs/>
          <w:color w:val="595959"/>
          <w:sz w:val="20"/>
          <w:szCs w:val="20"/>
        </w:rPr>
        <w:t xml:space="preserve">Figure 5. Regional mean order value with 95% confidence intervals - the overlapping bars visually confirm the ANOVA result.</w:t>
      </w:r>
    </w:p>
    <w:p>
      <w:pPr>
        <w:pStyle w:val="Heading2"/>
        <w:spacing w:after="130" w:before="240"/>
      </w:pPr>
      <w:r>
        <w:t xml:space="preserve">5.4 Interpretation</w:t>
      </w:r>
    </w:p>
    <w:p>
      <w:pPr>
        <w:spacing w:after="170" w:line="300"/>
      </w:pPr>
      <w:r>
        <w:t xml:space="preserve">p = 0.250, so I fail to reject H0 here too. This one actually surprised me at first because in my Week 2 report I found that North America had way more total sales than Middle East &amp; Africa. But total sales and average order value are two completely different things - North America has more total sales mainly because it has more orders (2,864 vs 777), not because each individual order is bigger. In fact the confidence interval chart shows all five regions' average order values overlapping quite a bit. So the earlier finding about regional revenue differences still holds, but it's driven by order volume, not by customers in some regions spending more per order than others. I ran a quick post-hoc t-test between the two most different-looking regions (North America vs Middle East &amp; Africa) just to sanity check, and that also came back non-significant (p = 0.191), which is consistent with the overall ANOVA result.</w:t>
      </w:r>
    </w:p>
    <w:p>
      <w:pPr>
        <w:pStyle w:val="Heading1"/>
        <w:spacing w:after="160" w:before="340"/>
      </w:pPr>
      <w:r>
        <w:t xml:space="preserve">6. Summary of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3864" w:color="auto" w:val="clear"/>
            <w:tcMar>
              <w:top w:type="dxa" w:w="90"/>
              <w:left w:type="dxa" w:w="140"/>
              <w:bottom w:type="dxa" w:w="90"/>
              <w:right w:type="dxa" w:w="140"/>
            </w:tcMar>
          </w:tcPr>
          <w:p>
            <w:r>
              <w:rPr>
                <w:b/>
                <w:bCs/>
                <w:color w:val="FFFFFF"/>
                <w:sz w:val="20"/>
                <w:szCs w:val="20"/>
              </w:rPr>
              <w:t xml:space="preserve">Test</w:t>
            </w:r>
          </w:p>
        </w:tc>
        <w:tc>
          <w:tcPr>
            <w:tcW w:type="pct" w:w="25%"/>
            <w:shd w:fill="1F3864" w:color="auto" w:val="clear"/>
            <w:tcMar>
              <w:top w:type="dxa" w:w="90"/>
              <w:left w:type="dxa" w:w="140"/>
              <w:bottom w:type="dxa" w:w="90"/>
              <w:right w:type="dxa" w:w="140"/>
            </w:tcMar>
          </w:tcPr>
          <w:p>
            <w:r>
              <w:rPr>
                <w:b/>
                <w:bCs/>
                <w:color w:val="FFFFFF"/>
                <w:sz w:val="20"/>
                <w:szCs w:val="20"/>
              </w:rPr>
              <w:t xml:space="preserve">p-value</w:t>
            </w:r>
          </w:p>
        </w:tc>
        <w:tc>
          <w:tcPr>
            <w:tcW w:type="pct" w:w="25%"/>
            <w:shd w:fill="1F3864" w:color="auto" w:val="clear"/>
            <w:tcMar>
              <w:top w:type="dxa" w:w="90"/>
              <w:left w:type="dxa" w:w="140"/>
              <w:bottom w:type="dxa" w:w="90"/>
              <w:right w:type="dxa" w:w="140"/>
            </w:tcMar>
          </w:tcPr>
          <w:p>
            <w:r>
              <w:rPr>
                <w:b/>
                <w:bCs/>
                <w:color w:val="FFFFFF"/>
                <w:sz w:val="20"/>
                <w:szCs w:val="20"/>
              </w:rPr>
              <w:t xml:space="preserve">Result</w:t>
            </w:r>
          </w:p>
        </w:tc>
        <w:tc>
          <w:tcPr>
            <w:tcW w:type="pct" w:w="25%"/>
            <w:shd w:fill="1F3864" w:color="auto" w:val="clear"/>
            <w:tcMar>
              <w:top w:type="dxa" w:w="90"/>
              <w:left w:type="dxa" w:w="140"/>
              <w:bottom w:type="dxa" w:w="90"/>
              <w:right w:type="dxa" w:w="140"/>
            </w:tcMar>
          </w:tcPr>
          <w:p>
            <w:r>
              <w:rPr>
                <w:b/>
                <w:bCs/>
                <w:color w:val="FFFFFF"/>
                <w:sz w:val="20"/>
                <w:szCs w:val="20"/>
              </w:rPr>
              <w:t xml:space="preserve">Conclusion</w:t>
            </w:r>
          </w:p>
        </w:tc>
      </w:tr>
      <w:tr>
        <w:tc>
          <w:tcPr>
            <w:tcW w:type="pct" w:w="25%"/>
            <w:tcMar>
              <w:top w:type="dxa" w:w="90"/>
              <w:left w:type="dxa" w:w="140"/>
              <w:bottom w:type="dxa" w:w="90"/>
              <w:right w:type="dxa" w:w="140"/>
            </w:tcMar>
          </w:tcPr>
          <w:p>
            <w:r>
              <w:rPr>
                <w:b w:val="false"/>
                <w:bCs w:val="false"/>
                <w:color w:val="000000"/>
                <w:sz w:val="20"/>
                <w:szCs w:val="20"/>
              </w:rPr>
              <w:t xml:space="preserve">T-test: Discount → Margin</w:t>
            </w:r>
          </w:p>
        </w:tc>
        <w:tc>
          <w:tcPr>
            <w:tcW w:type="pct" w:w="25%"/>
            <w:tcMar>
              <w:top w:type="dxa" w:w="90"/>
              <w:left w:type="dxa" w:w="140"/>
              <w:bottom w:type="dxa" w:w="90"/>
              <w:right w:type="dxa" w:w="140"/>
            </w:tcMar>
          </w:tcPr>
          <w:p>
            <w:r>
              <w:rPr>
                <w:b w:val="false"/>
                <w:bCs w:val="false"/>
                <w:color w:val="000000"/>
                <w:sz w:val="20"/>
                <w:szCs w:val="20"/>
              </w:rPr>
              <w:t xml:space="preserve">&lt; 0.001</w:t>
            </w:r>
          </w:p>
        </w:tc>
        <w:tc>
          <w:tcPr>
            <w:tcW w:type="pct" w:w="25%"/>
            <w:tcMar>
              <w:top w:type="dxa" w:w="90"/>
              <w:left w:type="dxa" w:w="140"/>
              <w:bottom w:type="dxa" w:w="90"/>
              <w:right w:type="dxa" w:w="140"/>
            </w:tcMar>
          </w:tcPr>
          <w:p>
            <w:r>
              <w:rPr>
                <w:b w:val="false"/>
                <w:bCs w:val="false"/>
                <w:color w:val="000000"/>
                <w:sz w:val="20"/>
                <w:szCs w:val="20"/>
              </w:rPr>
              <w:t xml:space="preserve">Reject H0</w:t>
            </w:r>
          </w:p>
        </w:tc>
        <w:tc>
          <w:tcPr>
            <w:tcW w:type="pct" w:w="25%"/>
            <w:tcMar>
              <w:top w:type="dxa" w:w="90"/>
              <w:left w:type="dxa" w:w="140"/>
              <w:bottom w:type="dxa" w:w="90"/>
              <w:right w:type="dxa" w:w="140"/>
            </w:tcMar>
          </w:tcPr>
          <w:p>
            <w:r>
              <w:rPr>
                <w:b w:val="false"/>
                <w:bCs w:val="false"/>
                <w:color w:val="000000"/>
                <w:sz w:val="20"/>
                <w:szCs w:val="20"/>
              </w:rPr>
              <w:t xml:space="preserve">Discounting significantly lowers profit margin</w:t>
            </w:r>
          </w:p>
        </w:tc>
      </w:tr>
      <w:tr>
        <w:tc>
          <w:tcPr>
            <w:tcW w:type="pct" w:w="25%"/>
            <w:tcMar>
              <w:top w:type="dxa" w:w="90"/>
              <w:left w:type="dxa" w:w="140"/>
              <w:bottom w:type="dxa" w:w="90"/>
              <w:right w:type="dxa" w:w="140"/>
            </w:tcMar>
          </w:tcPr>
          <w:p>
            <w:r>
              <w:rPr>
                <w:b w:val="false"/>
                <w:bCs w:val="false"/>
                <w:color w:val="000000"/>
                <w:sz w:val="20"/>
                <w:szCs w:val="20"/>
              </w:rPr>
              <w:t xml:space="preserve">Chi-square: Segment × Category</w:t>
            </w:r>
          </w:p>
        </w:tc>
        <w:tc>
          <w:tcPr>
            <w:tcW w:type="pct" w:w="25%"/>
            <w:tcMar>
              <w:top w:type="dxa" w:w="90"/>
              <w:left w:type="dxa" w:w="140"/>
              <w:bottom w:type="dxa" w:w="90"/>
              <w:right w:type="dxa" w:w="140"/>
            </w:tcMar>
          </w:tcPr>
          <w:p>
            <w:r>
              <w:rPr>
                <w:b w:val="false"/>
                <w:bCs w:val="false"/>
                <w:color w:val="000000"/>
                <w:sz w:val="20"/>
                <w:szCs w:val="20"/>
              </w:rPr>
              <w:t xml:space="preserve">0.298</w:t>
            </w:r>
          </w:p>
        </w:tc>
        <w:tc>
          <w:tcPr>
            <w:tcW w:type="pct" w:w="25%"/>
            <w:tcMar>
              <w:top w:type="dxa" w:w="90"/>
              <w:left w:type="dxa" w:w="140"/>
              <w:bottom w:type="dxa" w:w="90"/>
              <w:right w:type="dxa" w:w="140"/>
            </w:tcMar>
          </w:tcPr>
          <w:p>
            <w:r>
              <w:rPr>
                <w:b w:val="false"/>
                <w:bCs w:val="false"/>
                <w:color w:val="000000"/>
                <w:sz w:val="20"/>
                <w:szCs w:val="20"/>
              </w:rPr>
              <w:t xml:space="preserve">Fail to reject H0</w:t>
            </w:r>
          </w:p>
        </w:tc>
        <w:tc>
          <w:tcPr>
            <w:tcW w:type="pct" w:w="25%"/>
            <w:tcMar>
              <w:top w:type="dxa" w:w="90"/>
              <w:left w:type="dxa" w:w="140"/>
              <w:bottom w:type="dxa" w:w="90"/>
              <w:right w:type="dxa" w:w="140"/>
            </w:tcMar>
          </w:tcPr>
          <w:p>
            <w:r>
              <w:rPr>
                <w:b w:val="false"/>
                <w:bCs w:val="false"/>
                <w:color w:val="000000"/>
                <w:sz w:val="20"/>
                <w:szCs w:val="20"/>
              </w:rPr>
              <w:t xml:space="preserve">No real relationship between segment and category</w:t>
            </w:r>
          </w:p>
        </w:tc>
      </w:tr>
      <w:tr>
        <w:tc>
          <w:tcPr>
            <w:tcW w:type="pct" w:w="25%"/>
            <w:tcMar>
              <w:top w:type="dxa" w:w="90"/>
              <w:left w:type="dxa" w:w="140"/>
              <w:bottom w:type="dxa" w:w="90"/>
              <w:right w:type="dxa" w:w="140"/>
            </w:tcMar>
          </w:tcPr>
          <w:p>
            <w:r>
              <w:rPr>
                <w:b w:val="false"/>
                <w:bCs w:val="false"/>
                <w:color w:val="000000"/>
                <w:sz w:val="20"/>
                <w:szCs w:val="20"/>
              </w:rPr>
              <w:t xml:space="preserve">ANOVA: Sales × Region</w:t>
            </w:r>
          </w:p>
        </w:tc>
        <w:tc>
          <w:tcPr>
            <w:tcW w:type="pct" w:w="25%"/>
            <w:tcMar>
              <w:top w:type="dxa" w:w="90"/>
              <w:left w:type="dxa" w:w="140"/>
              <w:bottom w:type="dxa" w:w="90"/>
              <w:right w:type="dxa" w:w="140"/>
            </w:tcMar>
          </w:tcPr>
          <w:p>
            <w:r>
              <w:rPr>
                <w:b w:val="false"/>
                <w:bCs w:val="false"/>
                <w:color w:val="000000"/>
                <w:sz w:val="20"/>
                <w:szCs w:val="20"/>
              </w:rPr>
              <w:t xml:space="preserve">0.250</w:t>
            </w:r>
          </w:p>
        </w:tc>
        <w:tc>
          <w:tcPr>
            <w:tcW w:type="pct" w:w="25%"/>
            <w:tcMar>
              <w:top w:type="dxa" w:w="90"/>
              <w:left w:type="dxa" w:w="140"/>
              <w:bottom w:type="dxa" w:w="90"/>
              <w:right w:type="dxa" w:w="140"/>
            </w:tcMar>
          </w:tcPr>
          <w:p>
            <w:r>
              <w:rPr>
                <w:b w:val="false"/>
                <w:bCs w:val="false"/>
                <w:color w:val="000000"/>
                <w:sz w:val="20"/>
                <w:szCs w:val="20"/>
              </w:rPr>
              <w:t xml:space="preserve">Fail to reject H0</w:t>
            </w:r>
          </w:p>
        </w:tc>
        <w:tc>
          <w:tcPr>
            <w:tcW w:type="pct" w:w="25%"/>
            <w:tcMar>
              <w:top w:type="dxa" w:w="90"/>
              <w:left w:type="dxa" w:w="140"/>
              <w:bottom w:type="dxa" w:w="90"/>
              <w:right w:type="dxa" w:w="140"/>
            </w:tcMar>
          </w:tcPr>
          <w:p>
            <w:r>
              <w:rPr>
                <w:b w:val="false"/>
                <w:bCs w:val="false"/>
                <w:color w:val="000000"/>
                <w:sz w:val="20"/>
                <w:szCs w:val="20"/>
              </w:rPr>
              <w:t xml:space="preserve">Average order value doesn't differ by region</w:t>
            </w:r>
          </w:p>
        </w:tc>
      </w:tr>
    </w:tbl>
    <w:p>
      <w:pPr>
        <w:spacing w:after="300"/>
      </w:pPr>
    </w:p>
    <w:p>
      <w:pPr>
        <w:pStyle w:val="Heading1"/>
        <w:spacing w:after="160" w:before="340"/>
      </w:pPr>
      <w:r>
        <w:t xml:space="preserve">7. Conclusion</w:t>
      </w:r>
    </w:p>
    <w:p>
      <w:pPr>
        <w:spacing w:after="170" w:line="300"/>
      </w:pPr>
      <w:r>
        <w:t xml:space="preserve">Out of the three hypotheses, only one turned out to be statistically significant, which I think is actually a more honest and useful outcome than if all three had "worked." The discount-profit relationship is the clear, strong finding here - it's backed by a massive t-statistic, a tight confidence interval nowhere near zero, and it lines up with what the Week 2 visualization already hinted at. That's the one I'd take to a manager: cap discounts, because they're demonstrably eating into margin.</w:t>
      </w:r>
    </w:p>
    <w:p>
      <w:pPr>
        <w:spacing w:after="170" w:line="300"/>
      </w:pPr>
      <w:r>
        <w:t xml:space="preserve">The other two results (segment vs category, and region vs order value) were not significant, and I think that's worth reporting honestly rather than only showing the "positive" result. It tells us that, at least in this dataset, customer segment doesn't predict what people buy, and that regional revenue differences come from order volume rather than order size. Both are useful things for a business to know, even though neither hypothesis was "confirmed."</w:t>
      </w:r>
    </w:p>
    <w:p>
      <w:pPr>
        <w:spacing w:after="170" w:line="300"/>
      </w:pPr>
      <w:r>
        <w:t xml:space="preserve">One thing I'd want to check if I did this again with real (not simulated) data: run a proper post-hoc test like Tukey's HSD instead of just one pairwise t-test for the ANOVA, and maybe check the normality assumption more carefully for the t-test since profit margin is a bit skewed. But for this dataset size (9,000 rows) the tests should be fairly robust to minor violations anyway.</w:t>
      </w:r>
    </w:p>
    <w:p>
      <w:pPr>
        <w:spacing w:before="260"/>
      </w:pPr>
      <w:r>
        <w:rPr>
          <w:i/>
          <w:iCs/>
          <w:color w:val="595959"/>
        </w:rPr>
        <w:t xml:space="preserve">End of report.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Statistical Analysis and Hypothesis Testing in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40"/>
    </w:pPr>
    <w:rPr>
      <w:rFonts w:ascii="Calibri" w:cs="Calibri" w:eastAsia="Calibri" w:hAnsi="Calibri"/>
      <w:b/>
      <w:bCs/>
      <w:color w:val="1F3864"/>
      <w:sz w:val="30"/>
      <w:szCs w:val="30"/>
    </w:rPr>
  </w:style>
  <w:style w:type="paragraph" w:styleId="Heading2">
    <w:name w:val="Heading 2"/>
    <w:basedOn w:val="Normal"/>
    <w:next w:val="Normal"/>
    <w:pPr>
      <w:spacing w:after="130" w:before="240"/>
    </w:pPr>
    <w:rPr>
      <w:rFonts w:ascii="Calibri" w:cs="Calibri" w:eastAsia="Calibri" w:hAnsi="Calibri"/>
      <w:b/>
      <w:bCs/>
      <w:color w:val="E870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1c8afd5ea9c46439c6b9631e081a84ebe05b47.png"/><Relationship Id="rId10" Type="http://schemas.openxmlformats.org/officeDocument/2006/relationships/image" Target="media/60a4957a67b51e690935b825e2f48c7c69d940e9.png"/><Relationship Id="rId11" Type="http://schemas.openxmlformats.org/officeDocument/2006/relationships/image" Target="media/727a57aeb798838aae8ed54ad05994f1a5631995.png"/><Relationship Id="rId12" Type="http://schemas.openxmlformats.org/officeDocument/2006/relationships/image" Target="media/5a775fc495d3a090b76511da88dc7839dcdb8d7a.png"/><Relationship Id="rId13" Type="http://schemas.openxmlformats.org/officeDocument/2006/relationships/image" Target="media/88b8fa13c06e658197ab873b81dde3cda818411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2026-08-18T04:22:58.819Z</dcterms:created>
  <dcterms:modified xsi:type="dcterms:W3CDTF">2026-08-18T04:22:58.828Z</dcterms:modified>
</cp:coreProperties>
</file>

<file path=docProps/custom.xml><?xml version="1.0" encoding="utf-8"?>
<Properties xmlns="http://schemas.openxmlformats.org/officeDocument/2006/custom-properties" xmlns:vt="http://schemas.openxmlformats.org/officeDocument/2006/docPropsVTypes"/>
</file>