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9A6B25"/>
          <w:sz w:val="22"/>
        </w:rPr>
        <w:t>AGROWATCH PLATFORM</w:t>
      </w:r>
    </w:p>
    <w:p>
      <w:pPr>
        <w:spacing w:after="120"/>
      </w:pPr>
      <w:r>
        <w:rPr>
          <w:rFonts w:ascii="Arial" w:hAnsi="Arial"/>
          <w:b/>
          <w:color w:val="315C3B"/>
          <w:sz w:val="48"/>
        </w:rPr>
        <w:t>Official User Guide &amp; Operations Manual</w:t>
      </w:r>
    </w:p>
    <w:p>
      <w:pPr>
        <w:spacing w:after="320"/>
      </w:pPr>
      <w:r>
        <w:rPr>
          <w:b/>
        </w:rPr>
        <w:t xml:space="preserve">Application URL: </w:t>
      </w:r>
      <w:r>
        <w:rPr>
          <w:color w:val="315C3B"/>
          <w:u w:val="single"/>
        </w:rPr>
        <w:t>https://agrowatch-swart.vercel.app/</w:t>
        <w:br/>
      </w:r>
      <w:r>
        <w:rPr>
          <w:b/>
        </w:rPr>
        <w:t xml:space="preserve">Focus Value Chains: </w:t>
      </w:r>
      <w:r>
        <w:t xml:space="preserve">Tomato, Maize, Pineapple  |  </w:t>
      </w:r>
      <w:r>
        <w:rPr>
          <w:b/>
        </w:rPr>
        <w:t xml:space="preserve">Target Ecosystem: </w:t>
      </w:r>
      <w:r>
        <w:t>Ghana Agricultural Sector</w:t>
      </w:r>
    </w:p>
    <w:tbl>
      <w:tblPr>
        <w:tblW w:type="auto" w:w="0"/>
        <w:jc w:val="center"/>
        <w:tblLook w:firstColumn="1" w:firstRow="1" w:lastColumn="0" w:lastRow="0" w:noHBand="0" w:noVBand="1" w:val="04A0"/>
      </w:tblPr>
      <w:tblGrid>
        <w:gridCol w:w="9360"/>
      </w:tblGrid>
      <w:tr>
        <w:tc>
          <w:tcPr>
            <w:tcW w:type="dxa" w:w="9360"/>
            <w:shd w:fill="315C3B"/>
          </w:tcPr>
          <w:p>
            <w:pPr>
              <w:spacing w:before="0" w:after="0"/>
            </w:pPr>
          </w:p>
        </w:tc>
      </w:tr>
    </w:tbl>
    <w:p>
      <w:pPr>
        <w:spacing w:after="160"/>
      </w:pPr>
    </w:p>
    <w:p>
      <w:pPr>
        <w:keepNext/>
        <w:spacing w:before="320" w:after="120"/>
      </w:pPr>
      <w:r>
        <w:rPr>
          <w:rFonts w:ascii="Arial" w:hAnsi="Arial"/>
          <w:b/>
          <w:color w:val="315C3B"/>
          <w:sz w:val="28"/>
        </w:rPr>
        <w:t>1. Overview &amp; Mission</w:t>
      </w:r>
    </w:p>
    <w:p>
      <w:r>
        <w:t>AgroWatch is an integrated smart agricultural platform designed to improve farm productivity, facilitate early disease detection, and bridge the commercial gap between crop producers and buyers in Ghana. By leveraging automated YOLOv8 computer vision models trained on aerial drone imagery and ground field photography, AgroWatch enables farmers to spot crop stress, identify specific fungal and viral pathogens, count healthy vs. affected plants, and obtain extension-verified treatment recommendations.</w:t>
      </w:r>
    </w:p>
    <w:p>
      <w:r>
        <w:t>The platform currently provides specialized disease models and agronomic advisories for three major value chains: Tomato (Solanum lycopersicum), Maize (Zea mays), and Pineapple (Ananas comosus).</w:t>
      </w:r>
    </w:p>
    <w:p>
      <w:pPr>
        <w:keepNext/>
        <w:spacing w:before="320" w:after="120"/>
      </w:pPr>
      <w:r>
        <w:rPr>
          <w:rFonts w:ascii="Arial" w:hAnsi="Arial"/>
          <w:b/>
          <w:color w:val="315C3B"/>
          <w:sz w:val="28"/>
        </w:rPr>
        <w:t>2. User Roles &amp; Capabilities</w:t>
      </w:r>
    </w:p>
    <w:p>
      <w:pPr>
        <w:pStyle w:val="ListBullet"/>
        <w:spacing w:after="60"/>
      </w:pPr>
      <w:r>
        <w:rPr>
          <w:b/>
          <w:color w:val="315C3B"/>
        </w:rPr>
        <w:t xml:space="preserve">Farmer: </w:t>
      </w:r>
      <w:r>
        <w:t>Can register farm plots across all 16 Ghanaian regions, upload aerial and mobile crop photos, initiate automated AI scans, view interactive detection overlays, receive tailored disease diagnoses, and list harvested produce directly on the open market exchange.</w:t>
      </w:r>
    </w:p>
    <w:p>
      <w:pPr>
        <w:pStyle w:val="ListBullet"/>
        <w:spacing w:after="60"/>
      </w:pPr>
      <w:r>
        <w:rPr>
          <w:b/>
          <w:color w:val="315C3B"/>
        </w:rPr>
        <w:t xml:space="preserve">Buyer: </w:t>
      </w:r>
      <w:r>
        <w:t>Can explore verified produce listings, filter by crop type and region, evaluate harvest readiness dates and asking prices (GH₵/kg), and connect directly with farmers using the integrated in-app messaging system.</w:t>
      </w:r>
    </w:p>
    <w:p>
      <w:pPr>
        <w:pStyle w:val="ListBullet"/>
        <w:spacing w:after="60"/>
      </w:pPr>
      <w:r>
        <w:rPr>
          <w:b/>
          <w:color w:val="315C3B"/>
        </w:rPr>
        <w:t xml:space="preserve">Administrator: </w:t>
      </w:r>
      <w:r>
        <w:t>Has system-wide visibility across all registered farm plots, automated scan logs, marketplace listings, and platform analytics.</w:t>
      </w:r>
    </w:p>
    <w:p>
      <w:pPr>
        <w:keepNext/>
        <w:spacing w:before="320" w:after="120"/>
      </w:pPr>
      <w:r>
        <w:rPr>
          <w:rFonts w:ascii="Arial" w:hAnsi="Arial"/>
          <w:b/>
          <w:color w:val="315C3B"/>
          <w:sz w:val="28"/>
        </w:rPr>
        <w:t>3. Account Setup &amp; Authentication</w:t>
      </w:r>
    </w:p>
    <w:p>
      <w:pPr>
        <w:keepNext/>
        <w:spacing w:before="200" w:after="80"/>
      </w:pPr>
      <w:r>
        <w:rPr>
          <w:rFonts w:ascii="Arial" w:hAnsi="Arial"/>
          <w:b/>
          <w:color w:val="52614F"/>
          <w:sz w:val="23"/>
        </w:rPr>
        <w:t>3.1 Registering an Account</w:t>
      </w:r>
    </w:p>
    <w:p>
      <w:r>
        <w:t>1. Visit https://agrowatch-swart.vercel.app/register or click 'Get Started' on the homepage.</w:t>
      </w:r>
    </w:p>
    <w:p>
      <w:r>
        <w:t>2. Select your account type: 'I'm a Farmer' or 'I'm a Buyer'.</w:t>
      </w:r>
    </w:p>
    <w:p>
      <w:r>
        <w:t>3. Provide your Full Name, Phone Number, Password, Region, and District.</w:t>
      </w:r>
    </w:p>
    <w:p>
      <w:r>
        <w:t>4. Click 'Create Your Account'. Your phone number will serve as your primary username.</w:t>
      </w:r>
    </w:p>
    <w:p>
      <w:pPr>
        <w:keepNext/>
        <w:spacing w:before="200" w:after="80"/>
      </w:pPr>
      <w:r>
        <w:rPr>
          <w:rFonts w:ascii="Arial" w:hAnsi="Arial"/>
          <w:b/>
          <w:color w:val="52614F"/>
          <w:sz w:val="23"/>
        </w:rPr>
        <w:t>3.2 Logging In &amp; Profile Management</w:t>
      </w:r>
    </w:p>
    <w:p>
      <w:r>
        <w:t>To sign in, navigate to /login and enter your phone number and password. Once logged in, click 'Profile' in the navigation bar to update your personal details, change your district/region, or upload a custom profile picture (JPG, PNG, or WebP format).</w:t>
      </w:r>
    </w:p>
    <w:p>
      <w:r>
        <w:t>Theme Preference: Use the theme toggle located in the upper-right navigation bar to switch between Light Mode, Dark Mode, or System Default theme.</w:t>
      </w:r>
    </w:p>
    <w:p>
      <w:pPr>
        <w:keepNext/>
        <w:spacing w:before="320" w:after="120"/>
      </w:pPr>
      <w:r>
        <w:rPr>
          <w:rFonts w:ascii="Arial" w:hAnsi="Arial"/>
          <w:b/>
          <w:color w:val="315C3B"/>
          <w:sz w:val="28"/>
        </w:rPr>
        <w:t>4. Farmer Operations &amp; Field Scan Workflows</w:t>
      </w:r>
    </w:p>
    <w:p>
      <w:pPr>
        <w:keepNext/>
        <w:spacing w:before="200" w:after="80"/>
      </w:pPr>
      <w:r>
        <w:rPr>
          <w:rFonts w:ascii="Arial" w:hAnsi="Arial"/>
          <w:b/>
          <w:color w:val="52614F"/>
          <w:sz w:val="23"/>
        </w:rPr>
        <w:t>Step 1: Registering a Farm Plot</w:t>
      </w:r>
    </w:p>
    <w:p>
      <w:r>
        <w:t>Before submitting imagery for automated health analysis, you must register the target field plot:</w:t>
      </w:r>
    </w:p>
    <w:p>
      <w:pPr>
        <w:pStyle w:val="ListBullet"/>
      </w:pPr>
      <w:r>
        <w:t>• Navigate to 'My Farms' (/farms) and click '+ Add New Farm'.</w:t>
      </w:r>
    </w:p>
    <w:p>
      <w:pPr>
        <w:pStyle w:val="ListBullet"/>
      </w:pPr>
      <w:r>
        <w:t>• Enter the Farm Name (e.g., 'Aveyime Tomato Plot A').</w:t>
      </w:r>
    </w:p>
    <w:p>
      <w:pPr>
        <w:pStyle w:val="ListBullet"/>
      </w:pPr>
      <w:r>
        <w:t>• Select the Crop Type (Tomato, Maize, or Pineapple).</w:t>
      </w:r>
    </w:p>
    <w:p>
      <w:pPr>
        <w:pStyle w:val="ListBullet"/>
      </w:pPr>
      <w:r>
        <w:t>• Enter the total Plot Area in Hectares.</w:t>
      </w:r>
    </w:p>
    <w:p>
      <w:pPr>
        <w:pStyle w:val="ListBullet"/>
      </w:pPr>
      <w:r>
        <w:t>• Select the administrative Region and District where the farm is located.</w:t>
      </w:r>
    </w:p>
    <w:p>
      <w:pPr>
        <w:pStyle w:val="ListBullet"/>
      </w:pPr>
      <w:r>
        <w:t>• Click 'Register Farm' to save the plot configuration.</w:t>
      </w:r>
    </w:p>
    <w:p>
      <w:pPr>
        <w:keepNext/>
        <w:spacing w:before="200" w:after="80"/>
      </w:pPr>
      <w:r>
        <w:rPr>
          <w:rFonts w:ascii="Arial" w:hAnsi="Arial"/>
          <w:b/>
          <w:color w:val="52614F"/>
          <w:sz w:val="23"/>
        </w:rPr>
        <w:t>Step 2: Uploading &amp; Running an AI Crop Scan</w:t>
      </w:r>
    </w:p>
    <w:p>
      <w:r>
        <w:t>1. Click 'Scan' or 'New Scan' (/scan) from the top bar or sidebar navigation.</w:t>
        <w:br/>
        <w:t>2. Choose the registered farm plot you are scanning from the dropdown menu.</w:t>
        <w:br/>
        <w:t>3. Upload aerial orthomosaic imagery captured via drone or clear high-resolution field photos taken from your mobile device.</w:t>
        <w:br/>
        <w:t>4. Click 'Start Analysis' to initiate the automated vision pipeline.</w:t>
      </w:r>
    </w:p>
    <w:p>
      <w:r>
        <w:t>The computer vision pipeline executes three real-time processing stages:</w:t>
        <w:br/>
        <w:t xml:space="preserve">  a) Plant Detection: YOLOv8 model isolates and counts individual plants.</w:t>
        <w:br/>
        <w:t xml:space="preserve">  b) Object Tracking: ByteTrack engine tracks unique plant IDs across adjacent frames.</w:t>
        <w:br/>
        <w:t xml:space="preserve">  c) Disease Diagnosis: Classifies leaf lesions, discoloration, and pest damage.</w:t>
      </w:r>
    </w:p>
    <w:p>
      <w:pPr>
        <w:keepNext/>
        <w:spacing w:before="200" w:after="80"/>
      </w:pPr>
      <w:r>
        <w:rPr>
          <w:rFonts w:ascii="Arial" w:hAnsi="Arial"/>
          <w:b/>
          <w:color w:val="52614F"/>
          <w:sz w:val="23"/>
        </w:rPr>
        <w:t>Step 3: Interpreting Scan Results &amp; Accuracy Metrics</w:t>
      </w:r>
    </w:p>
    <w:p>
      <w:r>
        <w:t>Upon scan completion (/scan/:id), the system generates an interactive analysis dashboard containing:</w:t>
        <w:br/>
        <w:t>• Total Plants Detected: Total plant count across the scanned boundary.</w:t>
        <w:br/>
        <w:t>• Disease Flags: Number of plants exhibiting symptoms requiring intervention.</w:t>
        <w:br/>
        <w:t>• Model Performance Metrics: Precision, Recall, Detection F1-Score, and Multiple Object Tracking Accuracy (MOTA).</w:t>
        <w:br/>
        <w:t>• Interactive Field Map Overlay: Visual map placing markers on healthy plants (green) and affected plants (red diamond pins with track ID tags).</w:t>
      </w:r>
    </w:p>
    <w:p>
      <w:pPr>
        <w:keepNext/>
        <w:spacing w:before="200" w:after="80"/>
      </w:pPr>
      <w:r>
        <w:rPr>
          <w:rFonts w:ascii="Arial" w:hAnsi="Arial"/>
          <w:b/>
          <w:color w:val="52614F"/>
          <w:sz w:val="23"/>
        </w:rPr>
        <w:t>Step 4: Reviewing the Expert Diagnosis &amp; Treatment Plan</w:t>
      </w:r>
    </w:p>
    <w:p>
      <w:r>
        <w:t>If diseases are spotted, click 'View Expert Diagnosis' (/diagnose/:id). The diagnostic report provides:</w:t>
        <w:br/>
        <w:t>• Identified Pathogen: The exact biological organism (e.g., Phytophthora infestans, Spodoptera frugiperda).</w:t>
        <w:br/>
        <w:t>• Severity Level: High (immediate risk of crop loss), Medium, or Low.</w:t>
        <w:br/>
        <w:t>• Visual Symptoms: Detailed guide on leaf, stem, or fruit damage observed.</w:t>
        <w:br/>
        <w:t>• Treatment Recommendation: Extension-approved chemical agents (with dosage guidelines per litre of water), cultural sanitation techniques, and preventative spraying intervals.</w:t>
      </w:r>
    </w:p>
    <w:p>
      <w:pPr>
        <w:keepNext/>
        <w:spacing w:before="200" w:after="80"/>
      </w:pPr>
      <w:r>
        <w:rPr>
          <w:rFonts w:ascii="Arial" w:hAnsi="Arial"/>
          <w:b/>
          <w:color w:val="52614F"/>
          <w:sz w:val="23"/>
        </w:rPr>
        <w:t>Step 5: Publishing Harvest to the Market Exchange</w:t>
      </w:r>
    </w:p>
    <w:p>
      <w:r>
        <w:t>When produce reaches maturity:</w:t>
        <w:br/>
        <w:t>1. Navigate to 'My Products' / 'Market' (/market) and click '+ New Listing'.</w:t>
        <w:br/>
        <w:t>2. Enter Crop Type, Available Quantity (kg), Asking Price (GH₵/kg), and Estimated Harvest Date.</w:t>
        <w:br/>
        <w:t>3. Add quality or packaging descriptions and click 'Publish Listing'. Your produce becomes immediately visible to registered buyers.</w:t>
      </w:r>
    </w:p>
    <w:p>
      <w:pPr>
        <w:keepNext/>
        <w:spacing w:before="320" w:after="120"/>
      </w:pPr>
      <w:r>
        <w:rPr>
          <w:rFonts w:ascii="Arial" w:hAnsi="Arial"/>
          <w:b/>
          <w:color w:val="315C3B"/>
          <w:sz w:val="28"/>
        </w:rPr>
        <w:t>5. Buyer Operations &amp; Market Exchange</w:t>
      </w:r>
    </w:p>
    <w:p>
      <w:r>
        <w:t>Buyers can source fresh, verified agricultural commodities directly from local farmers without intermediaries:</w:t>
      </w:r>
    </w:p>
    <w:p>
      <w:pPr>
        <w:pStyle w:val="ListBullet"/>
      </w:pPr>
      <w:r>
        <w:t>1. Browse Listings: Open /market to view all active market listings across Ghana.</w:t>
      </w:r>
    </w:p>
    <w:p>
      <w:pPr>
        <w:pStyle w:val="ListBullet"/>
      </w:pPr>
      <w:r>
        <w:t>2. Filter Produce: Filter by specific value chains (Tomatoes, Maize, Pineapples).</w:t>
      </w:r>
    </w:p>
    <w:p>
      <w:pPr>
        <w:pStyle w:val="ListBullet"/>
      </w:pPr>
      <w:r>
        <w:t>3. Contact Seller: Click 'Contact Seller' on any produce card to send an instant offer or inquiry.</w:t>
      </w:r>
    </w:p>
    <w:p>
      <w:pPr>
        <w:pStyle w:val="ListBullet"/>
      </w:pPr>
      <w:r>
        <w:t>4. In-App Negotiation: Manage negotiation threads, agree on pricing/delivery logistics, and complete purchases via the 'Messages' portal (/messages).</w:t>
      </w:r>
    </w:p>
    <w:p>
      <w:pPr>
        <w:keepNext/>
        <w:spacing w:before="320" w:after="120"/>
      </w:pPr>
      <w:r>
        <w:rPr>
          <w:rFonts w:ascii="Arial" w:hAnsi="Arial"/>
          <w:b/>
          <w:color w:val="315C3B"/>
          <w:sz w:val="28"/>
        </w:rPr>
        <w:t>6. Supported Crops &amp; Diagnostic Reference Guide</w:t>
      </w:r>
    </w:p>
    <w:p>
      <w:r>
        <w:t>The table below details the full diagnostic spectrum covered by the AgroWatch expert system: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vAlign w:val="center"/>
            <w:tcMar>
              <w:top w:w="100" w:type="dxa"/>
              <w:bottom w:w="100" w:type="dxa"/>
              <w:left w:w="120" w:type="dxa"/>
              <w:right w:w="120" w:type="dxa"/>
            </w:tcMar>
            <w:shd w:fill="315C3B"/>
          </w:tcPr>
          <w:p>
            <w:pPr>
              <w:spacing w:before="0" w:after="0"/>
            </w:pPr>
            <w:r>
              <w:rPr>
                <w:rFonts w:ascii="Arial" w:hAnsi="Arial"/>
                <w:b/>
                <w:color w:val="FFFFFF"/>
                <w:sz w:val="19"/>
              </w:rPr>
              <w:t>Crop</w:t>
            </w:r>
          </w:p>
        </w:tc>
        <w:tc>
          <w:tcPr>
            <w:tcW w:type="dxa" w:w="1872"/>
            <w:vAlign w:val="center"/>
            <w:tcMar>
              <w:top w:w="100" w:type="dxa"/>
              <w:bottom w:w="100" w:type="dxa"/>
              <w:left w:w="120" w:type="dxa"/>
              <w:right w:w="120" w:type="dxa"/>
            </w:tcMar>
            <w:shd w:fill="315C3B"/>
          </w:tcPr>
          <w:p>
            <w:pPr>
              <w:spacing w:before="0" w:after="0"/>
            </w:pPr>
            <w:r>
              <w:rPr>
                <w:rFonts w:ascii="Arial" w:hAnsi="Arial"/>
                <w:b/>
                <w:color w:val="FFFFFF"/>
                <w:sz w:val="19"/>
              </w:rPr>
              <w:t>Condition</w:t>
            </w:r>
          </w:p>
        </w:tc>
        <w:tc>
          <w:tcPr>
            <w:tcW w:type="dxa" w:w="1872"/>
            <w:vAlign w:val="center"/>
            <w:tcMar>
              <w:top w:w="100" w:type="dxa"/>
              <w:bottom w:w="100" w:type="dxa"/>
              <w:left w:w="120" w:type="dxa"/>
              <w:right w:w="120" w:type="dxa"/>
            </w:tcMar>
            <w:shd w:fill="315C3B"/>
          </w:tcPr>
          <w:p>
            <w:pPr>
              <w:spacing w:before="0" w:after="0"/>
            </w:pPr>
            <w:r>
              <w:rPr>
                <w:rFonts w:ascii="Arial" w:hAnsi="Arial"/>
                <w:b/>
                <w:color w:val="FFFFFF"/>
                <w:sz w:val="19"/>
              </w:rPr>
              <w:t>Pathogen</w:t>
            </w:r>
          </w:p>
        </w:tc>
        <w:tc>
          <w:tcPr>
            <w:tcW w:type="dxa" w:w="1152"/>
            <w:vAlign w:val="center"/>
            <w:tcMar>
              <w:top w:w="100" w:type="dxa"/>
              <w:bottom w:w="100" w:type="dxa"/>
              <w:left w:w="120" w:type="dxa"/>
              <w:right w:w="120" w:type="dxa"/>
            </w:tcMar>
            <w:shd w:fill="315C3B"/>
          </w:tcPr>
          <w:p>
            <w:pPr>
              <w:spacing w:before="0" w:after="0"/>
            </w:pPr>
            <w:r>
              <w:rPr>
                <w:rFonts w:ascii="Arial" w:hAnsi="Arial"/>
                <w:b/>
                <w:color w:val="FFFFFF"/>
                <w:sz w:val="19"/>
              </w:rPr>
              <w:t>Severity</w:t>
            </w:r>
          </w:p>
        </w:tc>
        <w:tc>
          <w:tcPr>
            <w:tcW w:type="dxa" w:w="3168"/>
            <w:vAlign w:val="center"/>
            <w:tcMar>
              <w:top w:w="100" w:type="dxa"/>
              <w:bottom w:w="100" w:type="dxa"/>
              <w:left w:w="120" w:type="dxa"/>
              <w:right w:w="120" w:type="dxa"/>
            </w:tcMar>
            <w:shd w:fill="315C3B"/>
          </w:tcPr>
          <w:p>
            <w:pPr>
              <w:spacing w:before="0" w:after="0"/>
            </w:pPr>
            <w:r>
              <w:rPr>
                <w:rFonts w:ascii="Arial" w:hAnsi="Arial"/>
                <w:b/>
                <w:color w:val="FFFFFF"/>
                <w:sz w:val="19"/>
              </w:rPr>
              <w:t>Recommended Treatment / Action</w:t>
            </w:r>
          </w:p>
        </w:tc>
      </w:tr>
      <w:tr>
        <w:tc>
          <w:tcPr>
            <w:tcW w:type="dxa" w:w="1296"/>
            <w:vAlign w:val="center"/>
            <w:tcMar>
              <w:top w:w="100" w:type="dxa"/>
              <w:bottom w:w="100" w:type="dxa"/>
              <w:left w:w="120" w:type="dxa"/>
              <w:right w:w="120" w:type="dxa"/>
            </w:tcMar>
            <w:shd w:fill="F6F7F2"/>
          </w:tcPr>
          <w:p>
            <w:pPr>
              <w:spacing w:before="0" w:after="0"/>
            </w:pPr>
            <w:r>
              <w:rPr>
                <w:rFonts w:ascii="Calibri" w:hAnsi="Calibri"/>
                <w:sz w:val="18"/>
              </w:rPr>
              <w:t>Tomato</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Late Blight</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Phytophthora infestans</w:t>
            </w:r>
          </w:p>
        </w:tc>
        <w:tc>
          <w:tcPr>
            <w:tcW w:type="dxa" w:w="1152"/>
            <w:vAlign w:val="center"/>
            <w:tcMar>
              <w:top w:w="100" w:type="dxa"/>
              <w:bottom w:w="100" w:type="dxa"/>
              <w:left w:w="120" w:type="dxa"/>
              <w:right w:w="120" w:type="dxa"/>
            </w:tcMar>
            <w:shd w:fill="F6F7F2"/>
          </w:tcPr>
          <w:p>
            <w:pPr>
              <w:spacing w:before="0" w:after="0"/>
            </w:pPr>
            <w:r>
              <w:rPr>
                <w:rFonts w:ascii="Calibri" w:hAnsi="Calibri"/>
                <w:b/>
                <w:color w:val="B6473D"/>
                <w:sz w:val="18"/>
              </w:rPr>
              <w:t>High</w:t>
            </w:r>
          </w:p>
        </w:tc>
        <w:tc>
          <w:tcPr>
            <w:tcW w:type="dxa" w:w="3168"/>
            <w:vAlign w:val="center"/>
            <w:tcMar>
              <w:top w:w="100" w:type="dxa"/>
              <w:bottom w:w="100" w:type="dxa"/>
              <w:left w:w="120" w:type="dxa"/>
              <w:right w:w="120" w:type="dxa"/>
            </w:tcMar>
            <w:shd w:fill="F6F7F2"/>
          </w:tcPr>
          <w:p>
            <w:pPr>
              <w:spacing w:before="0" w:after="0"/>
            </w:pPr>
            <w:r>
              <w:rPr>
                <w:rFonts w:ascii="Calibri" w:hAnsi="Calibri"/>
                <w:sz w:val="18"/>
              </w:rPr>
              <w:t>Copper Oxychloride 50% WP (2.5 g/L). Destroy heavily infected leaves. Avoid overhead watering. 7-day re-application.</w:t>
            </w:r>
          </w:p>
        </w:tc>
      </w:tr>
      <w:tr>
        <w:tc>
          <w:tcPr>
            <w:tcW w:type="dxa" w:w="1296"/>
            <w:vAlign w:val="center"/>
            <w:tcMar>
              <w:top w:w="100" w:type="dxa"/>
              <w:bottom w:w="100" w:type="dxa"/>
              <w:left w:w="120" w:type="dxa"/>
              <w:right w:w="120" w:type="dxa"/>
            </w:tcMar>
            <w:shd w:fill="FFFFFF"/>
          </w:tcPr>
          <w:p>
            <w:pPr>
              <w:spacing w:before="0" w:after="0"/>
            </w:pPr>
            <w:r>
              <w:rPr>
                <w:rFonts w:ascii="Calibri" w:hAnsi="Calibri"/>
                <w:sz w:val="18"/>
              </w:rPr>
              <w:t>Tomato</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Leaf Curl Virus</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ToLCV</w:t>
            </w:r>
          </w:p>
        </w:tc>
        <w:tc>
          <w:tcPr>
            <w:tcW w:type="dxa" w:w="1152"/>
            <w:vAlign w:val="center"/>
            <w:tcMar>
              <w:top w:w="100" w:type="dxa"/>
              <w:bottom w:w="100" w:type="dxa"/>
              <w:left w:w="120" w:type="dxa"/>
              <w:right w:w="120" w:type="dxa"/>
            </w:tcMar>
            <w:shd w:fill="FFFFFF"/>
          </w:tcPr>
          <w:p>
            <w:pPr>
              <w:spacing w:before="0" w:after="0"/>
            </w:pPr>
            <w:r>
              <w:rPr>
                <w:rFonts w:ascii="Calibri" w:hAnsi="Calibri"/>
                <w:b/>
                <w:color w:val="B6473D"/>
                <w:sz w:val="18"/>
              </w:rPr>
              <w:t>High</w:t>
            </w:r>
          </w:p>
        </w:tc>
        <w:tc>
          <w:tcPr>
            <w:tcW w:type="dxa" w:w="3168"/>
            <w:vAlign w:val="center"/>
            <w:tcMar>
              <w:top w:w="100" w:type="dxa"/>
              <w:bottom w:w="100" w:type="dxa"/>
              <w:left w:w="120" w:type="dxa"/>
              <w:right w:w="120" w:type="dxa"/>
            </w:tcMar>
            <w:shd w:fill="FFFFFF"/>
          </w:tcPr>
          <w:p>
            <w:pPr>
              <w:spacing w:before="0" w:after="0"/>
            </w:pPr>
            <w:r>
              <w:rPr>
                <w:rFonts w:ascii="Calibri" w:hAnsi="Calibri"/>
                <w:sz w:val="18"/>
              </w:rPr>
              <w:t>No viral cure. Uproot infected plants. Control whitefly vectors using Imidacloprid (0.5 mL/L) and yellow sticky traps.</w:t>
            </w:r>
          </w:p>
        </w:tc>
      </w:tr>
      <w:tr>
        <w:tc>
          <w:tcPr>
            <w:tcW w:type="dxa" w:w="1296"/>
            <w:vAlign w:val="center"/>
            <w:tcMar>
              <w:top w:w="100" w:type="dxa"/>
              <w:bottom w:w="100" w:type="dxa"/>
              <w:left w:w="120" w:type="dxa"/>
              <w:right w:w="120" w:type="dxa"/>
            </w:tcMar>
            <w:shd w:fill="F6F7F2"/>
          </w:tcPr>
          <w:p>
            <w:pPr>
              <w:spacing w:before="0" w:after="0"/>
            </w:pPr>
            <w:r>
              <w:rPr>
                <w:rFonts w:ascii="Calibri" w:hAnsi="Calibri"/>
                <w:sz w:val="18"/>
              </w:rPr>
              <w:t>Tomato</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Septoria Leaf Spot</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Septoria lycopersici</w:t>
            </w:r>
          </w:p>
        </w:tc>
        <w:tc>
          <w:tcPr>
            <w:tcW w:type="dxa" w:w="1152"/>
            <w:vAlign w:val="center"/>
            <w:tcMar>
              <w:top w:w="100" w:type="dxa"/>
              <w:bottom w:w="100" w:type="dxa"/>
              <w:left w:w="120" w:type="dxa"/>
              <w:right w:w="120" w:type="dxa"/>
            </w:tcMar>
            <w:shd w:fill="F6F7F2"/>
          </w:tcPr>
          <w:p>
            <w:pPr>
              <w:spacing w:before="0" w:after="0"/>
            </w:pPr>
            <w:r>
              <w:rPr>
                <w:rFonts w:ascii="Calibri" w:hAnsi="Calibri"/>
                <w:color w:val="9A6B25"/>
                <w:sz w:val="18"/>
              </w:rPr>
              <w:t>Medium</w:t>
            </w:r>
          </w:p>
        </w:tc>
        <w:tc>
          <w:tcPr>
            <w:tcW w:type="dxa" w:w="3168"/>
            <w:vAlign w:val="center"/>
            <w:tcMar>
              <w:top w:w="100" w:type="dxa"/>
              <w:bottom w:w="100" w:type="dxa"/>
              <w:left w:w="120" w:type="dxa"/>
              <w:right w:w="120" w:type="dxa"/>
            </w:tcMar>
            <w:shd w:fill="F6F7F2"/>
          </w:tcPr>
          <w:p>
            <w:pPr>
              <w:spacing w:before="0" w:after="0"/>
            </w:pPr>
            <w:r>
              <w:rPr>
                <w:rFonts w:ascii="Calibri" w:hAnsi="Calibri"/>
                <w:sz w:val="18"/>
              </w:rPr>
              <w:t>Apply Mancozeb 80% WP (2.0 g/L) or Chlorothalonil (1.5 g/L). Prune affected lower leaves. Ensure air circulation.</w:t>
            </w:r>
          </w:p>
        </w:tc>
      </w:tr>
      <w:tr>
        <w:tc>
          <w:tcPr>
            <w:tcW w:type="dxa" w:w="1296"/>
            <w:vAlign w:val="center"/>
            <w:tcMar>
              <w:top w:w="100" w:type="dxa"/>
              <w:bottom w:w="100" w:type="dxa"/>
              <w:left w:w="120" w:type="dxa"/>
              <w:right w:w="120" w:type="dxa"/>
            </w:tcMar>
            <w:shd w:fill="FFFFFF"/>
          </w:tcPr>
          <w:p>
            <w:pPr>
              <w:spacing w:before="0" w:after="0"/>
            </w:pPr>
            <w:r>
              <w:rPr>
                <w:rFonts w:ascii="Calibri" w:hAnsi="Calibri"/>
                <w:sz w:val="18"/>
              </w:rPr>
              <w:t>Tomato</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Bacterial Spot</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Xanthomonas vesicatoria</w:t>
            </w:r>
          </w:p>
        </w:tc>
        <w:tc>
          <w:tcPr>
            <w:tcW w:type="dxa" w:w="1152"/>
            <w:vAlign w:val="center"/>
            <w:tcMar>
              <w:top w:w="100" w:type="dxa"/>
              <w:bottom w:w="100" w:type="dxa"/>
              <w:left w:w="120" w:type="dxa"/>
              <w:right w:w="120" w:type="dxa"/>
            </w:tcMar>
            <w:shd w:fill="FFFFFF"/>
          </w:tcPr>
          <w:p>
            <w:pPr>
              <w:spacing w:before="0" w:after="0"/>
            </w:pPr>
            <w:r>
              <w:rPr>
                <w:rFonts w:ascii="Calibri" w:hAnsi="Calibri"/>
                <w:color w:val="9A6B25"/>
                <w:sz w:val="18"/>
              </w:rPr>
              <w:t>Medium</w:t>
            </w:r>
          </w:p>
        </w:tc>
        <w:tc>
          <w:tcPr>
            <w:tcW w:type="dxa" w:w="3168"/>
            <w:vAlign w:val="center"/>
            <w:tcMar>
              <w:top w:w="100" w:type="dxa"/>
              <w:bottom w:w="100" w:type="dxa"/>
              <w:left w:w="120" w:type="dxa"/>
              <w:right w:w="120" w:type="dxa"/>
            </w:tcMar>
            <w:shd w:fill="FFFFFF"/>
          </w:tcPr>
          <w:p>
            <w:pPr>
              <w:spacing w:before="0" w:after="0"/>
            </w:pPr>
            <w:r>
              <w:rPr>
                <w:rFonts w:ascii="Calibri" w:hAnsi="Calibri"/>
                <w:sz w:val="18"/>
              </w:rPr>
              <w:t>Apply Copper Hydroxide 77% WP (2.0 g/L) preventatively. Avoid working in fields when wet. Crop rotation.</w:t>
            </w:r>
          </w:p>
        </w:tc>
      </w:tr>
      <w:tr>
        <w:tc>
          <w:tcPr>
            <w:tcW w:type="dxa" w:w="1296"/>
            <w:vAlign w:val="center"/>
            <w:tcMar>
              <w:top w:w="100" w:type="dxa"/>
              <w:bottom w:w="100" w:type="dxa"/>
              <w:left w:w="120" w:type="dxa"/>
              <w:right w:w="120" w:type="dxa"/>
            </w:tcMar>
            <w:shd w:fill="F6F7F2"/>
          </w:tcPr>
          <w:p>
            <w:pPr>
              <w:spacing w:before="0" w:after="0"/>
            </w:pPr>
            <w:r>
              <w:rPr>
                <w:rFonts w:ascii="Calibri" w:hAnsi="Calibri"/>
                <w:sz w:val="18"/>
              </w:rPr>
              <w:t>Maize</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Fall Armyworm</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Spodoptera frugiperda</w:t>
            </w:r>
          </w:p>
        </w:tc>
        <w:tc>
          <w:tcPr>
            <w:tcW w:type="dxa" w:w="1152"/>
            <w:vAlign w:val="center"/>
            <w:tcMar>
              <w:top w:w="100" w:type="dxa"/>
              <w:bottom w:w="100" w:type="dxa"/>
              <w:left w:w="120" w:type="dxa"/>
              <w:right w:w="120" w:type="dxa"/>
            </w:tcMar>
            <w:shd w:fill="F6F7F2"/>
          </w:tcPr>
          <w:p>
            <w:pPr>
              <w:spacing w:before="0" w:after="0"/>
            </w:pPr>
            <w:r>
              <w:rPr>
                <w:rFonts w:ascii="Calibri" w:hAnsi="Calibri"/>
                <w:b/>
                <w:color w:val="B6473D"/>
                <w:sz w:val="18"/>
              </w:rPr>
              <w:t>High</w:t>
            </w:r>
          </w:p>
        </w:tc>
        <w:tc>
          <w:tcPr>
            <w:tcW w:type="dxa" w:w="3168"/>
            <w:vAlign w:val="center"/>
            <w:tcMar>
              <w:top w:w="100" w:type="dxa"/>
              <w:bottom w:w="100" w:type="dxa"/>
              <w:left w:w="120" w:type="dxa"/>
              <w:right w:w="120" w:type="dxa"/>
            </w:tcMar>
            <w:shd w:fill="F6F7F2"/>
          </w:tcPr>
          <w:p>
            <w:pPr>
              <w:spacing w:before="0" w:after="0"/>
            </w:pPr>
            <w:r>
              <w:rPr>
                <w:rFonts w:ascii="Calibri" w:hAnsi="Calibri"/>
                <w:sz w:val="18"/>
              </w:rPr>
              <w:t>Apply Emamectin benzoate (0.5 mL/L) or Bacillus thuringiensis (Bt) directly into whorls early morning/evening.</w:t>
            </w:r>
          </w:p>
        </w:tc>
      </w:tr>
      <w:tr>
        <w:tc>
          <w:tcPr>
            <w:tcW w:type="dxa" w:w="1296"/>
            <w:vAlign w:val="center"/>
            <w:tcMar>
              <w:top w:w="100" w:type="dxa"/>
              <w:bottom w:w="100" w:type="dxa"/>
              <w:left w:w="120" w:type="dxa"/>
              <w:right w:w="120" w:type="dxa"/>
            </w:tcMar>
            <w:shd w:fill="FFFFFF"/>
          </w:tcPr>
          <w:p>
            <w:pPr>
              <w:spacing w:before="0" w:after="0"/>
            </w:pPr>
            <w:r>
              <w:rPr>
                <w:rFonts w:ascii="Calibri" w:hAnsi="Calibri"/>
                <w:sz w:val="18"/>
              </w:rPr>
              <w:t>Maize</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Northern Leaf Blight</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Exserohilum turcicum</w:t>
            </w:r>
          </w:p>
        </w:tc>
        <w:tc>
          <w:tcPr>
            <w:tcW w:type="dxa" w:w="1152"/>
            <w:vAlign w:val="center"/>
            <w:tcMar>
              <w:top w:w="100" w:type="dxa"/>
              <w:bottom w:w="100" w:type="dxa"/>
              <w:left w:w="120" w:type="dxa"/>
              <w:right w:w="120" w:type="dxa"/>
            </w:tcMar>
            <w:shd w:fill="FFFFFF"/>
          </w:tcPr>
          <w:p>
            <w:pPr>
              <w:spacing w:before="0" w:after="0"/>
            </w:pPr>
            <w:r>
              <w:rPr>
                <w:rFonts w:ascii="Calibri" w:hAnsi="Calibri"/>
                <w:color w:val="9A6B25"/>
                <w:sz w:val="18"/>
              </w:rPr>
              <w:t>Medium</w:t>
            </w:r>
          </w:p>
        </w:tc>
        <w:tc>
          <w:tcPr>
            <w:tcW w:type="dxa" w:w="3168"/>
            <w:vAlign w:val="center"/>
            <w:tcMar>
              <w:top w:w="100" w:type="dxa"/>
              <w:bottom w:w="100" w:type="dxa"/>
              <w:left w:w="120" w:type="dxa"/>
              <w:right w:w="120" w:type="dxa"/>
            </w:tcMar>
            <w:shd w:fill="FFFFFF"/>
          </w:tcPr>
          <w:p>
            <w:pPr>
              <w:spacing w:before="0" w:after="0"/>
            </w:pPr>
            <w:r>
              <w:rPr>
                <w:rFonts w:ascii="Calibri" w:hAnsi="Calibri"/>
                <w:sz w:val="18"/>
              </w:rPr>
              <w:t>Apply Propiconazole 25% EC (0.5 mL/L) or Mancozeb. Improve drainage. Plant resistant hybrid varieties.</w:t>
            </w:r>
          </w:p>
        </w:tc>
      </w:tr>
      <w:tr>
        <w:tc>
          <w:tcPr>
            <w:tcW w:type="dxa" w:w="1296"/>
            <w:vAlign w:val="center"/>
            <w:tcMar>
              <w:top w:w="100" w:type="dxa"/>
              <w:bottom w:w="100" w:type="dxa"/>
              <w:left w:w="120" w:type="dxa"/>
              <w:right w:w="120" w:type="dxa"/>
            </w:tcMar>
            <w:shd w:fill="F6F7F2"/>
          </w:tcPr>
          <w:p>
            <w:pPr>
              <w:spacing w:before="0" w:after="0"/>
            </w:pPr>
            <w:r>
              <w:rPr>
                <w:rFonts w:ascii="Calibri" w:hAnsi="Calibri"/>
                <w:sz w:val="18"/>
              </w:rPr>
              <w:t>Maize</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Common Rust</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Puccinia sorghi</w:t>
            </w:r>
          </w:p>
        </w:tc>
        <w:tc>
          <w:tcPr>
            <w:tcW w:type="dxa" w:w="1152"/>
            <w:vAlign w:val="center"/>
            <w:tcMar>
              <w:top w:w="100" w:type="dxa"/>
              <w:bottom w:w="100" w:type="dxa"/>
              <w:left w:w="120" w:type="dxa"/>
              <w:right w:w="120" w:type="dxa"/>
            </w:tcMar>
            <w:shd w:fill="F6F7F2"/>
          </w:tcPr>
          <w:p>
            <w:pPr>
              <w:spacing w:before="0" w:after="0"/>
            </w:pPr>
            <w:r>
              <w:rPr>
                <w:rFonts w:ascii="Calibri" w:hAnsi="Calibri"/>
                <w:color w:val="9A6B25"/>
                <w:sz w:val="18"/>
              </w:rPr>
              <w:t>Medium</w:t>
            </w:r>
          </w:p>
        </w:tc>
        <w:tc>
          <w:tcPr>
            <w:tcW w:type="dxa" w:w="3168"/>
            <w:vAlign w:val="center"/>
            <w:tcMar>
              <w:top w:w="100" w:type="dxa"/>
              <w:bottom w:w="100" w:type="dxa"/>
              <w:left w:w="120" w:type="dxa"/>
              <w:right w:w="120" w:type="dxa"/>
            </w:tcMar>
            <w:shd w:fill="F6F7F2"/>
          </w:tcPr>
          <w:p>
            <w:pPr>
              <w:spacing w:before="0" w:after="0"/>
            </w:pPr>
            <w:r>
              <w:rPr>
                <w:rFonts w:ascii="Calibri" w:hAnsi="Calibri"/>
                <w:sz w:val="18"/>
              </w:rPr>
              <w:t>Apply Mancozeb 80% WP (2.5 g/L) or Azoxystrobin (0.75 mL/L) at first symptom onset. Avoid over-density.</w:t>
            </w:r>
          </w:p>
        </w:tc>
      </w:tr>
      <w:tr>
        <w:tc>
          <w:tcPr>
            <w:tcW w:type="dxa" w:w="1296"/>
            <w:vAlign w:val="center"/>
            <w:tcMar>
              <w:top w:w="100" w:type="dxa"/>
              <w:bottom w:w="100" w:type="dxa"/>
              <w:left w:w="120" w:type="dxa"/>
              <w:right w:w="120" w:type="dxa"/>
            </w:tcMar>
            <w:shd w:fill="FFFFFF"/>
          </w:tcPr>
          <w:p>
            <w:pPr>
              <w:spacing w:before="0" w:after="0"/>
            </w:pPr>
            <w:r>
              <w:rPr>
                <w:rFonts w:ascii="Calibri" w:hAnsi="Calibri"/>
                <w:sz w:val="18"/>
              </w:rPr>
              <w:t>Maize</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Gray Leaf Spot</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Cercospora zeae-maydis</w:t>
            </w:r>
          </w:p>
        </w:tc>
        <w:tc>
          <w:tcPr>
            <w:tcW w:type="dxa" w:w="1152"/>
            <w:vAlign w:val="center"/>
            <w:tcMar>
              <w:top w:w="100" w:type="dxa"/>
              <w:bottom w:w="100" w:type="dxa"/>
              <w:left w:w="120" w:type="dxa"/>
              <w:right w:w="120" w:type="dxa"/>
            </w:tcMar>
            <w:shd w:fill="FFFFFF"/>
          </w:tcPr>
          <w:p>
            <w:pPr>
              <w:spacing w:before="0" w:after="0"/>
            </w:pPr>
            <w:r>
              <w:rPr>
                <w:rFonts w:ascii="Calibri" w:hAnsi="Calibri"/>
                <w:color w:val="9A6B25"/>
                <w:sz w:val="18"/>
              </w:rPr>
              <w:t>Medium</w:t>
            </w:r>
          </w:p>
        </w:tc>
        <w:tc>
          <w:tcPr>
            <w:tcW w:type="dxa" w:w="3168"/>
            <w:vAlign w:val="center"/>
            <w:tcMar>
              <w:top w:w="100" w:type="dxa"/>
              <w:bottom w:w="100" w:type="dxa"/>
              <w:left w:w="120" w:type="dxa"/>
              <w:right w:w="120" w:type="dxa"/>
            </w:tcMar>
            <w:shd w:fill="FFFFFF"/>
          </w:tcPr>
          <w:p>
            <w:pPr>
              <w:spacing w:before="0" w:after="0"/>
            </w:pPr>
            <w:r>
              <w:rPr>
                <w:rFonts w:ascii="Calibri" w:hAnsi="Calibri"/>
                <w:sz w:val="18"/>
              </w:rPr>
              <w:t>Apply Azoxystrobin 25% SC (0.75 mL/L) at silking stage. Remove crop residues after harvest. Rotate with legumes.</w:t>
            </w:r>
          </w:p>
        </w:tc>
      </w:tr>
      <w:tr>
        <w:tc>
          <w:tcPr>
            <w:tcW w:type="dxa" w:w="1296"/>
            <w:vAlign w:val="center"/>
            <w:tcMar>
              <w:top w:w="100" w:type="dxa"/>
              <w:bottom w:w="100" w:type="dxa"/>
              <w:left w:w="120" w:type="dxa"/>
              <w:right w:w="120" w:type="dxa"/>
            </w:tcMar>
            <w:shd w:fill="F6F7F2"/>
          </w:tcPr>
          <w:p>
            <w:pPr>
              <w:spacing w:before="0" w:after="0"/>
            </w:pPr>
            <w:r>
              <w:rPr>
                <w:rFonts w:ascii="Calibri" w:hAnsi="Calibri"/>
                <w:sz w:val="18"/>
              </w:rPr>
              <w:t>Pineapple</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Mealybug Wilt</w:t>
            </w:r>
          </w:p>
        </w:tc>
        <w:tc>
          <w:tcPr>
            <w:tcW w:type="dxa" w:w="1872"/>
            <w:vAlign w:val="center"/>
            <w:tcMar>
              <w:top w:w="100" w:type="dxa"/>
              <w:bottom w:w="100" w:type="dxa"/>
              <w:left w:w="120" w:type="dxa"/>
              <w:right w:w="120" w:type="dxa"/>
            </w:tcMar>
            <w:shd w:fill="F6F7F2"/>
          </w:tcPr>
          <w:p>
            <w:pPr>
              <w:spacing w:before="0" w:after="0"/>
            </w:pPr>
            <w:r>
              <w:rPr>
                <w:rFonts w:ascii="Calibri" w:hAnsi="Calibri"/>
                <w:sz w:val="18"/>
              </w:rPr>
              <w:t>PMWaV Virus</w:t>
            </w:r>
          </w:p>
        </w:tc>
        <w:tc>
          <w:tcPr>
            <w:tcW w:type="dxa" w:w="1152"/>
            <w:vAlign w:val="center"/>
            <w:tcMar>
              <w:top w:w="100" w:type="dxa"/>
              <w:bottom w:w="100" w:type="dxa"/>
              <w:left w:w="120" w:type="dxa"/>
              <w:right w:w="120" w:type="dxa"/>
            </w:tcMar>
            <w:shd w:fill="F6F7F2"/>
          </w:tcPr>
          <w:p>
            <w:pPr>
              <w:spacing w:before="0" w:after="0"/>
            </w:pPr>
            <w:r>
              <w:rPr>
                <w:rFonts w:ascii="Calibri" w:hAnsi="Calibri"/>
                <w:b/>
                <w:color w:val="B6473D"/>
                <w:sz w:val="18"/>
              </w:rPr>
              <w:t>High</w:t>
            </w:r>
          </w:p>
        </w:tc>
        <w:tc>
          <w:tcPr>
            <w:tcW w:type="dxa" w:w="3168"/>
            <w:vAlign w:val="center"/>
            <w:tcMar>
              <w:top w:w="100" w:type="dxa"/>
              <w:bottom w:w="100" w:type="dxa"/>
              <w:left w:w="120" w:type="dxa"/>
              <w:right w:w="120" w:type="dxa"/>
            </w:tcMar>
            <w:shd w:fill="F6F7F2"/>
          </w:tcPr>
          <w:p>
            <w:pPr>
              <w:spacing w:before="0" w:after="0"/>
            </w:pPr>
            <w:r>
              <w:rPr>
                <w:rFonts w:ascii="Calibri" w:hAnsi="Calibri"/>
                <w:sz w:val="18"/>
              </w:rPr>
              <w:t>Base drench with Chlorpyrifos 40% EC (2 mL/L). Control ant colonies. Use certified clean planting slips.</w:t>
            </w:r>
          </w:p>
        </w:tc>
      </w:tr>
      <w:tr>
        <w:tc>
          <w:tcPr>
            <w:tcW w:type="dxa" w:w="1296"/>
            <w:vAlign w:val="center"/>
            <w:tcMar>
              <w:top w:w="100" w:type="dxa"/>
              <w:bottom w:w="100" w:type="dxa"/>
              <w:left w:w="120" w:type="dxa"/>
              <w:right w:w="120" w:type="dxa"/>
            </w:tcMar>
            <w:shd w:fill="FFFFFF"/>
          </w:tcPr>
          <w:p>
            <w:pPr>
              <w:spacing w:before="0" w:after="0"/>
            </w:pPr>
            <w:r>
              <w:rPr>
                <w:rFonts w:ascii="Calibri" w:hAnsi="Calibri"/>
                <w:sz w:val="18"/>
              </w:rPr>
              <w:t>Pineapple</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Heart Rot</w:t>
            </w:r>
          </w:p>
        </w:tc>
        <w:tc>
          <w:tcPr>
            <w:tcW w:type="dxa" w:w="1872"/>
            <w:vAlign w:val="center"/>
            <w:tcMar>
              <w:top w:w="100" w:type="dxa"/>
              <w:bottom w:w="100" w:type="dxa"/>
              <w:left w:w="120" w:type="dxa"/>
              <w:right w:w="120" w:type="dxa"/>
            </w:tcMar>
            <w:shd w:fill="FFFFFF"/>
          </w:tcPr>
          <w:p>
            <w:pPr>
              <w:spacing w:before="0" w:after="0"/>
            </w:pPr>
            <w:r>
              <w:rPr>
                <w:rFonts w:ascii="Calibri" w:hAnsi="Calibri"/>
                <w:sz w:val="18"/>
              </w:rPr>
              <w:t>Phytophthora parasitica</w:t>
            </w:r>
          </w:p>
        </w:tc>
        <w:tc>
          <w:tcPr>
            <w:tcW w:type="dxa" w:w="1152"/>
            <w:vAlign w:val="center"/>
            <w:tcMar>
              <w:top w:w="100" w:type="dxa"/>
              <w:bottom w:w="100" w:type="dxa"/>
              <w:left w:w="120" w:type="dxa"/>
              <w:right w:w="120" w:type="dxa"/>
            </w:tcMar>
            <w:shd w:fill="FFFFFF"/>
          </w:tcPr>
          <w:p>
            <w:pPr>
              <w:spacing w:before="0" w:after="0"/>
            </w:pPr>
            <w:r>
              <w:rPr>
                <w:rFonts w:ascii="Calibri" w:hAnsi="Calibri"/>
                <w:b/>
                <w:color w:val="B6473D"/>
                <w:sz w:val="18"/>
              </w:rPr>
              <w:t>High</w:t>
            </w:r>
          </w:p>
        </w:tc>
        <w:tc>
          <w:tcPr>
            <w:tcW w:type="dxa" w:w="3168"/>
            <w:vAlign w:val="center"/>
            <w:tcMar>
              <w:top w:w="100" w:type="dxa"/>
              <w:bottom w:w="100" w:type="dxa"/>
              <w:left w:w="120" w:type="dxa"/>
              <w:right w:w="120" w:type="dxa"/>
            </w:tcMar>
            <w:shd w:fill="FFFFFF"/>
          </w:tcPr>
          <w:p>
            <w:pPr>
              <w:spacing w:before="0" w:after="0"/>
            </w:pPr>
            <w:r>
              <w:rPr>
                <w:rFonts w:ascii="Calibri" w:hAnsi="Calibri"/>
                <w:sz w:val="18"/>
              </w:rPr>
              <w:t>Improve soil drainage. Drench Metalaxyl-M + Mancozeb (2.5 g/L) as preventative on adjacent beds. Destroy rot.</w:t>
            </w:r>
          </w:p>
        </w:tc>
      </w:tr>
    </w:tbl>
    <w:p>
      <w:pPr>
        <w:spacing w:after="160"/>
      </w:pPr>
    </w:p>
    <w:p>
      <w:pPr>
        <w:keepNext/>
        <w:spacing w:before="320" w:after="120"/>
      </w:pPr>
      <w:r>
        <w:rPr>
          <w:rFonts w:ascii="Arial" w:hAnsi="Arial"/>
          <w:b/>
          <w:color w:val="315C3B"/>
          <w:sz w:val="28"/>
        </w:rPr>
        <w:t>7. Application Sitemap &amp; Quick Reference</w:t>
      </w:r>
    </w:p>
    <w:tbl>
      <w:tblPr>
        <w:tblW w:type="auto" w:w="0"/>
        <w:jc w:val="center"/>
        <w:tblLayout w:type="fixed"/>
        <w:tblLook w:firstColumn="1" w:firstRow="1" w:lastColumn="0" w:lastRow="0" w:noHBand="0" w:noVBand="1" w:val="04A0"/>
      </w:tblPr>
      <w:tblGrid>
        <w:gridCol w:w="3120"/>
        <w:gridCol w:w="3120"/>
        <w:gridCol w:w="3120"/>
      </w:tblGrid>
      <w:tr>
        <w:tc>
          <w:tcPr>
            <w:tcW w:type="dxa" w:w="2016"/>
            <w:vAlign w:val="center"/>
            <w:tcMar>
              <w:top w:w="80" w:type="dxa"/>
              <w:bottom w:w="80" w:type="dxa"/>
              <w:left w:w="120" w:type="dxa"/>
              <w:right w:w="120" w:type="dxa"/>
            </w:tcMar>
            <w:shd w:fill="52614F"/>
          </w:tcPr>
          <w:p>
            <w:pPr>
              <w:spacing w:before="0" w:after="0"/>
            </w:pPr>
            <w:r>
              <w:rPr>
                <w:rFonts w:ascii="Arial" w:hAnsi="Arial"/>
                <w:b/>
                <w:color w:val="FFFFFF"/>
                <w:sz w:val="19"/>
              </w:rPr>
              <w:t>Route Path</w:t>
            </w:r>
          </w:p>
        </w:tc>
        <w:tc>
          <w:tcPr>
            <w:tcW w:type="dxa" w:w="2160"/>
            <w:vAlign w:val="center"/>
            <w:tcMar>
              <w:top w:w="80" w:type="dxa"/>
              <w:bottom w:w="80" w:type="dxa"/>
              <w:left w:w="120" w:type="dxa"/>
              <w:right w:w="120" w:type="dxa"/>
            </w:tcMar>
            <w:shd w:fill="52614F"/>
          </w:tcPr>
          <w:p>
            <w:pPr>
              <w:spacing w:before="0" w:after="0"/>
            </w:pPr>
            <w:r>
              <w:rPr>
                <w:rFonts w:ascii="Arial" w:hAnsi="Arial"/>
                <w:b/>
                <w:color w:val="FFFFFF"/>
                <w:sz w:val="19"/>
              </w:rPr>
              <w:t>Page Name</w:t>
            </w:r>
          </w:p>
        </w:tc>
        <w:tc>
          <w:tcPr>
            <w:tcW w:type="dxa" w:w="5184"/>
            <w:vAlign w:val="center"/>
            <w:tcMar>
              <w:top w:w="80" w:type="dxa"/>
              <w:bottom w:w="80" w:type="dxa"/>
              <w:left w:w="120" w:type="dxa"/>
              <w:right w:w="120" w:type="dxa"/>
            </w:tcMar>
            <w:shd w:fill="52614F"/>
          </w:tcPr>
          <w:p>
            <w:pPr>
              <w:spacing w:before="0" w:after="0"/>
            </w:pPr>
            <w:r>
              <w:rPr>
                <w:rFonts w:ascii="Arial" w:hAnsi="Arial"/>
                <w:b/>
                <w:color w:val="FFFFFF"/>
                <w:sz w:val="19"/>
              </w:rPr>
              <w:t>Primary Action &amp; Description</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Landing Page</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Public homepage, overview of value chains, and live scan demonstration.</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/login</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Login Page</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Account sign-in using phone number and password.</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/register</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Registration</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New user onboarding for Farmers and Buyers.</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/dashboard</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Dashboard</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Central farmer hub displaying farm count, area, recent scans, and alerts.</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/farms</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My Farms</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Plot registry displaying all registered field locations and areas.</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/farms/new</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Add Farm</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Registration form to add new field plots with GPS parameters.</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/scan</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New Scan</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Upload drone orthomosaics or field images to trigger YOLOv8 AI pipeline.</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/scans</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Drone Scans</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Historical scan archives with date sorting, search, and crop filter buttons.</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/scan/:id</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Scan Results</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Detailed orthomosaic view, plant counts, MOTA tracking, and disease markers.</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/diagnose/:id</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Diagnosis Report</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Expert agricultural recommendations and pathogen treatment guide.</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/market</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Market Listings</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Produce exchange displaying available crops, prices (GH₵/kg), and locations.</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/market/new</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Create Listing</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Form to list harvested produce for sale to registered buyers.</w:t>
            </w:r>
          </w:p>
        </w:tc>
      </w:tr>
      <w:tr>
        <w:tc>
          <w:tcPr>
            <w:tcW w:type="dxa" w:w="2016"/>
            <w:vAlign w:val="center"/>
            <w:tcMar>
              <w:top w:w="80" w:type="dxa"/>
              <w:bottom w:w="80" w:type="dxa"/>
              <w:left w:w="120" w:type="dxa"/>
              <w:right w:w="120" w:type="dxa"/>
            </w:tcMar>
            <w:shd w:fill="FBFDF8"/>
          </w:tcPr>
          <w:p>
            <w:pPr>
              <w:spacing w:before="0" w:after="0"/>
            </w:pPr>
            <w:r>
              <w:rPr>
                <w:rFonts w:ascii="Consolas" w:hAnsi="Consolas"/>
                <w:color w:val="315C3B"/>
                <w:sz w:val="17"/>
              </w:rPr>
              <w:t>/messages</w:t>
            </w:r>
          </w:p>
        </w:tc>
        <w:tc>
          <w:tcPr>
            <w:tcW w:type="dxa" w:w="2160"/>
            <w:vAlign w:val="center"/>
            <w:tcMar>
              <w:top w:w="80" w:type="dxa"/>
              <w:bottom w:w="80" w:type="dxa"/>
              <w:left w:w="120" w:type="dxa"/>
              <w:right w:w="120" w:type="dxa"/>
            </w:tcMar>
            <w:shd w:fill="FBFDF8"/>
          </w:tcPr>
          <w:p>
            <w:pPr>
              <w:spacing w:before="0" w:after="0"/>
            </w:pPr>
            <w:r>
              <w:rPr>
                <w:rFonts w:ascii="Calibri" w:hAnsi="Calibri"/>
                <w:sz w:val="18"/>
              </w:rPr>
              <w:t>Messages Portal</w:t>
            </w:r>
          </w:p>
        </w:tc>
        <w:tc>
          <w:tcPr>
            <w:tcW w:type="dxa" w:w="5184"/>
            <w:vAlign w:val="center"/>
            <w:tcMar>
              <w:top w:w="80" w:type="dxa"/>
              <w:bottom w:w="80" w:type="dxa"/>
              <w:left w:w="120" w:type="dxa"/>
              <w:right w:w="120" w:type="dxa"/>
            </w:tcMar>
            <w:shd w:fill="FBFDF8"/>
          </w:tcPr>
          <w:p>
            <w:pPr>
              <w:spacing w:before="0" w:after="0"/>
            </w:pPr>
            <w:r>
              <w:rPr>
                <w:rFonts w:ascii="Calibri" w:hAnsi="Calibri"/>
                <w:sz w:val="18"/>
              </w:rPr>
              <w:t>Direct real-time communication portal connecting buyers and farmers.</w:t>
            </w:r>
          </w:p>
        </w:tc>
      </w:tr>
      <w:tr>
        <w:tc>
          <w:tcPr>
            <w:tcW w:type="dxa" w:w="2016"/>
            <w:vAlign w:val="center"/>
            <w:tcMar>
              <w:top w:w="80" w:type="dxa"/>
              <w:bottom w:w="80" w:type="dxa"/>
              <w:left w:w="120" w:type="dxa"/>
              <w:right w:w="120" w:type="dxa"/>
            </w:tcMar>
            <w:shd w:fill="FFFFFF"/>
          </w:tcPr>
          <w:p>
            <w:pPr>
              <w:spacing w:before="0" w:after="0"/>
            </w:pPr>
            <w:r>
              <w:rPr>
                <w:rFonts w:ascii="Consolas" w:hAnsi="Consolas"/>
                <w:color w:val="315C3B"/>
                <w:sz w:val="17"/>
              </w:rPr>
              <w:t>/profile</w:t>
            </w:r>
          </w:p>
        </w:tc>
        <w:tc>
          <w:tcPr>
            <w:tcW w:type="dxa" w:w="2160"/>
            <w:vAlign w:val="center"/>
            <w:tcMar>
              <w:top w:w="80" w:type="dxa"/>
              <w:bottom w:w="80" w:type="dxa"/>
              <w:left w:w="120" w:type="dxa"/>
              <w:right w:w="120" w:type="dxa"/>
            </w:tcMar>
            <w:shd w:fill="FFFFFF"/>
          </w:tcPr>
          <w:p>
            <w:pPr>
              <w:spacing w:before="0" w:after="0"/>
            </w:pPr>
            <w:r>
              <w:rPr>
                <w:rFonts w:ascii="Calibri" w:hAnsi="Calibri"/>
                <w:sz w:val="18"/>
              </w:rPr>
              <w:t>User Profile</w:t>
            </w:r>
          </w:p>
        </w:tc>
        <w:tc>
          <w:tcPr>
            <w:tcW w:type="dxa" w:w="5184"/>
            <w:vAlign w:val="center"/>
            <w:tcMar>
              <w:top w:w="80" w:type="dxa"/>
              <w:bottom w:w="80" w:type="dxa"/>
              <w:left w:w="120" w:type="dxa"/>
              <w:right w:w="120" w:type="dxa"/>
            </w:tcMar>
            <w:shd w:fill="FFFFFF"/>
          </w:tcPr>
          <w:p>
            <w:pPr>
              <w:spacing w:before="0" w:after="0"/>
            </w:pPr>
            <w:r>
              <w:rPr>
                <w:rFonts w:ascii="Calibri" w:hAnsi="Calibri"/>
                <w:sz w:val="18"/>
              </w:rPr>
              <w:t>Profile image upload, district/region editing, and account sign-out.</w:t>
            </w:r>
          </w:p>
        </w:tc>
      </w:tr>
    </w:tbl>
    <w:p>
      <w:pPr>
        <w:spacing w:after="240"/>
      </w:pPr>
    </w:p>
    <w:p>
      <w:pPr>
        <w:spacing w:before="320"/>
        <w:jc w:val="center"/>
      </w:pPr>
      <w:r>
        <w:rPr>
          <w:color w:val="7F8B78"/>
          <w:sz w:val="17"/>
        </w:rPr>
        <w:t>AgroWatch © 2026  |  Ho Technical University — Department of Computer Science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Calibri" w:hAnsi="Calibri"/>
      <w:color w:val="1821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