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176B87"/>
          <w:sz w:val="34"/>
        </w:rPr>
        <w:t>YUVA INTERN</w:t>
      </w:r>
    </w:p>
    <w:p>
      <w:pPr>
        <w:spacing w:before="560"/>
        <w:jc w:val="center"/>
      </w:pPr>
      <w:r>
        <w:rPr>
          <w:b/>
          <w:color w:val="15304B"/>
          <w:sz w:val="64"/>
        </w:rPr>
        <w:t>INCIDENT RESPONSE</w:t>
        <w:br/>
        <w:t>PLAN</w:t>
      </w:r>
    </w:p>
    <w:p>
      <w:pPr>
        <w:jc w:val="center"/>
      </w:pPr>
      <w:r>
        <w:rPr>
          <w:i/>
          <w:color w:val="50606E"/>
          <w:sz w:val="28"/>
        </w:rPr>
        <w:t>A Practical Framework for Managing Cybersecurity Incidents</w:t>
      </w:r>
    </w:p>
    <w:p/>
    <w:p>
      <w:pPr>
        <w:spacing w:before="640"/>
        <w:jc w:val="center"/>
      </w:pPr>
      <w:r>
        <w:rPr>
          <w:b/>
        </w:rPr>
        <w:t>WEEK 2 TASK  |  CYBER SECURITY ANALYST INTERNSHIP</w:t>
      </w:r>
    </w:p>
    <w:p>
      <w:pPr>
        <w:spacing w:before="320"/>
        <w:jc w:val="center"/>
      </w:pPr>
      <w:r>
        <w:rPr>
          <w:b/>
        </w:rPr>
        <w:t>Prepared by</w:t>
        <w:br/>
      </w:r>
      <w:r>
        <w:rPr>
          <w:b/>
          <w:color w:val="176B87"/>
          <w:sz w:val="38"/>
        </w:rPr>
        <w:t>AFSAL N</w:t>
      </w:r>
    </w:p>
    <w:p>
      <w:pPr>
        <w:jc w:val="center"/>
      </w:pPr>
      <w:r>
        <w:t>Submission date: 21 October 2026</w:t>
        <w:br/>
      </w:r>
      <w:r>
        <w:t>Estimated task effort: 30–35 hours</w:t>
        <w:br/>
      </w:r>
      <w:r>
        <w:t>Deliverable: Incident Response Plan (DOCX)</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c>
          <w:tcPr>
            <w:tcW w:type="dxa" w:w="2448"/>
            <w:vAlign w:val="center"/>
            <w:shd w:fill="15304B"/>
          </w:tcPr>
          <w:p>
            <w:pPr>
              <w:spacing w:after="20"/>
            </w:pPr>
            <w:r/>
            <w:r>
              <w:rPr>
                <w:b/>
                <w:color w:val="FFFFFF"/>
                <w:sz w:val="18"/>
              </w:rPr>
              <w:t>Field</w:t>
            </w:r>
          </w:p>
        </w:tc>
        <w:tc>
          <w:tcPr>
            <w:tcW w:type="dxa" w:w="7920"/>
            <w:vAlign w:val="center"/>
            <w:shd w:fill="15304B"/>
          </w:tcPr>
          <w:p>
            <w:pPr>
              <w:spacing w:after="20"/>
            </w:pPr>
            <w:r/>
            <w:r>
              <w:rPr>
                <w:b/>
                <w:color w:val="FFFFFF"/>
                <w:sz w:val="18"/>
              </w:rPr>
              <w:t>Details</w:t>
            </w:r>
          </w:p>
        </w:tc>
      </w:tr>
      <w:tr>
        <w:tc>
          <w:tcPr>
            <w:tcW w:type="dxa" w:w="2448"/>
            <w:vAlign w:val="center"/>
            <w:shd w:fill="F1F6F8"/>
          </w:tcPr>
          <w:p>
            <w:pPr>
              <w:spacing w:after="20"/>
            </w:pPr>
            <w:r/>
            <w:r>
              <w:rPr>
                <w:b w:val="0"/>
                <w:sz w:val="17"/>
              </w:rPr>
              <w:t>Document title</w:t>
            </w:r>
          </w:p>
        </w:tc>
        <w:tc>
          <w:tcPr>
            <w:tcW w:type="dxa" w:w="7920"/>
            <w:vAlign w:val="center"/>
            <w:shd w:fill="F1F6F8"/>
          </w:tcPr>
          <w:p>
            <w:pPr>
              <w:spacing w:after="20"/>
            </w:pPr>
            <w:r/>
            <w:r>
              <w:rPr>
                <w:b w:val="0"/>
                <w:sz w:val="17"/>
              </w:rPr>
              <w:t>Incident Response Plan</w:t>
            </w:r>
          </w:p>
        </w:tc>
      </w:tr>
      <w:tr>
        <w:tc>
          <w:tcPr>
            <w:tcW w:type="dxa" w:w="2448"/>
            <w:vAlign w:val="center"/>
          </w:tcPr>
          <w:p>
            <w:pPr>
              <w:spacing w:after="20"/>
            </w:pPr>
            <w:r/>
            <w:r>
              <w:rPr>
                <w:b w:val="0"/>
                <w:sz w:val="17"/>
              </w:rPr>
              <w:t>Prepared by</w:t>
            </w:r>
          </w:p>
        </w:tc>
        <w:tc>
          <w:tcPr>
            <w:tcW w:type="dxa" w:w="7920"/>
            <w:vAlign w:val="center"/>
          </w:tcPr>
          <w:p>
            <w:pPr>
              <w:spacing w:after="20"/>
            </w:pPr>
            <w:r/>
            <w:r>
              <w:rPr>
                <w:b w:val="0"/>
                <w:sz w:val="17"/>
              </w:rPr>
              <w:t>AFSAL N</w:t>
            </w:r>
          </w:p>
        </w:tc>
      </w:tr>
      <w:tr>
        <w:tc>
          <w:tcPr>
            <w:tcW w:type="dxa" w:w="2448"/>
            <w:vAlign w:val="center"/>
            <w:shd w:fill="F1F6F8"/>
          </w:tcPr>
          <w:p>
            <w:pPr>
              <w:spacing w:after="20"/>
            </w:pPr>
            <w:r/>
            <w:r>
              <w:rPr>
                <w:b w:val="0"/>
                <w:sz w:val="17"/>
              </w:rPr>
              <w:t>Program</w:t>
            </w:r>
          </w:p>
        </w:tc>
        <w:tc>
          <w:tcPr>
            <w:tcW w:type="dxa" w:w="7920"/>
            <w:vAlign w:val="center"/>
            <w:shd w:fill="F1F6F8"/>
          </w:tcPr>
          <w:p>
            <w:pPr>
              <w:spacing w:after="20"/>
            </w:pPr>
            <w:r/>
            <w:r>
              <w:rPr>
                <w:b w:val="0"/>
                <w:sz w:val="17"/>
              </w:rPr>
              <w:t>YuvaIntern – Cyber Security Analyst Internship</w:t>
            </w:r>
          </w:p>
        </w:tc>
      </w:tr>
      <w:tr>
        <w:tc>
          <w:tcPr>
            <w:tcW w:type="dxa" w:w="2448"/>
            <w:vAlign w:val="center"/>
          </w:tcPr>
          <w:p>
            <w:pPr>
              <w:spacing w:after="20"/>
            </w:pPr>
            <w:r/>
            <w:r>
              <w:rPr>
                <w:b w:val="0"/>
                <w:sz w:val="17"/>
              </w:rPr>
              <w:t>Task</w:t>
            </w:r>
          </w:p>
        </w:tc>
        <w:tc>
          <w:tcPr>
            <w:tcW w:type="dxa" w:w="7920"/>
            <w:vAlign w:val="center"/>
          </w:tcPr>
          <w:p>
            <w:pPr>
              <w:spacing w:after="20"/>
            </w:pPr>
            <w:r/>
            <w:r>
              <w:rPr>
                <w:b w:val="0"/>
                <w:sz w:val="17"/>
              </w:rPr>
              <w:t>Week 2: Incident Response Plan Creation</w:t>
            </w:r>
          </w:p>
        </w:tc>
      </w:tr>
      <w:tr>
        <w:tc>
          <w:tcPr>
            <w:tcW w:type="dxa" w:w="2448"/>
            <w:vAlign w:val="center"/>
            <w:shd w:fill="F1F6F8"/>
          </w:tcPr>
          <w:p>
            <w:pPr>
              <w:spacing w:after="20"/>
            </w:pPr>
            <w:r/>
            <w:r>
              <w:rPr>
                <w:b w:val="0"/>
                <w:sz w:val="17"/>
              </w:rPr>
              <w:t>Version</w:t>
            </w:r>
          </w:p>
        </w:tc>
        <w:tc>
          <w:tcPr>
            <w:tcW w:type="dxa" w:w="7920"/>
            <w:vAlign w:val="center"/>
            <w:shd w:fill="F1F6F8"/>
          </w:tcPr>
          <w:p>
            <w:pPr>
              <w:spacing w:after="20"/>
            </w:pPr>
            <w:r/>
            <w:r>
              <w:rPr>
                <w:b w:val="0"/>
                <w:sz w:val="17"/>
              </w:rPr>
              <w:t>1.0 – Internship submission draft</w:t>
            </w:r>
          </w:p>
        </w:tc>
      </w:tr>
      <w:tr>
        <w:tc>
          <w:tcPr>
            <w:tcW w:type="dxa" w:w="2448"/>
            <w:vAlign w:val="center"/>
          </w:tcPr>
          <w:p>
            <w:pPr>
              <w:spacing w:after="20"/>
            </w:pPr>
            <w:r/>
            <w:r>
              <w:rPr>
                <w:b w:val="0"/>
                <w:sz w:val="17"/>
              </w:rPr>
              <w:t>Date</w:t>
            </w:r>
          </w:p>
        </w:tc>
        <w:tc>
          <w:tcPr>
            <w:tcW w:type="dxa" w:w="7920"/>
            <w:vAlign w:val="center"/>
          </w:tcPr>
          <w:p>
            <w:pPr>
              <w:spacing w:after="20"/>
            </w:pPr>
            <w:r/>
            <w:r>
              <w:rPr>
                <w:b w:val="0"/>
                <w:sz w:val="17"/>
              </w:rPr>
              <w:t>21 October 2026</w:t>
            </w:r>
          </w:p>
        </w:tc>
      </w:tr>
      <w:tr>
        <w:tc>
          <w:tcPr>
            <w:tcW w:type="dxa" w:w="2448"/>
            <w:vAlign w:val="center"/>
            <w:shd w:fill="F1F6F8"/>
          </w:tcPr>
          <w:p>
            <w:pPr>
              <w:spacing w:after="20"/>
            </w:pPr>
            <w:r/>
            <w:r>
              <w:rPr>
                <w:b w:val="0"/>
                <w:sz w:val="17"/>
              </w:rPr>
              <w:t>Review owner</w:t>
            </w:r>
          </w:p>
        </w:tc>
        <w:tc>
          <w:tcPr>
            <w:tcW w:type="dxa" w:w="7920"/>
            <w:vAlign w:val="center"/>
            <w:shd w:fill="F1F6F8"/>
          </w:tcPr>
          <w:p>
            <w:pPr>
              <w:spacing w:after="20"/>
            </w:pPr>
            <w:r/>
            <w:r>
              <w:rPr>
                <w:b w:val="0"/>
                <w:sz w:val="17"/>
              </w:rPr>
              <w:t>Organization’s designated security lead / incident response manager</w:t>
            </w:r>
          </w:p>
        </w:tc>
      </w:tr>
      <w:tr>
        <w:tc>
          <w:tcPr>
            <w:tcW w:type="dxa" w:w="2448"/>
            <w:vAlign w:val="center"/>
          </w:tcPr>
          <w:p>
            <w:pPr>
              <w:spacing w:after="20"/>
            </w:pPr>
            <w:r/>
            <w:r>
              <w:rPr>
                <w:b w:val="0"/>
                <w:sz w:val="17"/>
              </w:rPr>
              <w:t>Approval</w:t>
            </w:r>
          </w:p>
        </w:tc>
        <w:tc>
          <w:tcPr>
            <w:tcW w:type="dxa" w:w="7920"/>
            <w:vAlign w:val="center"/>
          </w:tcPr>
          <w:p>
            <w:pPr>
              <w:spacing w:after="20"/>
            </w:pPr>
            <w:r/>
            <w:r>
              <w:rPr>
                <w:b w:val="0"/>
                <w:sz w:val="17"/>
              </w:rPr>
              <w:t>To be completed by the adopting organization</w:t>
            </w:r>
          </w:p>
        </w:tc>
      </w:tr>
      <w:tr>
        <w:tc>
          <w:tcPr>
            <w:tcW w:type="dxa" w:w="2448"/>
            <w:vAlign w:val="center"/>
            <w:shd w:fill="F1F6F8"/>
          </w:tcPr>
          <w:p>
            <w:pPr>
              <w:spacing w:after="20"/>
            </w:pPr>
            <w:r/>
            <w:r>
              <w:rPr>
                <w:b w:val="0"/>
                <w:sz w:val="17"/>
              </w:rPr>
              <w:t>Classification</w:t>
            </w:r>
          </w:p>
        </w:tc>
        <w:tc>
          <w:tcPr>
            <w:tcW w:type="dxa" w:w="7920"/>
            <w:vAlign w:val="center"/>
            <w:shd w:fill="F1F6F8"/>
          </w:tcPr>
          <w:p>
            <w:pPr>
              <w:spacing w:after="20"/>
            </w:pPr>
            <w:r/>
            <w:r>
              <w:rPr>
                <w:b w:val="0"/>
                <w:sz w:val="17"/>
              </w:rPr>
              <w:t>Internal planning document; adapt before operational use</w:t>
            </w:r>
          </w:p>
        </w:tc>
      </w:tr>
    </w:tbl>
    <w:p/>
    <w:p>
      <w:pPr>
        <w:pStyle w:val="Heading2"/>
      </w:pPr>
      <w:r>
        <w:t>Important Use Note</w:t>
      </w:r>
    </w:p>
    <w:p>
      <w:r>
        <w:t>This is a practical model plan intended for academic and organizational planning. Before operational adoption, an organization must customize the plan to its actual systems, people, contracts, insurance conditions, jurisdiction, and regulatory obligations. Contact names, phone numbers, reporting deadlines, legal decisions, and technical commands must be verified locally. Do not treat this document as legal advice.</w:t>
      </w:r>
    </w:p>
    <w:p>
      <w:pPr>
        <w:pStyle w:val="Heading1"/>
      </w:pPr>
      <w:r>
        <w:t>Table of Contents</w:t>
      </w:r>
    </w:p>
    <w:p>
      <w:pPr>
        <w:pStyle w:val="ListBullet"/>
        <w:spacing w:after="40"/>
      </w:pPr>
      <w:r>
        <w:t>1. Executive Summary</w:t>
      </w:r>
    </w:p>
    <w:p>
      <w:pPr>
        <w:pStyle w:val="ListBullet"/>
        <w:spacing w:after="40"/>
      </w:pPr>
      <w:r>
        <w:t>2. Purpose, Scope and Objectives</w:t>
      </w:r>
    </w:p>
    <w:p>
      <w:pPr>
        <w:pStyle w:val="ListBullet"/>
        <w:spacing w:after="40"/>
      </w:pPr>
      <w:r>
        <w:t>3. Guiding Principles and Standards</w:t>
      </w:r>
    </w:p>
    <w:p>
      <w:pPr>
        <w:pStyle w:val="ListBullet"/>
        <w:spacing w:after="40"/>
      </w:pPr>
      <w:r>
        <w:t>4. Incident Definition and Classification</w:t>
      </w:r>
    </w:p>
    <w:p>
      <w:pPr>
        <w:pStyle w:val="ListBullet"/>
        <w:spacing w:after="40"/>
      </w:pPr>
      <w:r>
        <w:t>5. Governance, Roles and Responsibilities</w:t>
      </w:r>
    </w:p>
    <w:p>
      <w:pPr>
        <w:pStyle w:val="ListBullet"/>
        <w:spacing w:after="40"/>
      </w:pPr>
      <w:r>
        <w:t>6. Preparation and Readiness</w:t>
      </w:r>
    </w:p>
    <w:p>
      <w:pPr>
        <w:pStyle w:val="ListBullet"/>
        <w:spacing w:after="40"/>
      </w:pPr>
      <w:r>
        <w:t>7. Incident Response Lifecycle</w:t>
      </w:r>
    </w:p>
    <w:p>
      <w:pPr>
        <w:pStyle w:val="ListBullet"/>
        <w:spacing w:after="40"/>
      </w:pPr>
      <w:r>
        <w:t>8. Evidence Preservation and Investigation</w:t>
      </w:r>
    </w:p>
    <w:p>
      <w:pPr>
        <w:pStyle w:val="ListBullet"/>
        <w:spacing w:after="40"/>
      </w:pPr>
      <w:r>
        <w:t>9. Communication and Escalation</w:t>
      </w:r>
    </w:p>
    <w:p>
      <w:pPr>
        <w:pStyle w:val="ListBullet"/>
        <w:spacing w:after="40"/>
      </w:pPr>
      <w:r>
        <w:t>10. Scenario Playbooks</w:t>
      </w:r>
    </w:p>
    <w:p>
      <w:pPr>
        <w:pStyle w:val="ListBullet"/>
        <w:spacing w:after="40"/>
      </w:pPr>
      <w:r>
        <w:t>11. Recovery and Business Continuity</w:t>
      </w:r>
    </w:p>
    <w:p>
      <w:pPr>
        <w:pStyle w:val="ListBullet"/>
        <w:spacing w:after="40"/>
      </w:pPr>
      <w:r>
        <w:t>12. Legal, Privacy and Regulatory Considerations</w:t>
      </w:r>
    </w:p>
    <w:p>
      <w:pPr>
        <w:pStyle w:val="ListBullet"/>
        <w:spacing w:after="40"/>
      </w:pPr>
      <w:r>
        <w:t>13. Exercises, Training and Maintenance</w:t>
      </w:r>
    </w:p>
    <w:p>
      <w:pPr>
        <w:pStyle w:val="ListBullet"/>
        <w:spacing w:after="40"/>
      </w:pPr>
      <w:r>
        <w:t>14. Metrics and Reporting</w:t>
      </w:r>
    </w:p>
    <w:p>
      <w:pPr>
        <w:pStyle w:val="ListBullet"/>
        <w:spacing w:after="40"/>
      </w:pPr>
      <w:r>
        <w:t>15. Implementation Roadmap</w:t>
      </w:r>
    </w:p>
    <w:p>
      <w:pPr>
        <w:pStyle w:val="ListBullet"/>
        <w:spacing w:after="40"/>
      </w:pPr>
      <w:r>
        <w:t>16. Conclusion</w:t>
      </w:r>
    </w:p>
    <w:p>
      <w:pPr>
        <w:pStyle w:val="ListBullet"/>
        <w:spacing w:after="40"/>
      </w:pPr>
      <w:r>
        <w:t>Appendix A: Incident Intake Form</w:t>
      </w:r>
    </w:p>
    <w:p>
      <w:pPr>
        <w:pStyle w:val="ListBullet"/>
        <w:spacing w:after="40"/>
      </w:pPr>
      <w:r>
        <w:t>Appendix B: Incident Log and Evidence Register</w:t>
      </w:r>
    </w:p>
    <w:p>
      <w:pPr>
        <w:pStyle w:val="ListBullet"/>
        <w:spacing w:after="40"/>
      </w:pPr>
      <w:r>
        <w:t>Appendix C: Communication Templates</w:t>
      </w:r>
    </w:p>
    <w:p>
      <w:pPr>
        <w:pStyle w:val="ListBullet"/>
        <w:spacing w:after="40"/>
      </w:pPr>
      <w:r>
        <w:t>Appendix D: Quick-Action Checklist</w:t>
      </w:r>
    </w:p>
    <w:p>
      <w:pPr>
        <w:pStyle w:val="ListBullet"/>
        <w:spacing w:after="40"/>
      </w:pPr>
      <w:r>
        <w:t>Glossary</w:t>
      </w:r>
    </w:p>
    <w:p>
      <w:pPr>
        <w:pStyle w:val="ListBullet"/>
        <w:spacing w:after="40"/>
      </w:pPr>
      <w:r>
        <w:t>References</w:t>
      </w:r>
    </w:p>
    <w:p>
      <w:r>
        <w:br w:type="page"/>
      </w:r>
    </w:p>
    <w:p>
      <w:pPr>
        <w:pStyle w:val="Heading1"/>
      </w:pPr>
      <w:r>
        <w:t>1. Executive Summary</w:t>
      </w:r>
    </w:p>
    <w:p>
      <w:r>
        <w:t>Cybersecurity incidents can interrupt operations, expose confidential information, damage trust, and create financial or legal consequences. A reliable response depends on preparation before an incident occurs, rapid recognition, clear authority, careful evidence handling, coordinated containment, and controlled recovery. This Incident Response Plan (IRP) establishes a repeatable process for managing suspected and confirmed security incidents across endpoints, networks, applications, cloud services, identities, data stores, and third-party systems.</w:t>
      </w:r>
    </w:p>
    <w:p>
      <w:r>
        <w:t>The plan is designed for a small or medium-sized organization but can be scaled to larger environments. It assigns responsibilities to an incident response team (IRT), defines severity levels and escalation expectations, sets out the incident lifecycle, and includes playbooks for ransomware, phishing/business email compromise, compromised credentials, malware, data exposure, and denial-of-service attacks. It also addresses communications, evidence preservation, business continuity, regulatory assessment, and post-incident improvement.</w:t>
      </w:r>
    </w:p>
    <w:p>
      <w:r>
        <w:t>The approach aligns with NIST SP 800-61 Rev. 3 and the NIST Cybersecurity Framework 2.0, which integrate incident response into broader cybersecurity risk management. CISA’s StopRansomware guidance is used as a reference for ransomware readiness and response. The plan is technology-neutral: organizations should adapt the specific actions to their architecture and approved procedures.</w:t>
      </w:r>
    </w:p>
    <w:p>
      <w:r>
        <w:t>The central operating rule is: protect people and critical services, contain the threat safely, preserve evidence, communicate through approved channels, and restore systems only when the environment is understood and sufficiently trusted. No single checklist replaces professional judgment; the incident commander must coordinate technical actions with business, legal, privacy, and safety considerations.</w:t>
      </w:r>
    </w:p>
    <w:p>
      <w:pPr>
        <w:pStyle w:val="Heading1"/>
      </w:pPr>
      <w:r>
        <w:t>2. Purpose, Scope and Objectives</w:t>
      </w:r>
    </w:p>
    <w:p>
      <w:pPr>
        <w:pStyle w:val="Heading2"/>
      </w:pPr>
      <w:r>
        <w:t>2.1 Purpose</w:t>
      </w:r>
    </w:p>
    <w:p>
      <w:r>
        <w:t>The purpose of this plan is to provide a clear, feasible and auditable framework for responding to cybersecurity incidents from the first report through containment, eradication, recovery and lessons learned.</w:t>
      </w:r>
    </w:p>
    <w:p>
      <w:pPr>
        <w:pStyle w:val="Heading2"/>
      </w:pPr>
      <w:r>
        <w:t>2.2 Scope</w:t>
      </w:r>
    </w:p>
    <w:p>
      <w:r>
        <w:t>This plan applies to employees, contractors, temporary workers, administrators, managed service providers and other authorized parties who use or support organizational technology. Covered assets include:</w:t>
      </w:r>
    </w:p>
    <w:p>
      <w:pPr>
        <w:pStyle w:val="ListBullet"/>
        <w:spacing w:after="40"/>
      </w:pPr>
      <w:r>
        <w:t>Workstations, laptops, mobile devices, servers, virtual machines and network equipment.</w:t>
      </w:r>
    </w:p>
    <w:p>
      <w:pPr>
        <w:pStyle w:val="ListBullet"/>
        <w:spacing w:after="40"/>
      </w:pPr>
      <w:r>
        <w:t>Business applications, identity platforms, email, collaboration tools and remote-access services.</w:t>
      </w:r>
    </w:p>
    <w:p>
      <w:pPr>
        <w:pStyle w:val="ListBullet"/>
        <w:spacing w:after="40"/>
      </w:pPr>
      <w:r>
        <w:t>Cloud infrastructure, SaaS platforms, storage, databases, backups and development environments.</w:t>
      </w:r>
    </w:p>
    <w:p>
      <w:pPr>
        <w:pStyle w:val="ListBullet"/>
        <w:spacing w:after="40"/>
      </w:pPr>
      <w:r>
        <w:t>Sensitive information, personal data, intellectual property, payment data and business records.</w:t>
      </w:r>
    </w:p>
    <w:p>
      <w:pPr>
        <w:pStyle w:val="ListBullet"/>
        <w:spacing w:after="40"/>
      </w:pPr>
      <w:r>
        <w:t>Third-party services and suppliers where an incident could affect organizational data or operations.</w:t>
      </w:r>
    </w:p>
    <w:p>
      <w:pPr>
        <w:pStyle w:val="Heading2"/>
      </w:pPr>
      <w:r>
        <w:t>2.3 Objectives</w:t>
      </w:r>
    </w:p>
    <w:p>
      <w:pPr>
        <w:pStyle w:val="ListBullet"/>
        <w:spacing w:after="40"/>
      </w:pPr>
      <w:r>
        <w:t>Detect and validate suspected incidents quickly, using consistent criteria.</w:t>
      </w:r>
    </w:p>
    <w:p>
      <w:pPr>
        <w:pStyle w:val="ListBullet"/>
        <w:spacing w:after="40"/>
      </w:pPr>
      <w:r>
        <w:t>Limit harm to people, systems, data, customers and business operations.</w:t>
      </w:r>
    </w:p>
    <w:p>
      <w:pPr>
        <w:pStyle w:val="ListBullet"/>
        <w:spacing w:after="40"/>
      </w:pPr>
      <w:r>
        <w:t>Assign authority and responsibilities so decisions are not delayed by uncertainty.</w:t>
      </w:r>
    </w:p>
    <w:p>
      <w:pPr>
        <w:pStyle w:val="ListBullet"/>
        <w:spacing w:after="40"/>
      </w:pPr>
      <w:r>
        <w:t>Preserve reliable evidence and maintain a documented chain of custody.</w:t>
      </w:r>
    </w:p>
    <w:p>
      <w:pPr>
        <w:pStyle w:val="ListBullet"/>
        <w:spacing w:after="40"/>
      </w:pPr>
      <w:r>
        <w:t>Meet applicable contractual, legal, privacy and regulatory obligations.</w:t>
      </w:r>
    </w:p>
    <w:p>
      <w:pPr>
        <w:pStyle w:val="ListBullet"/>
        <w:spacing w:after="40"/>
      </w:pPr>
      <w:r>
        <w:t>Restore services in a controlled manner and verify that attacker access has been removed.</w:t>
      </w:r>
    </w:p>
    <w:p>
      <w:pPr>
        <w:pStyle w:val="ListBullet"/>
        <w:spacing w:after="40"/>
      </w:pPr>
      <w:r>
        <w:t>Capture lessons learned and improve security controls, procedures and readiness.</w:t>
      </w:r>
    </w:p>
    <w:p>
      <w:pPr>
        <w:pStyle w:val="Heading2"/>
      </w:pPr>
      <w:r>
        <w:t>2.4 Assumptions and Limitations</w:t>
      </w:r>
    </w:p>
    <w:p>
      <w:r>
        <w:t>The organization maintains an inventory of critical assets, has an approved escalation path, and can access backups and logs. Where these assumptions are not true, the implementation roadmap identifies them as priority gaps. This plan does not authorize intrusive investigation of systems outside the organization’s control; such activity requires explicit authorization and appropriate coordination.</w:t>
      </w:r>
    </w:p>
    <w:p>
      <w:pPr>
        <w:pStyle w:val="Heading1"/>
      </w:pPr>
      <w:r>
        <w:t>3. Guiding Principles and Standards</w:t>
      </w:r>
    </w:p>
    <w:p>
      <w:pPr>
        <w:pStyle w:val="Heading2"/>
      </w:pPr>
      <w:r>
        <w:t>3.1 Operating Principles</w:t>
      </w:r>
    </w:p>
    <w:p>
      <w:pPr>
        <w:pStyle w:val="ListBullet"/>
        <w:spacing w:after="40"/>
      </w:pPr>
      <w:r>
        <w:t>Safety first: protect human safety and essential services before pursuing technical completeness.</w:t>
      </w:r>
    </w:p>
    <w:p>
      <w:pPr>
        <w:pStyle w:val="ListBullet"/>
        <w:spacing w:after="40"/>
      </w:pPr>
      <w:r>
        <w:t>Act quickly but deliberately: use pre-approved actions where possible and record major decisions.</w:t>
      </w:r>
    </w:p>
    <w:p>
      <w:pPr>
        <w:pStyle w:val="ListBullet"/>
        <w:spacing w:after="40"/>
      </w:pPr>
      <w:r>
        <w:t>Contain proportionately: isolate affected systems or accounts while minimizing unnecessary business disruption.</w:t>
      </w:r>
    </w:p>
    <w:p>
      <w:pPr>
        <w:pStyle w:val="ListBullet"/>
        <w:spacing w:after="40"/>
      </w:pPr>
      <w:r>
        <w:t>Preserve evidence: avoid wiping, rebuilding or modifying affected systems before evidence needs are assessed.</w:t>
      </w:r>
    </w:p>
    <w:p>
      <w:pPr>
        <w:pStyle w:val="ListBullet"/>
        <w:spacing w:after="40"/>
      </w:pPr>
      <w:r>
        <w:t>Use least privilege and need-to-know access for incident data and response tools.</w:t>
      </w:r>
    </w:p>
    <w:p>
      <w:pPr>
        <w:pStyle w:val="ListBullet"/>
        <w:spacing w:after="40"/>
      </w:pPr>
      <w:r>
        <w:t>Communicate accurately: distinguish confirmed facts from hypotheses and unknowns.</w:t>
      </w:r>
    </w:p>
    <w:p>
      <w:pPr>
        <w:pStyle w:val="ListBullet"/>
        <w:spacing w:after="40"/>
      </w:pPr>
      <w:r>
        <w:t>Coordinate across teams: technical response, business continuity, legal, privacy, communications and vendors must work together.</w:t>
      </w:r>
    </w:p>
    <w:p>
      <w:pPr>
        <w:pStyle w:val="ListBullet"/>
        <w:spacing w:after="40"/>
      </w:pPr>
      <w:r>
        <w:t>Learn without blame: focus reviews on causes, control gaps and improvements rather than unsupported assumptions.</w:t>
      </w:r>
    </w:p>
    <w:p>
      <w:pPr>
        <w:pStyle w:val="Heading2"/>
      </w:pPr>
      <w:r>
        <w:t>3.2 Reference Frameworks</w:t>
      </w:r>
    </w:p>
    <w:p>
      <w:r>
        <w:t>NIST SP 800-61 Rev. 3 (2025) provides current incident-response recommendations integrated with the NIST Cybersecurity Framework 2.0. NIST CSF functions—Govern, Identify, Protect, Detect, Respond and Recover—support readiness before an incident and coordinated actions during and after it. CISA’s StopRansomware Guide provides practical prevention and response considerations for ransomware and data extortion. Organizations should also consult applicable ISO/IEC 27001/27035 guidance, sector-specific rules and local laws.</w:t>
      </w:r>
    </w:p>
    <w:p>
      <w:r>
        <w:t>This document is a tailored operational model, not a claim of certification or complete compliance with any standard. The organization should map its own controls and obligations during adoption.</w:t>
      </w:r>
    </w:p>
    <w:p>
      <w:pPr>
        <w:pStyle w:val="Heading1"/>
      </w:pPr>
      <w:r>
        <w:t>4. Incident Definition and Classification</w:t>
      </w:r>
    </w:p>
    <w:p>
      <w:pPr>
        <w:pStyle w:val="Heading2"/>
      </w:pPr>
      <w:r>
        <w:t>4.1 Definitions</w:t>
      </w:r>
    </w:p>
    <w:p>
      <w:r>
        <w:t>A security event is an observable occurrence in a system or network. A security alert is a signal that may require investigation. A cybersecurity incident is an event—or series of events—that compromises or threatens the confidentiality, integrity or availability of information or systems, violates security policy, or requires coordinated response.</w:t>
      </w:r>
    </w:p>
    <w:p>
      <w:pPr>
        <w:pStyle w:val="Heading2"/>
      </w:pPr>
      <w:r>
        <w:t>4.2 Examples of Reportable Incidents</w:t>
      </w:r>
    </w:p>
    <w:p>
      <w:pPr>
        <w:pStyle w:val="ListBullet"/>
        <w:spacing w:after="40"/>
      </w:pPr>
      <w:r>
        <w:t>Ransomware, destructive malware, unauthorized encryption or data extortion.</w:t>
      </w:r>
    </w:p>
    <w:p>
      <w:pPr>
        <w:pStyle w:val="ListBullet"/>
        <w:spacing w:after="40"/>
      </w:pPr>
      <w:r>
        <w:t>Successful phishing, business email compromise, suspicious forwarding rules or fraudulent payment requests.</w:t>
      </w:r>
    </w:p>
    <w:p>
      <w:pPr>
        <w:pStyle w:val="ListBullet"/>
        <w:spacing w:after="40"/>
      </w:pPr>
      <w:r>
        <w:t>Compromised user, administrator, service or cloud credentials.</w:t>
      </w:r>
    </w:p>
    <w:p>
      <w:pPr>
        <w:pStyle w:val="ListBullet"/>
        <w:spacing w:after="40"/>
      </w:pPr>
      <w:r>
        <w:t>Unauthorized access, privilege escalation, persistence or suspicious remote-control activity.</w:t>
      </w:r>
    </w:p>
    <w:p>
      <w:pPr>
        <w:pStyle w:val="ListBullet"/>
        <w:spacing w:after="40"/>
      </w:pPr>
      <w:r>
        <w:t>Exposure, loss, alteration or exfiltration of sensitive or personal data.</w:t>
      </w:r>
    </w:p>
    <w:p>
      <w:pPr>
        <w:pStyle w:val="ListBullet"/>
        <w:spacing w:after="40"/>
      </w:pPr>
      <w:r>
        <w:t>Exploitation of a vulnerable internet-facing service or a suspected supply-chain compromise.</w:t>
      </w:r>
    </w:p>
    <w:p>
      <w:pPr>
        <w:pStyle w:val="ListBullet"/>
        <w:spacing w:after="40"/>
      </w:pPr>
      <w:r>
        <w:t>Denial-of-service that materially affects service availability.</w:t>
      </w:r>
    </w:p>
    <w:p>
      <w:pPr>
        <w:pStyle w:val="ListBullet"/>
        <w:spacing w:after="40"/>
      </w:pPr>
      <w:r>
        <w:t>Lost or stolen devices containing organizational data, or suspected insider misuse.</w:t>
      </w:r>
    </w:p>
    <w:p>
      <w:pPr>
        <w:pStyle w:val="Heading2"/>
      </w:pPr>
      <w:r>
        <w:t>4.3 Severity Model</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584"/>
            <w:vAlign w:val="center"/>
            <w:shd w:fill="15304B"/>
          </w:tcPr>
          <w:p>
            <w:pPr>
              <w:spacing w:after="20"/>
            </w:pPr>
            <w:r/>
            <w:r>
              <w:rPr>
                <w:b/>
                <w:color w:val="FFFFFF"/>
                <w:sz w:val="18"/>
              </w:rPr>
              <w:t>Level</w:t>
            </w:r>
          </w:p>
        </w:tc>
        <w:tc>
          <w:tcPr>
            <w:tcW w:type="dxa" w:w="4680"/>
            <w:vAlign w:val="center"/>
            <w:shd w:fill="15304B"/>
          </w:tcPr>
          <w:p>
            <w:pPr>
              <w:spacing w:after="20"/>
            </w:pPr>
            <w:r/>
            <w:r>
              <w:rPr>
                <w:b/>
                <w:color w:val="FFFFFF"/>
                <w:sz w:val="18"/>
              </w:rPr>
              <w:t>Indicative criteria</w:t>
            </w:r>
          </w:p>
        </w:tc>
        <w:tc>
          <w:tcPr>
            <w:tcW w:type="dxa" w:w="2232"/>
            <w:vAlign w:val="center"/>
            <w:shd w:fill="15304B"/>
          </w:tcPr>
          <w:p>
            <w:pPr>
              <w:spacing w:after="20"/>
            </w:pPr>
            <w:r/>
            <w:r>
              <w:rPr>
                <w:b/>
                <w:color w:val="FFFFFF"/>
                <w:sz w:val="18"/>
              </w:rPr>
              <w:t>Initial response target*</w:t>
            </w:r>
          </w:p>
        </w:tc>
        <w:tc>
          <w:tcPr>
            <w:tcW w:type="dxa" w:w="3024"/>
            <w:vAlign w:val="center"/>
            <w:shd w:fill="15304B"/>
          </w:tcPr>
          <w:p>
            <w:pPr>
              <w:spacing w:after="20"/>
            </w:pPr>
            <w:r/>
            <w:r>
              <w:rPr>
                <w:b/>
                <w:color w:val="FFFFFF"/>
                <w:sz w:val="18"/>
              </w:rPr>
              <w:t>Escalation</w:t>
            </w:r>
          </w:p>
        </w:tc>
      </w:tr>
      <w:tr>
        <w:tc>
          <w:tcPr>
            <w:tcW w:type="dxa" w:w="1584"/>
            <w:vAlign w:val="center"/>
            <w:shd w:fill="F1F6F8"/>
          </w:tcPr>
          <w:p>
            <w:pPr>
              <w:spacing w:after="20"/>
            </w:pPr>
            <w:r/>
            <w:r>
              <w:rPr>
                <w:b w:val="0"/>
                <w:sz w:val="17"/>
              </w:rPr>
              <w:t>SEV 1 – Critical</w:t>
            </w:r>
          </w:p>
        </w:tc>
        <w:tc>
          <w:tcPr>
            <w:tcW w:type="dxa" w:w="4680"/>
            <w:vAlign w:val="center"/>
            <w:shd w:fill="F1F6F8"/>
          </w:tcPr>
          <w:p>
            <w:pPr>
              <w:spacing w:after="20"/>
            </w:pPr>
            <w:r/>
            <w:r>
              <w:rPr>
                <w:b w:val="0"/>
                <w:sz w:val="17"/>
              </w:rPr>
              <w:t>Confirmed widespread compromise; ransomware on critical systems; privileged identity takeover; major sensitive-data breach; critical service or safety impact.</w:t>
            </w:r>
          </w:p>
        </w:tc>
        <w:tc>
          <w:tcPr>
            <w:tcW w:type="dxa" w:w="2232"/>
            <w:vAlign w:val="center"/>
            <w:shd w:fill="F1F6F8"/>
          </w:tcPr>
          <w:p>
            <w:pPr>
              <w:spacing w:after="20"/>
            </w:pPr>
            <w:r/>
            <w:r>
              <w:rPr>
                <w:b w:val="0"/>
                <w:sz w:val="17"/>
              </w:rPr>
              <w:t>Acknowledge within 15 minutes; incident commander and executive sponsor immediately.</w:t>
            </w:r>
          </w:p>
        </w:tc>
        <w:tc>
          <w:tcPr>
            <w:tcW w:type="dxa" w:w="3024"/>
            <w:vAlign w:val="center"/>
            <w:shd w:fill="F1F6F8"/>
          </w:tcPr>
          <w:p>
            <w:pPr>
              <w:spacing w:after="20"/>
            </w:pPr>
            <w:r/>
            <w:r>
              <w:rPr>
                <w:b w:val="0"/>
                <w:sz w:val="17"/>
              </w:rPr>
              <w:t>Executive leadership, security lead, IT operations, legal/privacy, communications and relevant authorities as required.</w:t>
            </w:r>
          </w:p>
        </w:tc>
      </w:tr>
      <w:tr>
        <w:tc>
          <w:tcPr>
            <w:tcW w:type="dxa" w:w="1584"/>
            <w:vAlign w:val="center"/>
          </w:tcPr>
          <w:p>
            <w:pPr>
              <w:spacing w:after="20"/>
            </w:pPr>
            <w:r/>
            <w:r>
              <w:rPr>
                <w:b w:val="0"/>
                <w:sz w:val="17"/>
              </w:rPr>
              <w:t>SEV 2 – High</w:t>
            </w:r>
          </w:p>
        </w:tc>
        <w:tc>
          <w:tcPr>
            <w:tcW w:type="dxa" w:w="4680"/>
            <w:vAlign w:val="center"/>
          </w:tcPr>
          <w:p>
            <w:pPr>
              <w:spacing w:after="20"/>
            </w:pPr>
            <w:r/>
            <w:r>
              <w:rPr>
                <w:b w:val="0"/>
                <w:sz w:val="17"/>
              </w:rPr>
              <w:t>Confirmed compromise of an important system or account; limited data exposure; active attacker activity; significant customer or operational impact.</w:t>
            </w:r>
          </w:p>
        </w:tc>
        <w:tc>
          <w:tcPr>
            <w:tcW w:type="dxa" w:w="2232"/>
            <w:vAlign w:val="center"/>
          </w:tcPr>
          <w:p>
            <w:pPr>
              <w:spacing w:after="20"/>
            </w:pPr>
            <w:r/>
            <w:r>
              <w:rPr>
                <w:b w:val="0"/>
                <w:sz w:val="17"/>
              </w:rPr>
              <w:t>Acknowledge within 30 minutes; response lead assigned promptly.</w:t>
            </w:r>
          </w:p>
        </w:tc>
        <w:tc>
          <w:tcPr>
            <w:tcW w:type="dxa" w:w="3024"/>
            <w:vAlign w:val="center"/>
          </w:tcPr>
          <w:p>
            <w:pPr>
              <w:spacing w:after="20"/>
            </w:pPr>
            <w:r/>
            <w:r>
              <w:rPr>
                <w:b w:val="0"/>
                <w:sz w:val="17"/>
              </w:rPr>
              <w:t>Security lead, system owner, IT operations; legal/privacy assessment if data may be affected.</w:t>
            </w:r>
          </w:p>
        </w:tc>
      </w:tr>
      <w:tr>
        <w:tc>
          <w:tcPr>
            <w:tcW w:type="dxa" w:w="1584"/>
            <w:vAlign w:val="center"/>
            <w:shd w:fill="F1F6F8"/>
          </w:tcPr>
          <w:p>
            <w:pPr>
              <w:spacing w:after="20"/>
            </w:pPr>
            <w:r/>
            <w:r>
              <w:rPr>
                <w:b w:val="0"/>
                <w:sz w:val="17"/>
              </w:rPr>
              <w:t>SEV 3 – Moderate</w:t>
            </w:r>
          </w:p>
        </w:tc>
        <w:tc>
          <w:tcPr>
            <w:tcW w:type="dxa" w:w="4680"/>
            <w:vAlign w:val="center"/>
            <w:shd w:fill="F1F6F8"/>
          </w:tcPr>
          <w:p>
            <w:pPr>
              <w:spacing w:after="20"/>
            </w:pPr>
            <w:r/>
            <w:r>
              <w:rPr>
                <w:b w:val="0"/>
                <w:sz w:val="17"/>
              </w:rPr>
              <w:t>Contained malware on one endpoint; suspicious access with no confirmed sensitive-data impact; limited policy violation.</w:t>
            </w:r>
          </w:p>
        </w:tc>
        <w:tc>
          <w:tcPr>
            <w:tcW w:type="dxa" w:w="2232"/>
            <w:vAlign w:val="center"/>
            <w:shd w:fill="F1F6F8"/>
          </w:tcPr>
          <w:p>
            <w:pPr>
              <w:spacing w:after="20"/>
            </w:pPr>
            <w:r/>
            <w:r>
              <w:rPr>
                <w:b w:val="0"/>
                <w:sz w:val="17"/>
              </w:rPr>
              <w:t>Acknowledge within 4 business hours.</w:t>
            </w:r>
          </w:p>
        </w:tc>
        <w:tc>
          <w:tcPr>
            <w:tcW w:type="dxa" w:w="3024"/>
            <w:vAlign w:val="center"/>
            <w:shd w:fill="F1F6F8"/>
          </w:tcPr>
          <w:p>
            <w:pPr>
              <w:spacing w:after="20"/>
            </w:pPr>
            <w:r/>
            <w:r>
              <w:rPr>
                <w:b w:val="0"/>
                <w:sz w:val="17"/>
              </w:rPr>
              <w:t>Security team and affected manager; elevate if scope increases.</w:t>
            </w:r>
          </w:p>
        </w:tc>
      </w:tr>
      <w:tr>
        <w:tc>
          <w:tcPr>
            <w:tcW w:type="dxa" w:w="1584"/>
            <w:vAlign w:val="center"/>
          </w:tcPr>
          <w:p>
            <w:pPr>
              <w:spacing w:after="20"/>
            </w:pPr>
            <w:r/>
            <w:r>
              <w:rPr>
                <w:b w:val="0"/>
                <w:sz w:val="17"/>
              </w:rPr>
              <w:t>SEV 4 – Low</w:t>
            </w:r>
          </w:p>
        </w:tc>
        <w:tc>
          <w:tcPr>
            <w:tcW w:type="dxa" w:w="4680"/>
            <w:vAlign w:val="center"/>
          </w:tcPr>
          <w:p>
            <w:pPr>
              <w:spacing w:after="20"/>
            </w:pPr>
            <w:r/>
            <w:r>
              <w:rPr>
                <w:b w:val="0"/>
                <w:sz w:val="17"/>
              </w:rPr>
              <w:t>Blocked phishing attempt, benign alert after validation, or minor event with no evidence of compromise.</w:t>
            </w:r>
          </w:p>
        </w:tc>
        <w:tc>
          <w:tcPr>
            <w:tcW w:type="dxa" w:w="2232"/>
            <w:vAlign w:val="center"/>
          </w:tcPr>
          <w:p>
            <w:pPr>
              <w:spacing w:after="20"/>
            </w:pPr>
            <w:r/>
            <w:r>
              <w:rPr>
                <w:b w:val="0"/>
                <w:sz w:val="17"/>
              </w:rPr>
              <w:t>Acknowledge within 1 business day.</w:t>
            </w:r>
          </w:p>
        </w:tc>
        <w:tc>
          <w:tcPr>
            <w:tcW w:type="dxa" w:w="3024"/>
            <w:vAlign w:val="center"/>
          </w:tcPr>
          <w:p>
            <w:pPr>
              <w:spacing w:after="20"/>
            </w:pPr>
            <w:r/>
            <w:r>
              <w:rPr>
                <w:b w:val="0"/>
                <w:sz w:val="17"/>
              </w:rPr>
              <w:t>Service desk/security queue; retain record and trend.</w:t>
            </w:r>
          </w:p>
        </w:tc>
      </w:tr>
    </w:tbl>
    <w:p/>
    <w:p>
      <w:r>
        <w:t>*Targets are proposed internal service levels, not universal legal deadlines. Organizations should set targets based on staffing and risk. If evidence suggests active compromise, escalate immediately even if the initial classification is uncertain.</w:t>
      </w:r>
    </w:p>
    <w:p>
      <w:pPr>
        <w:pStyle w:val="Heading2"/>
      </w:pPr>
      <w:r>
        <w:t>4.4 Classification and Reclassification</w:t>
      </w:r>
    </w:p>
    <w:p>
      <w:r>
        <w:t>The incident lead assigns an initial severity based on current evidence, business criticality, affected identities and systems, data sensitivity, attacker activity, and potential for spread. Severity may be raised or lowered as facts change. Record the rationale and timestamp for each material change. When uncertain between two levels, use the higher level until the scope is clarified.</w:t>
      </w:r>
    </w:p>
    <w:p>
      <w:pPr>
        <w:pStyle w:val="Heading1"/>
      </w:pPr>
      <w:r>
        <w:t>5. Governance, Roles and Responsibilities</w:t>
      </w:r>
    </w:p>
    <w:p>
      <w:r>
        <w:t>The organization should appoint an incident commander (IC) for each SEV 1 or SEV 2 incident. The IC coordinates decisions and communications but does not replace specialist authority in legal, privacy, safety or system-owner matters.</w:t>
      </w:r>
    </w:p>
    <w:tbl>
      <w:tblPr>
        <w:tblStyle w:val="TableGrid"/>
        <w:tblW w:type="auto" w:w="0"/>
        <w:jc w:val="center"/>
        <w:tblLook w:firstColumn="1" w:firstRow="1" w:lastColumn="0" w:lastRow="0" w:noHBand="0" w:noVBand="1" w:val="04A0"/>
      </w:tblPr>
      <w:tblGrid>
        <w:gridCol w:w="3293"/>
        <w:gridCol w:w="3293"/>
        <w:gridCol w:w="3293"/>
      </w:tblGrid>
      <w:tr>
        <w:tc>
          <w:tcPr>
            <w:tcW w:type="dxa" w:w="2088"/>
            <w:vAlign w:val="center"/>
            <w:shd w:fill="15304B"/>
          </w:tcPr>
          <w:p>
            <w:pPr>
              <w:spacing w:after="20"/>
            </w:pPr>
            <w:r/>
            <w:r>
              <w:rPr>
                <w:b/>
                <w:color w:val="FFFFFF"/>
                <w:sz w:val="18"/>
              </w:rPr>
              <w:t>Role</w:t>
            </w:r>
          </w:p>
        </w:tc>
        <w:tc>
          <w:tcPr>
            <w:tcW w:type="dxa" w:w="6192"/>
            <w:vAlign w:val="center"/>
            <w:shd w:fill="15304B"/>
          </w:tcPr>
          <w:p>
            <w:pPr>
              <w:spacing w:after="20"/>
            </w:pPr>
            <w:r/>
            <w:r>
              <w:rPr>
                <w:b/>
                <w:color w:val="FFFFFF"/>
                <w:sz w:val="18"/>
              </w:rPr>
              <w:t>Primary responsibilities</w:t>
            </w:r>
          </w:p>
        </w:tc>
        <w:tc>
          <w:tcPr>
            <w:tcW w:type="dxa" w:w="2592"/>
            <w:vAlign w:val="center"/>
            <w:shd w:fill="15304B"/>
          </w:tcPr>
          <w:p>
            <w:pPr>
              <w:spacing w:after="20"/>
            </w:pPr>
            <w:r/>
            <w:r>
              <w:rPr>
                <w:b/>
                <w:color w:val="FFFFFF"/>
                <w:sz w:val="18"/>
              </w:rPr>
              <w:t>Backup / notes</w:t>
            </w:r>
          </w:p>
        </w:tc>
      </w:tr>
      <w:tr>
        <w:tc>
          <w:tcPr>
            <w:tcW w:type="dxa" w:w="2088"/>
            <w:vAlign w:val="center"/>
            <w:shd w:fill="F1F6F8"/>
          </w:tcPr>
          <w:p>
            <w:pPr>
              <w:spacing w:after="20"/>
            </w:pPr>
            <w:r/>
            <w:r>
              <w:rPr>
                <w:b w:val="0"/>
                <w:sz w:val="17"/>
              </w:rPr>
              <w:t>Executive sponsor</w:t>
            </w:r>
          </w:p>
        </w:tc>
        <w:tc>
          <w:tcPr>
            <w:tcW w:type="dxa" w:w="6192"/>
            <w:vAlign w:val="center"/>
            <w:shd w:fill="F1F6F8"/>
          </w:tcPr>
          <w:p>
            <w:pPr>
              <w:spacing w:after="20"/>
            </w:pPr>
            <w:r/>
            <w:r>
              <w:rPr>
                <w:b w:val="0"/>
                <w:sz w:val="17"/>
              </w:rPr>
              <w:t>Approves major business decisions, emergency spending and risk acceptance; ensures resources are available.</w:t>
            </w:r>
          </w:p>
        </w:tc>
        <w:tc>
          <w:tcPr>
            <w:tcW w:type="dxa" w:w="2592"/>
            <w:vAlign w:val="center"/>
            <w:shd w:fill="F1F6F8"/>
          </w:tcPr>
          <w:p>
            <w:pPr>
              <w:spacing w:after="20"/>
            </w:pPr>
            <w:r/>
            <w:r>
              <w:rPr>
                <w:b w:val="0"/>
                <w:sz w:val="17"/>
              </w:rPr>
              <w:t>Name a delegated alternate.</w:t>
            </w:r>
          </w:p>
        </w:tc>
      </w:tr>
      <w:tr>
        <w:tc>
          <w:tcPr>
            <w:tcW w:type="dxa" w:w="2088"/>
            <w:vAlign w:val="center"/>
          </w:tcPr>
          <w:p>
            <w:pPr>
              <w:spacing w:after="20"/>
            </w:pPr>
            <w:r/>
            <w:r>
              <w:rPr>
                <w:b w:val="0"/>
                <w:sz w:val="17"/>
              </w:rPr>
              <w:t>Incident Commander</w:t>
            </w:r>
          </w:p>
        </w:tc>
        <w:tc>
          <w:tcPr>
            <w:tcW w:type="dxa" w:w="6192"/>
            <w:vAlign w:val="center"/>
          </w:tcPr>
          <w:p>
            <w:pPr>
              <w:spacing w:after="20"/>
            </w:pPr>
            <w:r/>
            <w:r>
              <w:rPr>
                <w:b w:val="0"/>
                <w:sz w:val="17"/>
              </w:rPr>
              <w:t>Owns incident coordination, severity, action priorities, decision log, status briefings and closure recommendation.</w:t>
            </w:r>
          </w:p>
        </w:tc>
        <w:tc>
          <w:tcPr>
            <w:tcW w:type="dxa" w:w="2592"/>
            <w:vAlign w:val="center"/>
          </w:tcPr>
          <w:p>
            <w:pPr>
              <w:spacing w:after="20"/>
            </w:pPr>
            <w:r/>
            <w:r>
              <w:rPr>
                <w:b w:val="0"/>
                <w:sz w:val="17"/>
              </w:rPr>
              <w:t>Must be reachable through an out-of-band channel.</w:t>
            </w:r>
          </w:p>
        </w:tc>
      </w:tr>
      <w:tr>
        <w:tc>
          <w:tcPr>
            <w:tcW w:type="dxa" w:w="2088"/>
            <w:vAlign w:val="center"/>
            <w:shd w:fill="F1F6F8"/>
          </w:tcPr>
          <w:p>
            <w:pPr>
              <w:spacing w:after="20"/>
            </w:pPr>
            <w:r/>
            <w:r>
              <w:rPr>
                <w:b w:val="0"/>
                <w:sz w:val="17"/>
              </w:rPr>
              <w:t>Security / SOC lead</w:t>
            </w:r>
          </w:p>
        </w:tc>
        <w:tc>
          <w:tcPr>
            <w:tcW w:type="dxa" w:w="6192"/>
            <w:vAlign w:val="center"/>
            <w:shd w:fill="F1F6F8"/>
          </w:tcPr>
          <w:p>
            <w:pPr>
              <w:spacing w:after="20"/>
            </w:pPr>
            <w:r/>
            <w:r>
              <w:rPr>
                <w:b w:val="0"/>
                <w:sz w:val="17"/>
              </w:rPr>
              <w:t>Validates alerts, leads technical investigation, correlates logs, tracks indicators and recommends containment.</w:t>
            </w:r>
          </w:p>
        </w:tc>
        <w:tc>
          <w:tcPr>
            <w:tcW w:type="dxa" w:w="2592"/>
            <w:vAlign w:val="center"/>
            <w:shd w:fill="F1F6F8"/>
          </w:tcPr>
          <w:p>
            <w:pPr>
              <w:spacing w:after="20"/>
            </w:pPr>
            <w:r/>
            <w:r>
              <w:rPr>
                <w:b w:val="0"/>
                <w:sz w:val="17"/>
              </w:rPr>
              <w:t>Use managed detection provider if internal coverage is limited.</w:t>
            </w:r>
          </w:p>
        </w:tc>
      </w:tr>
      <w:tr>
        <w:tc>
          <w:tcPr>
            <w:tcW w:type="dxa" w:w="2088"/>
            <w:vAlign w:val="center"/>
          </w:tcPr>
          <w:p>
            <w:pPr>
              <w:spacing w:after="20"/>
            </w:pPr>
            <w:r/>
            <w:r>
              <w:rPr>
                <w:b w:val="0"/>
                <w:sz w:val="17"/>
              </w:rPr>
              <w:t>IT / cloud operations</w:t>
            </w:r>
          </w:p>
        </w:tc>
        <w:tc>
          <w:tcPr>
            <w:tcW w:type="dxa" w:w="6192"/>
            <w:vAlign w:val="center"/>
          </w:tcPr>
          <w:p>
            <w:pPr>
              <w:spacing w:after="20"/>
            </w:pPr>
            <w:r/>
            <w:r>
              <w:rPr>
                <w:b w:val="0"/>
                <w:sz w:val="17"/>
              </w:rPr>
              <w:t>Isolates endpoints, disables accounts, blocks indicators, preserves infrastructure state and restores systems.</w:t>
            </w:r>
          </w:p>
        </w:tc>
        <w:tc>
          <w:tcPr>
            <w:tcW w:type="dxa" w:w="2592"/>
            <w:vAlign w:val="center"/>
          </w:tcPr>
          <w:p>
            <w:pPr>
              <w:spacing w:after="20"/>
            </w:pPr>
            <w:r/>
            <w:r>
              <w:rPr>
                <w:b w:val="0"/>
                <w:sz w:val="17"/>
              </w:rPr>
              <w:t>System owners execute only approved changes.</w:t>
            </w:r>
          </w:p>
        </w:tc>
      </w:tr>
      <w:tr>
        <w:tc>
          <w:tcPr>
            <w:tcW w:type="dxa" w:w="2088"/>
            <w:vAlign w:val="center"/>
            <w:shd w:fill="F1F6F8"/>
          </w:tcPr>
          <w:p>
            <w:pPr>
              <w:spacing w:after="20"/>
            </w:pPr>
            <w:r/>
            <w:r>
              <w:rPr>
                <w:b w:val="0"/>
                <w:sz w:val="17"/>
              </w:rPr>
              <w:t>Forensics lead</w:t>
            </w:r>
          </w:p>
        </w:tc>
        <w:tc>
          <w:tcPr>
            <w:tcW w:type="dxa" w:w="6192"/>
            <w:vAlign w:val="center"/>
            <w:shd w:fill="F1F6F8"/>
          </w:tcPr>
          <w:p>
            <w:pPr>
              <w:spacing w:after="20"/>
            </w:pPr>
            <w:r/>
            <w:r>
              <w:rPr>
                <w:b w:val="0"/>
                <w:sz w:val="17"/>
              </w:rPr>
              <w:t>Collects and protects evidence, maintains chain of custody and coordinates external forensic support.</w:t>
            </w:r>
          </w:p>
        </w:tc>
        <w:tc>
          <w:tcPr>
            <w:tcW w:type="dxa" w:w="2592"/>
            <w:vAlign w:val="center"/>
            <w:shd w:fill="F1F6F8"/>
          </w:tcPr>
          <w:p>
            <w:pPr>
              <w:spacing w:after="20"/>
            </w:pPr>
            <w:r/>
            <w:r>
              <w:rPr>
                <w:b w:val="0"/>
                <w:sz w:val="17"/>
              </w:rPr>
              <w:t>Avoid unnecessary changes to evidence sources.</w:t>
            </w:r>
          </w:p>
        </w:tc>
      </w:tr>
      <w:tr>
        <w:tc>
          <w:tcPr>
            <w:tcW w:type="dxa" w:w="2088"/>
            <w:vAlign w:val="center"/>
          </w:tcPr>
          <w:p>
            <w:pPr>
              <w:spacing w:after="20"/>
            </w:pPr>
            <w:r/>
            <w:r>
              <w:rPr>
                <w:b w:val="0"/>
                <w:sz w:val="17"/>
              </w:rPr>
              <w:t>Legal counsel</w:t>
            </w:r>
          </w:p>
        </w:tc>
        <w:tc>
          <w:tcPr>
            <w:tcW w:type="dxa" w:w="6192"/>
            <w:vAlign w:val="center"/>
          </w:tcPr>
          <w:p>
            <w:pPr>
              <w:spacing w:after="20"/>
            </w:pPr>
            <w:r/>
            <w:r>
              <w:rPr>
                <w:b w:val="0"/>
                <w:sz w:val="17"/>
              </w:rPr>
              <w:t>Advises on privilege, contracts, litigation holds, law-enforcement contact and legal notifications.</w:t>
            </w:r>
          </w:p>
        </w:tc>
        <w:tc>
          <w:tcPr>
            <w:tcW w:type="dxa" w:w="2592"/>
            <w:vAlign w:val="center"/>
          </w:tcPr>
          <w:p>
            <w:pPr>
              <w:spacing w:after="20"/>
            </w:pPr>
            <w:r/>
            <w:r>
              <w:rPr>
                <w:b w:val="0"/>
                <w:sz w:val="17"/>
              </w:rPr>
              <w:t>Engage early for potential data breach.</w:t>
            </w:r>
          </w:p>
        </w:tc>
      </w:tr>
      <w:tr>
        <w:tc>
          <w:tcPr>
            <w:tcW w:type="dxa" w:w="2088"/>
            <w:vAlign w:val="center"/>
            <w:shd w:fill="F1F6F8"/>
          </w:tcPr>
          <w:p>
            <w:pPr>
              <w:spacing w:after="20"/>
            </w:pPr>
            <w:r/>
            <w:r>
              <w:rPr>
                <w:b w:val="0"/>
                <w:sz w:val="17"/>
              </w:rPr>
              <w:t>Privacy / compliance officer</w:t>
            </w:r>
          </w:p>
        </w:tc>
        <w:tc>
          <w:tcPr>
            <w:tcW w:type="dxa" w:w="6192"/>
            <w:vAlign w:val="center"/>
            <w:shd w:fill="F1F6F8"/>
          </w:tcPr>
          <w:p>
            <w:pPr>
              <w:spacing w:after="20"/>
            </w:pPr>
            <w:r/>
            <w:r>
              <w:rPr>
                <w:b w:val="0"/>
                <w:sz w:val="17"/>
              </w:rPr>
              <w:t>Assesses personal-data impact, applicable obligations and notification requirements.</w:t>
            </w:r>
          </w:p>
        </w:tc>
        <w:tc>
          <w:tcPr>
            <w:tcW w:type="dxa" w:w="2592"/>
            <w:vAlign w:val="center"/>
            <w:shd w:fill="F1F6F8"/>
          </w:tcPr>
          <w:p>
            <w:pPr>
              <w:spacing w:after="20"/>
            </w:pPr>
            <w:r/>
            <w:r>
              <w:rPr>
                <w:b w:val="0"/>
                <w:sz w:val="17"/>
              </w:rPr>
              <w:t>Use jurisdiction-specific timelines.</w:t>
            </w:r>
          </w:p>
        </w:tc>
      </w:tr>
      <w:tr>
        <w:tc>
          <w:tcPr>
            <w:tcW w:type="dxa" w:w="2088"/>
            <w:vAlign w:val="center"/>
          </w:tcPr>
          <w:p>
            <w:pPr>
              <w:spacing w:after="20"/>
            </w:pPr>
            <w:r/>
            <w:r>
              <w:rPr>
                <w:b w:val="0"/>
                <w:sz w:val="17"/>
              </w:rPr>
              <w:t>Communications / PR</w:t>
            </w:r>
          </w:p>
        </w:tc>
        <w:tc>
          <w:tcPr>
            <w:tcW w:type="dxa" w:w="6192"/>
            <w:vAlign w:val="center"/>
          </w:tcPr>
          <w:p>
            <w:pPr>
              <w:spacing w:after="20"/>
            </w:pPr>
            <w:r/>
            <w:r>
              <w:rPr>
                <w:b w:val="0"/>
                <w:sz w:val="17"/>
              </w:rPr>
              <w:t>Prepares approved internal and external statements; monitors rumor and customer questions.</w:t>
            </w:r>
          </w:p>
        </w:tc>
        <w:tc>
          <w:tcPr>
            <w:tcW w:type="dxa" w:w="2592"/>
            <w:vAlign w:val="center"/>
          </w:tcPr>
          <w:p>
            <w:pPr>
              <w:spacing w:after="20"/>
            </w:pPr>
            <w:r/>
            <w:r>
              <w:rPr>
                <w:b w:val="0"/>
                <w:sz w:val="17"/>
              </w:rPr>
              <w:t>Only designated spokesperson releases public information.</w:t>
            </w:r>
          </w:p>
        </w:tc>
      </w:tr>
      <w:tr>
        <w:tc>
          <w:tcPr>
            <w:tcW w:type="dxa" w:w="2088"/>
            <w:vAlign w:val="center"/>
            <w:shd w:fill="F1F6F8"/>
          </w:tcPr>
          <w:p>
            <w:pPr>
              <w:spacing w:after="20"/>
            </w:pPr>
            <w:r/>
            <w:r>
              <w:rPr>
                <w:b w:val="0"/>
                <w:sz w:val="17"/>
              </w:rPr>
              <w:t>Business continuity lead</w:t>
            </w:r>
          </w:p>
        </w:tc>
        <w:tc>
          <w:tcPr>
            <w:tcW w:type="dxa" w:w="6192"/>
            <w:vAlign w:val="center"/>
            <w:shd w:fill="F1F6F8"/>
          </w:tcPr>
          <w:p>
            <w:pPr>
              <w:spacing w:after="20"/>
            </w:pPr>
            <w:r/>
            <w:r>
              <w:rPr>
                <w:b w:val="0"/>
                <w:sz w:val="17"/>
              </w:rPr>
              <w:t>Prioritizes essential processes, alternate workflows, recovery dependencies and business impact.</w:t>
            </w:r>
          </w:p>
        </w:tc>
        <w:tc>
          <w:tcPr>
            <w:tcW w:type="dxa" w:w="2592"/>
            <w:vAlign w:val="center"/>
            <w:shd w:fill="F1F6F8"/>
          </w:tcPr>
          <w:p>
            <w:pPr>
              <w:spacing w:after="20"/>
            </w:pPr>
            <w:r/>
            <w:r>
              <w:rPr>
                <w:b w:val="0"/>
                <w:sz w:val="17"/>
              </w:rPr>
              <w:t>Coordinate with department leaders.</w:t>
            </w:r>
          </w:p>
        </w:tc>
      </w:tr>
      <w:tr>
        <w:tc>
          <w:tcPr>
            <w:tcW w:type="dxa" w:w="2088"/>
            <w:vAlign w:val="center"/>
          </w:tcPr>
          <w:p>
            <w:pPr>
              <w:spacing w:after="20"/>
            </w:pPr>
            <w:r/>
            <w:r>
              <w:rPr>
                <w:b w:val="0"/>
                <w:sz w:val="17"/>
              </w:rPr>
              <w:t>HR / facilities</w:t>
            </w:r>
          </w:p>
        </w:tc>
        <w:tc>
          <w:tcPr>
            <w:tcW w:type="dxa" w:w="6192"/>
            <w:vAlign w:val="center"/>
          </w:tcPr>
          <w:p>
            <w:pPr>
              <w:spacing w:after="20"/>
            </w:pPr>
            <w:r/>
            <w:r>
              <w:rPr>
                <w:b w:val="0"/>
                <w:sz w:val="17"/>
              </w:rPr>
              <w:t>Supports insider-threat cases, staff safety, access badges and employee communications when relevant.</w:t>
            </w:r>
          </w:p>
        </w:tc>
        <w:tc>
          <w:tcPr>
            <w:tcW w:type="dxa" w:w="2592"/>
            <w:vAlign w:val="center"/>
          </w:tcPr>
          <w:p>
            <w:pPr>
              <w:spacing w:after="20"/>
            </w:pPr>
            <w:r/>
            <w:r>
              <w:rPr>
                <w:b w:val="0"/>
                <w:sz w:val="17"/>
              </w:rPr>
              <w:t>Maintain confidentiality and due process.</w:t>
            </w:r>
          </w:p>
        </w:tc>
      </w:tr>
      <w:tr>
        <w:tc>
          <w:tcPr>
            <w:tcW w:type="dxa" w:w="2088"/>
            <w:vAlign w:val="center"/>
            <w:shd w:fill="F1F6F8"/>
          </w:tcPr>
          <w:p>
            <w:pPr>
              <w:spacing w:after="20"/>
            </w:pPr>
            <w:r/>
            <w:r>
              <w:rPr>
                <w:b w:val="0"/>
                <w:sz w:val="17"/>
              </w:rPr>
              <w:t>Vendor / third-party manager</w:t>
            </w:r>
          </w:p>
        </w:tc>
        <w:tc>
          <w:tcPr>
            <w:tcW w:type="dxa" w:w="6192"/>
            <w:vAlign w:val="center"/>
            <w:shd w:fill="F1F6F8"/>
          </w:tcPr>
          <w:p>
            <w:pPr>
              <w:spacing w:after="20"/>
            </w:pPr>
            <w:r/>
            <w:r>
              <w:rPr>
                <w:b w:val="0"/>
                <w:sz w:val="17"/>
              </w:rPr>
              <w:t>Contacts cloud, telecom, payment, MSSP and supplier support; tracks vendor actions and contractual notices.</w:t>
            </w:r>
          </w:p>
        </w:tc>
        <w:tc>
          <w:tcPr>
            <w:tcW w:type="dxa" w:w="2592"/>
            <w:vAlign w:val="center"/>
            <w:shd w:fill="F1F6F8"/>
          </w:tcPr>
          <w:p>
            <w:pPr>
              <w:spacing w:after="20"/>
            </w:pPr>
            <w:r/>
            <w:r>
              <w:rPr>
                <w:b w:val="0"/>
                <w:sz w:val="17"/>
              </w:rPr>
              <w:t>Use verified vendor support channels.</w:t>
            </w:r>
          </w:p>
        </w:tc>
      </w:tr>
      <w:tr>
        <w:tc>
          <w:tcPr>
            <w:tcW w:type="dxa" w:w="2088"/>
            <w:vAlign w:val="center"/>
          </w:tcPr>
          <w:p>
            <w:pPr>
              <w:spacing w:after="20"/>
            </w:pPr>
            <w:r/>
            <w:r>
              <w:rPr>
                <w:b w:val="0"/>
                <w:sz w:val="17"/>
              </w:rPr>
              <w:t>Incident scribe</w:t>
            </w:r>
          </w:p>
        </w:tc>
        <w:tc>
          <w:tcPr>
            <w:tcW w:type="dxa" w:w="6192"/>
            <w:vAlign w:val="center"/>
          </w:tcPr>
          <w:p>
            <w:pPr>
              <w:spacing w:after="20"/>
            </w:pPr>
            <w:r/>
            <w:r>
              <w:rPr>
                <w:b w:val="0"/>
                <w:sz w:val="17"/>
              </w:rPr>
              <w:t>Maintains timeline, action log, decisions, evidence references and status notes.</w:t>
            </w:r>
          </w:p>
        </w:tc>
        <w:tc>
          <w:tcPr>
            <w:tcW w:type="dxa" w:w="2592"/>
            <w:vAlign w:val="center"/>
          </w:tcPr>
          <w:p>
            <w:pPr>
              <w:spacing w:after="20"/>
            </w:pPr>
            <w:r/>
            <w:r>
              <w:rPr>
                <w:b w:val="0"/>
                <w:sz w:val="17"/>
              </w:rPr>
              <w:t>Can be combined with another role for small incidents.</w:t>
            </w:r>
          </w:p>
        </w:tc>
      </w:tr>
    </w:tbl>
    <w:p/>
    <w:p>
      <w:pPr>
        <w:pStyle w:val="Heading2"/>
      </w:pPr>
      <w:r>
        <w:t>5.1 Authority and Decision Rights</w:t>
      </w:r>
    </w:p>
    <w:p>
      <w:pPr>
        <w:pStyle w:val="ListBullet"/>
        <w:spacing w:after="40"/>
      </w:pPr>
      <w:r>
        <w:t>The IC may initiate pre-approved containment actions within the organization’s change and emergency procedures.</w:t>
      </w:r>
    </w:p>
    <w:p>
      <w:pPr>
        <w:pStyle w:val="ListBullet"/>
        <w:spacing w:after="40"/>
      </w:pPr>
      <w:r>
        <w:t>Actions that may interrupt critical services, affect safety, destroy data or alter production systems require system-owner and business-continuity consultation unless delay presents a greater immediate risk.</w:t>
      </w:r>
    </w:p>
    <w:p>
      <w:pPr>
        <w:pStyle w:val="ListBullet"/>
        <w:spacing w:after="40"/>
      </w:pPr>
      <w:r>
        <w:t>Legal counsel and privacy leadership advise on notification obligations; executives approve public statements through the designated communications process.</w:t>
      </w:r>
    </w:p>
    <w:p>
      <w:pPr>
        <w:pStyle w:val="ListBullet"/>
        <w:spacing w:after="40"/>
      </w:pPr>
      <w:r>
        <w:t>Any responder may report a suspected incident without needing proof. The security team validates and triages the report.</w:t>
      </w:r>
    </w:p>
    <w:p>
      <w:pPr>
        <w:pStyle w:val="ListBullet"/>
        <w:spacing w:after="40"/>
      </w:pPr>
      <w:r>
        <w:t>External incident-response firms, insurers, regulators and law enforcement are engaged according to approved contacts and legal guidance.</w:t>
      </w:r>
    </w:p>
    <w:p>
      <w:pPr>
        <w:pStyle w:val="Heading2"/>
      </w:pPr>
      <w:r>
        <w:t>5.2 Contact Directory</w:t>
      </w:r>
    </w:p>
    <w:p>
      <w:r>
        <w:t>Maintain a separate, access-controlled contact directory containing primary and alternate contacts, mobile numbers, secure messaging details, vendor support information, insurer contacts, legal counsel and relevant authority reporting channels. Verify it quarterly and keep an offline copy accessible if email or identity services are unavailable. Do not publish real contact details in a broadly shared copy of this plan.</w:t>
      </w:r>
    </w:p>
    <w:p>
      <w:pPr>
        <w:pStyle w:val="Heading1"/>
      </w:pPr>
      <w:r>
        <w:t>6. Preparation and Readiness</w:t>
      </w:r>
    </w:p>
    <w:p>
      <w:pPr>
        <w:pStyle w:val="Heading2"/>
      </w:pPr>
      <w:r>
        <w:t>6.1 Essential Capabilities</w:t>
      </w:r>
    </w:p>
    <w:p>
      <w:pPr>
        <w:pStyle w:val="ListBullet"/>
        <w:spacing w:after="40"/>
      </w:pPr>
      <w:r>
        <w:t>Asset inventory and ownership: identify critical systems, data stores, identity platforms, dependencies and business owners.</w:t>
      </w:r>
    </w:p>
    <w:p>
      <w:pPr>
        <w:pStyle w:val="ListBullet"/>
        <w:spacing w:after="40"/>
      </w:pPr>
      <w:r>
        <w:t>Logging and monitoring: centralize identity, endpoint, network, cloud, email and application logs; protect logs from tampering and define retention.</w:t>
      </w:r>
    </w:p>
    <w:p>
      <w:pPr>
        <w:pStyle w:val="ListBullet"/>
        <w:spacing w:after="40"/>
      </w:pPr>
      <w:r>
        <w:t>Endpoint and network controls: maintain endpoint detection and response, firewall rules, secure remote access and network segmentation.</w:t>
      </w:r>
    </w:p>
    <w:p>
      <w:pPr>
        <w:pStyle w:val="ListBullet"/>
        <w:spacing w:after="40"/>
      </w:pPr>
      <w:r>
        <w:t>Identity security: require MFA, separate administrator accounts, review privileged access and establish emergency account procedures.</w:t>
      </w:r>
    </w:p>
    <w:p>
      <w:pPr>
        <w:pStyle w:val="ListBullet"/>
        <w:spacing w:after="40"/>
      </w:pPr>
      <w:r>
        <w:t>Vulnerability management: prioritize known exploited vulnerabilities and internet-facing systems; define emergency patching.</w:t>
      </w:r>
    </w:p>
    <w:p>
      <w:pPr>
        <w:pStyle w:val="ListBullet"/>
        <w:spacing w:after="40"/>
      </w:pPr>
      <w:r>
        <w:t>Backups: maintain encrypted, access-controlled and preferably immutable or offline backups; test restoration regularly.</w:t>
      </w:r>
    </w:p>
    <w:p>
      <w:pPr>
        <w:pStyle w:val="ListBullet"/>
        <w:spacing w:after="40"/>
      </w:pPr>
      <w:r>
        <w:t>Evidence readiness: pre-stage approved forensic tools, secure evidence storage, time synchronization and collection procedures.</w:t>
      </w:r>
    </w:p>
    <w:p>
      <w:pPr>
        <w:pStyle w:val="ListBullet"/>
        <w:spacing w:after="40"/>
      </w:pPr>
      <w:r>
        <w:t>Communication resilience: prepare out-of-band communications that remain available if corporate email, chat or identity systems are compromised.</w:t>
      </w:r>
    </w:p>
    <w:p>
      <w:pPr>
        <w:pStyle w:val="ListBullet"/>
        <w:spacing w:after="40"/>
      </w:pPr>
      <w:r>
        <w:t>Vendor readiness: know how to contact providers and what evidence, log exports and response support they can supply.</w:t>
      </w:r>
    </w:p>
    <w:p>
      <w:pPr>
        <w:pStyle w:val="ListBullet"/>
        <w:spacing w:after="40"/>
      </w:pPr>
      <w:r>
        <w:t>Training: teach employees how to report suspicious activity and run exercises for technical and non-technical teams.</w:t>
      </w:r>
    </w:p>
    <w:p>
      <w:pPr>
        <w:pStyle w:val="Heading2"/>
      </w:pPr>
      <w:r>
        <w:t>6.2 Minimum Readiness Checklist</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872"/>
            <w:vAlign w:val="center"/>
            <w:shd w:fill="15304B"/>
          </w:tcPr>
          <w:p>
            <w:pPr>
              <w:spacing w:after="20"/>
            </w:pPr>
            <w:r/>
            <w:r>
              <w:rPr>
                <w:b/>
                <w:color w:val="FFFFFF"/>
                <w:sz w:val="18"/>
              </w:rPr>
              <w:t>Control</w:t>
            </w:r>
          </w:p>
        </w:tc>
        <w:tc>
          <w:tcPr>
            <w:tcW w:type="dxa" w:w="4752"/>
            <w:vAlign w:val="center"/>
            <w:shd w:fill="15304B"/>
          </w:tcPr>
          <w:p>
            <w:pPr>
              <w:spacing w:after="20"/>
            </w:pPr>
            <w:r/>
            <w:r>
              <w:rPr>
                <w:b/>
                <w:color w:val="FFFFFF"/>
                <w:sz w:val="18"/>
              </w:rPr>
              <w:t>Minimum expectation</w:t>
            </w:r>
          </w:p>
        </w:tc>
        <w:tc>
          <w:tcPr>
            <w:tcW w:type="dxa" w:w="1944"/>
            <w:vAlign w:val="center"/>
            <w:shd w:fill="15304B"/>
          </w:tcPr>
          <w:p>
            <w:pPr>
              <w:spacing w:after="20"/>
            </w:pPr>
            <w:r/>
            <w:r>
              <w:rPr>
                <w:b/>
                <w:color w:val="FFFFFF"/>
                <w:sz w:val="18"/>
              </w:rPr>
              <w:t>Owner</w:t>
            </w:r>
          </w:p>
        </w:tc>
        <w:tc>
          <w:tcPr>
            <w:tcW w:type="dxa" w:w="2304"/>
            <w:vAlign w:val="center"/>
            <w:shd w:fill="15304B"/>
          </w:tcPr>
          <w:p>
            <w:pPr>
              <w:spacing w:after="20"/>
            </w:pPr>
            <w:r/>
            <w:r>
              <w:rPr>
                <w:b/>
                <w:color w:val="FFFFFF"/>
                <w:sz w:val="18"/>
              </w:rPr>
              <w:t>Review frequency</w:t>
            </w:r>
          </w:p>
        </w:tc>
      </w:tr>
      <w:tr>
        <w:tc>
          <w:tcPr>
            <w:tcW w:type="dxa" w:w="1872"/>
            <w:vAlign w:val="center"/>
            <w:shd w:fill="F1F6F8"/>
          </w:tcPr>
          <w:p>
            <w:pPr>
              <w:spacing w:after="20"/>
            </w:pPr>
            <w:r/>
            <w:r>
              <w:rPr>
                <w:b w:val="0"/>
                <w:sz w:val="17"/>
              </w:rPr>
              <w:t>Asset inventory</w:t>
            </w:r>
          </w:p>
        </w:tc>
        <w:tc>
          <w:tcPr>
            <w:tcW w:type="dxa" w:w="4752"/>
            <w:vAlign w:val="center"/>
            <w:shd w:fill="F1F6F8"/>
          </w:tcPr>
          <w:p>
            <w:pPr>
              <w:spacing w:after="20"/>
            </w:pPr>
            <w:r/>
            <w:r>
              <w:rPr>
                <w:b w:val="0"/>
                <w:sz w:val="17"/>
              </w:rPr>
              <w:t>Critical assets and owners documented</w:t>
            </w:r>
          </w:p>
        </w:tc>
        <w:tc>
          <w:tcPr>
            <w:tcW w:type="dxa" w:w="1944"/>
            <w:vAlign w:val="center"/>
            <w:shd w:fill="F1F6F8"/>
          </w:tcPr>
          <w:p>
            <w:pPr>
              <w:spacing w:after="20"/>
            </w:pPr>
            <w:r/>
            <w:r>
              <w:rPr>
                <w:b w:val="0"/>
                <w:sz w:val="17"/>
              </w:rPr>
              <w:t>IT asset owner</w:t>
            </w:r>
          </w:p>
        </w:tc>
        <w:tc>
          <w:tcPr>
            <w:tcW w:type="dxa" w:w="2304"/>
            <w:vAlign w:val="center"/>
            <w:shd w:fill="F1F6F8"/>
          </w:tcPr>
          <w:p>
            <w:pPr>
              <w:spacing w:after="20"/>
            </w:pPr>
            <w:r/>
            <w:r>
              <w:rPr>
                <w:b w:val="0"/>
                <w:sz w:val="17"/>
              </w:rPr>
              <w:t>Monthly / after major change</w:t>
            </w:r>
          </w:p>
        </w:tc>
      </w:tr>
      <w:tr>
        <w:tc>
          <w:tcPr>
            <w:tcW w:type="dxa" w:w="1872"/>
            <w:vAlign w:val="center"/>
          </w:tcPr>
          <w:p>
            <w:pPr>
              <w:spacing w:after="20"/>
            </w:pPr>
            <w:r/>
            <w:r>
              <w:rPr>
                <w:b w:val="0"/>
                <w:sz w:val="17"/>
              </w:rPr>
              <w:t>Logging</w:t>
            </w:r>
          </w:p>
        </w:tc>
        <w:tc>
          <w:tcPr>
            <w:tcW w:type="dxa" w:w="4752"/>
            <w:vAlign w:val="center"/>
          </w:tcPr>
          <w:p>
            <w:pPr>
              <w:spacing w:after="20"/>
            </w:pPr>
            <w:r/>
            <w:r>
              <w:rPr>
                <w:b w:val="0"/>
                <w:sz w:val="17"/>
              </w:rPr>
              <w:t>Identity, endpoint, email, cloud and firewall logs available</w:t>
            </w:r>
          </w:p>
        </w:tc>
        <w:tc>
          <w:tcPr>
            <w:tcW w:type="dxa" w:w="1944"/>
            <w:vAlign w:val="center"/>
          </w:tcPr>
          <w:p>
            <w:pPr>
              <w:spacing w:after="20"/>
            </w:pPr>
            <w:r/>
            <w:r>
              <w:rPr>
                <w:b w:val="0"/>
                <w:sz w:val="17"/>
              </w:rPr>
              <w:t>Security lead</w:t>
            </w:r>
          </w:p>
        </w:tc>
        <w:tc>
          <w:tcPr>
            <w:tcW w:type="dxa" w:w="2304"/>
            <w:vAlign w:val="center"/>
          </w:tcPr>
          <w:p>
            <w:pPr>
              <w:spacing w:after="20"/>
            </w:pPr>
            <w:r/>
            <w:r>
              <w:rPr>
                <w:b w:val="0"/>
                <w:sz w:val="17"/>
              </w:rPr>
              <w:t>Monthly</w:t>
            </w:r>
          </w:p>
        </w:tc>
      </w:tr>
      <w:tr>
        <w:tc>
          <w:tcPr>
            <w:tcW w:type="dxa" w:w="1872"/>
            <w:vAlign w:val="center"/>
            <w:shd w:fill="F1F6F8"/>
          </w:tcPr>
          <w:p>
            <w:pPr>
              <w:spacing w:after="20"/>
            </w:pPr>
            <w:r/>
            <w:r>
              <w:rPr>
                <w:b w:val="0"/>
                <w:sz w:val="17"/>
              </w:rPr>
              <w:t>Backups</w:t>
            </w:r>
          </w:p>
        </w:tc>
        <w:tc>
          <w:tcPr>
            <w:tcW w:type="dxa" w:w="4752"/>
            <w:vAlign w:val="center"/>
            <w:shd w:fill="F1F6F8"/>
          </w:tcPr>
          <w:p>
            <w:pPr>
              <w:spacing w:after="20"/>
            </w:pPr>
            <w:r/>
            <w:r>
              <w:rPr>
                <w:b w:val="0"/>
                <w:sz w:val="17"/>
              </w:rPr>
              <w:t>Recovery copies isolated from ordinary admin credentials</w:t>
            </w:r>
          </w:p>
        </w:tc>
        <w:tc>
          <w:tcPr>
            <w:tcW w:type="dxa" w:w="1944"/>
            <w:vAlign w:val="center"/>
            <w:shd w:fill="F1F6F8"/>
          </w:tcPr>
          <w:p>
            <w:pPr>
              <w:spacing w:after="20"/>
            </w:pPr>
            <w:r/>
            <w:r>
              <w:rPr>
                <w:b w:val="0"/>
                <w:sz w:val="17"/>
              </w:rPr>
              <w:t>IT operations</w:t>
            </w:r>
          </w:p>
        </w:tc>
        <w:tc>
          <w:tcPr>
            <w:tcW w:type="dxa" w:w="2304"/>
            <w:vAlign w:val="center"/>
            <w:shd w:fill="F1F6F8"/>
          </w:tcPr>
          <w:p>
            <w:pPr>
              <w:spacing w:after="20"/>
            </w:pPr>
            <w:r/>
            <w:r>
              <w:rPr>
                <w:b w:val="0"/>
                <w:sz w:val="17"/>
              </w:rPr>
              <w:t>Continuous; restore test quarterly</w:t>
            </w:r>
          </w:p>
        </w:tc>
      </w:tr>
      <w:tr>
        <w:tc>
          <w:tcPr>
            <w:tcW w:type="dxa" w:w="1872"/>
            <w:vAlign w:val="center"/>
          </w:tcPr>
          <w:p>
            <w:pPr>
              <w:spacing w:after="20"/>
            </w:pPr>
            <w:r/>
            <w:r>
              <w:rPr>
                <w:b w:val="0"/>
                <w:sz w:val="17"/>
              </w:rPr>
              <w:t>MFA</w:t>
            </w:r>
          </w:p>
        </w:tc>
        <w:tc>
          <w:tcPr>
            <w:tcW w:type="dxa" w:w="4752"/>
            <w:vAlign w:val="center"/>
          </w:tcPr>
          <w:p>
            <w:pPr>
              <w:spacing w:after="20"/>
            </w:pPr>
            <w:r/>
            <w:r>
              <w:rPr>
                <w:b w:val="0"/>
                <w:sz w:val="17"/>
              </w:rPr>
              <w:t>Enabled for email, VPN, cloud admin and privileged access</w:t>
            </w:r>
          </w:p>
        </w:tc>
        <w:tc>
          <w:tcPr>
            <w:tcW w:type="dxa" w:w="1944"/>
            <w:vAlign w:val="center"/>
          </w:tcPr>
          <w:p>
            <w:pPr>
              <w:spacing w:after="20"/>
            </w:pPr>
            <w:r/>
            <w:r>
              <w:rPr>
                <w:b w:val="0"/>
                <w:sz w:val="17"/>
              </w:rPr>
              <w:t>Identity team</w:t>
            </w:r>
          </w:p>
        </w:tc>
        <w:tc>
          <w:tcPr>
            <w:tcW w:type="dxa" w:w="2304"/>
            <w:vAlign w:val="center"/>
          </w:tcPr>
          <w:p>
            <w:pPr>
              <w:spacing w:after="20"/>
            </w:pPr>
            <w:r/>
            <w:r>
              <w:rPr>
                <w:b w:val="0"/>
                <w:sz w:val="17"/>
              </w:rPr>
              <w:t>Monthly exception review</w:t>
            </w:r>
          </w:p>
        </w:tc>
      </w:tr>
      <w:tr>
        <w:tc>
          <w:tcPr>
            <w:tcW w:type="dxa" w:w="1872"/>
            <w:vAlign w:val="center"/>
            <w:shd w:fill="F1F6F8"/>
          </w:tcPr>
          <w:p>
            <w:pPr>
              <w:spacing w:after="20"/>
            </w:pPr>
            <w:r/>
            <w:r>
              <w:rPr>
                <w:b w:val="0"/>
                <w:sz w:val="17"/>
              </w:rPr>
              <w:t>Incident contacts</w:t>
            </w:r>
          </w:p>
        </w:tc>
        <w:tc>
          <w:tcPr>
            <w:tcW w:type="dxa" w:w="4752"/>
            <w:vAlign w:val="center"/>
            <w:shd w:fill="F1F6F8"/>
          </w:tcPr>
          <w:p>
            <w:pPr>
              <w:spacing w:after="20"/>
            </w:pPr>
            <w:r/>
            <w:r>
              <w:rPr>
                <w:b w:val="0"/>
                <w:sz w:val="17"/>
              </w:rPr>
              <w:t>Primary and alternate contacts verified</w:t>
            </w:r>
          </w:p>
        </w:tc>
        <w:tc>
          <w:tcPr>
            <w:tcW w:type="dxa" w:w="1944"/>
            <w:vAlign w:val="center"/>
            <w:shd w:fill="F1F6F8"/>
          </w:tcPr>
          <w:p>
            <w:pPr>
              <w:spacing w:after="20"/>
            </w:pPr>
            <w:r/>
            <w:r>
              <w:rPr>
                <w:b w:val="0"/>
                <w:sz w:val="17"/>
              </w:rPr>
              <w:t>IC / security lead</w:t>
            </w:r>
          </w:p>
        </w:tc>
        <w:tc>
          <w:tcPr>
            <w:tcW w:type="dxa" w:w="2304"/>
            <w:vAlign w:val="center"/>
            <w:shd w:fill="F1F6F8"/>
          </w:tcPr>
          <w:p>
            <w:pPr>
              <w:spacing w:after="20"/>
            </w:pPr>
            <w:r/>
            <w:r>
              <w:rPr>
                <w:b w:val="0"/>
                <w:sz w:val="17"/>
              </w:rPr>
              <w:t>Quarterly</w:t>
            </w:r>
          </w:p>
        </w:tc>
      </w:tr>
      <w:tr>
        <w:tc>
          <w:tcPr>
            <w:tcW w:type="dxa" w:w="1872"/>
            <w:vAlign w:val="center"/>
          </w:tcPr>
          <w:p>
            <w:pPr>
              <w:spacing w:after="20"/>
            </w:pPr>
            <w:r/>
            <w:r>
              <w:rPr>
                <w:b w:val="0"/>
                <w:sz w:val="17"/>
              </w:rPr>
              <w:t>Response procedures</w:t>
            </w:r>
          </w:p>
        </w:tc>
        <w:tc>
          <w:tcPr>
            <w:tcW w:type="dxa" w:w="4752"/>
            <w:vAlign w:val="center"/>
          </w:tcPr>
          <w:p>
            <w:pPr>
              <w:spacing w:after="20"/>
            </w:pPr>
            <w:r/>
            <w:r>
              <w:rPr>
                <w:b w:val="0"/>
                <w:sz w:val="17"/>
              </w:rPr>
              <w:t>Approved playbooks and emergency actions available offline</w:t>
            </w:r>
          </w:p>
        </w:tc>
        <w:tc>
          <w:tcPr>
            <w:tcW w:type="dxa" w:w="1944"/>
            <w:vAlign w:val="center"/>
          </w:tcPr>
          <w:p>
            <w:pPr>
              <w:spacing w:after="20"/>
            </w:pPr>
            <w:r/>
            <w:r>
              <w:rPr>
                <w:b w:val="0"/>
                <w:sz w:val="17"/>
              </w:rPr>
              <w:t>Security lead</w:t>
            </w:r>
          </w:p>
        </w:tc>
        <w:tc>
          <w:tcPr>
            <w:tcW w:type="dxa" w:w="2304"/>
            <w:vAlign w:val="center"/>
          </w:tcPr>
          <w:p>
            <w:pPr>
              <w:spacing w:after="20"/>
            </w:pPr>
            <w:r/>
            <w:r>
              <w:rPr>
                <w:b w:val="0"/>
                <w:sz w:val="17"/>
              </w:rPr>
              <w:t>Semi-annually</w:t>
            </w:r>
          </w:p>
        </w:tc>
      </w:tr>
      <w:tr>
        <w:tc>
          <w:tcPr>
            <w:tcW w:type="dxa" w:w="1872"/>
            <w:vAlign w:val="center"/>
            <w:shd w:fill="F1F6F8"/>
          </w:tcPr>
          <w:p>
            <w:pPr>
              <w:spacing w:after="20"/>
            </w:pPr>
            <w:r/>
            <w:r>
              <w:rPr>
                <w:b w:val="0"/>
                <w:sz w:val="17"/>
              </w:rPr>
              <w:t>Vendor coordination</w:t>
            </w:r>
          </w:p>
        </w:tc>
        <w:tc>
          <w:tcPr>
            <w:tcW w:type="dxa" w:w="4752"/>
            <w:vAlign w:val="center"/>
            <w:shd w:fill="F1F6F8"/>
          </w:tcPr>
          <w:p>
            <w:pPr>
              <w:spacing w:after="20"/>
            </w:pPr>
            <w:r/>
            <w:r>
              <w:rPr>
                <w:b w:val="0"/>
                <w:sz w:val="17"/>
              </w:rPr>
              <w:t>Support contracts, escalation routes and obligations documented</w:t>
            </w:r>
          </w:p>
        </w:tc>
        <w:tc>
          <w:tcPr>
            <w:tcW w:type="dxa" w:w="1944"/>
            <w:vAlign w:val="center"/>
            <w:shd w:fill="F1F6F8"/>
          </w:tcPr>
          <w:p>
            <w:pPr>
              <w:spacing w:after="20"/>
            </w:pPr>
            <w:r/>
            <w:r>
              <w:rPr>
                <w:b w:val="0"/>
                <w:sz w:val="17"/>
              </w:rPr>
              <w:t>Vendor manager</w:t>
            </w:r>
          </w:p>
        </w:tc>
        <w:tc>
          <w:tcPr>
            <w:tcW w:type="dxa" w:w="2304"/>
            <w:vAlign w:val="center"/>
            <w:shd w:fill="F1F6F8"/>
          </w:tcPr>
          <w:p>
            <w:pPr>
              <w:spacing w:after="20"/>
            </w:pPr>
            <w:r/>
            <w:r>
              <w:rPr>
                <w:b w:val="0"/>
                <w:sz w:val="17"/>
              </w:rPr>
              <w:t>Quarterly</w:t>
            </w:r>
          </w:p>
        </w:tc>
      </w:tr>
      <w:tr>
        <w:tc>
          <w:tcPr>
            <w:tcW w:type="dxa" w:w="1872"/>
            <w:vAlign w:val="center"/>
          </w:tcPr>
          <w:p>
            <w:pPr>
              <w:spacing w:after="20"/>
            </w:pPr>
            <w:r/>
            <w:r>
              <w:rPr>
                <w:b w:val="0"/>
                <w:sz w:val="17"/>
              </w:rPr>
              <w:t>Exercises</w:t>
            </w:r>
          </w:p>
        </w:tc>
        <w:tc>
          <w:tcPr>
            <w:tcW w:type="dxa" w:w="4752"/>
            <w:vAlign w:val="center"/>
          </w:tcPr>
          <w:p>
            <w:pPr>
              <w:spacing w:after="20"/>
            </w:pPr>
            <w:r/>
            <w:r>
              <w:rPr>
                <w:b w:val="0"/>
                <w:sz w:val="17"/>
              </w:rPr>
              <w:t>Tabletop plus technical validation performed</w:t>
            </w:r>
          </w:p>
        </w:tc>
        <w:tc>
          <w:tcPr>
            <w:tcW w:type="dxa" w:w="1944"/>
            <w:vAlign w:val="center"/>
          </w:tcPr>
          <w:p>
            <w:pPr>
              <w:spacing w:after="20"/>
            </w:pPr>
            <w:r/>
            <w:r>
              <w:rPr>
                <w:b w:val="0"/>
                <w:sz w:val="17"/>
              </w:rPr>
              <w:t>Security lead</w:t>
            </w:r>
          </w:p>
        </w:tc>
        <w:tc>
          <w:tcPr>
            <w:tcW w:type="dxa" w:w="2304"/>
            <w:vAlign w:val="center"/>
          </w:tcPr>
          <w:p>
            <w:pPr>
              <w:spacing w:after="20"/>
            </w:pPr>
            <w:r/>
            <w:r>
              <w:rPr>
                <w:b w:val="0"/>
                <w:sz w:val="17"/>
              </w:rPr>
              <w:t>At least annually</w:t>
            </w:r>
          </w:p>
        </w:tc>
      </w:tr>
    </w:tbl>
    <w:p/>
    <w:p>
      <w:pPr>
        <w:pStyle w:val="Heading2"/>
      </w:pPr>
      <w:r>
        <w:t>6.3 Pre-Approved Emergency Actions</w:t>
      </w:r>
    </w:p>
    <w:p>
      <w:r>
        <w:t>Before an incident, leadership should authorize a bounded list of emergency actions such as disabling a compromised account, revoking sessions and tokens, isolating a non-critical endpoint, blocking a confirmed malicious domain, or temporarily disabling a compromised remote-access path. Each action must include approval authority, rollback conditions, logging requirements and escalation rules. Do not pre-authorize broad shutdowns that could create safety or major business risks without a documented decision path.</w:t>
      </w:r>
    </w:p>
    <w:p>
      <w:pPr>
        <w:pStyle w:val="Heading1"/>
      </w:pPr>
      <w:r>
        <w:t>7. Incident Response Lifecycle</w:t>
      </w:r>
    </w:p>
    <w:p>
      <w:r>
        <w:t>The response lifecycle is iterative rather than strictly linear. New evidence may require responders to return to analysis, expand containment or revise recovery plans. The phases below provide a consistent structure for coordination and documentation.</w:t>
      </w:r>
    </w:p>
    <w:p>
      <w:pPr>
        <w:pStyle w:val="Heading2"/>
      </w:pPr>
      <w:r>
        <w:t>7.1 Phase 1 — Preparation</w:t>
      </w:r>
    </w:p>
    <w:p>
      <w:pPr>
        <w:pStyle w:val="ListNumber"/>
        <w:spacing w:after="40"/>
      </w:pPr>
      <w:r>
        <w:t>Confirm incident roles, on-call coverage, escalation paths and out-of-band communications.</w:t>
      </w:r>
    </w:p>
    <w:p>
      <w:pPr>
        <w:pStyle w:val="ListNumber"/>
        <w:spacing w:after="40"/>
      </w:pPr>
      <w:r>
        <w:t>Maintain an up-to-date inventory of assets, data types, system dependencies and business priorities.</w:t>
      </w:r>
    </w:p>
    <w:p>
      <w:pPr>
        <w:pStyle w:val="ListNumber"/>
        <w:spacing w:after="40"/>
      </w:pPr>
      <w:r>
        <w:t>Validate monitoring coverage, alert routing, endpoint isolation capability and identity revocation procedures.</w:t>
      </w:r>
    </w:p>
    <w:p>
      <w:pPr>
        <w:pStyle w:val="ListNumber"/>
        <w:spacing w:after="40"/>
      </w:pPr>
      <w:r>
        <w:t>Confirm backup integrity, restoration order and access controls for backup infrastructure.</w:t>
      </w:r>
    </w:p>
    <w:p>
      <w:pPr>
        <w:pStyle w:val="ListNumber"/>
        <w:spacing w:after="40"/>
      </w:pPr>
      <w:r>
        <w:t>Prepare forms, evidence bags or secure storage, incident channels, status templates and legal/vendor contacts.</w:t>
      </w:r>
    </w:p>
    <w:p>
      <w:pPr>
        <w:pStyle w:val="ListNumber"/>
        <w:spacing w:after="40"/>
      </w:pPr>
      <w:r>
        <w:t>Run training and exercises; track gaps, owners and due dates.</w:t>
      </w:r>
    </w:p>
    <w:p>
      <w:pPr>
        <w:pStyle w:val="Heading2"/>
      </w:pPr>
      <w:r>
        <w:t>7.2 Phase 2 — Detection and Reporting</w:t>
      </w:r>
    </w:p>
    <w:p>
      <w:pPr>
        <w:pStyle w:val="ListNumber"/>
        <w:spacing w:after="40"/>
      </w:pPr>
      <w:r>
        <w:t>Accept reports from monitoring tools, employees, customers, vendors, law enforcement or external researchers.</w:t>
      </w:r>
    </w:p>
    <w:p>
      <w:pPr>
        <w:pStyle w:val="ListNumber"/>
        <w:spacing w:after="40"/>
      </w:pPr>
      <w:r>
        <w:t>Create a unique incident ID and record the time reported, reporter, affected asset/account, observed behavior and immediate business impact.</w:t>
      </w:r>
    </w:p>
    <w:p>
      <w:pPr>
        <w:pStyle w:val="ListNumber"/>
        <w:spacing w:after="40"/>
      </w:pPr>
      <w:r>
        <w:t>Preserve the original alert, message, URL, file hash, screenshot or log reference where safe; do not forward suspicious attachments to others.</w:t>
      </w:r>
    </w:p>
    <w:p>
      <w:pPr>
        <w:pStyle w:val="ListNumber"/>
        <w:spacing w:after="40"/>
      </w:pPr>
      <w:r>
        <w:t>Validate the signal using trusted telemetry and corroborating sources. Do not delay containment when credible evidence indicates active harm.</w:t>
      </w:r>
    </w:p>
    <w:p>
      <w:pPr>
        <w:pStyle w:val="ListNumber"/>
        <w:spacing w:after="40"/>
      </w:pPr>
      <w:r>
        <w:t>Assign an initial severity and incident lead; notify the appropriate response roles.</w:t>
      </w:r>
    </w:p>
    <w:p>
      <w:pPr>
        <w:pStyle w:val="ListNumber"/>
        <w:spacing w:after="40"/>
      </w:pPr>
      <w:r>
        <w:t>Record what is known, unknown and assumed. Keep hypotheses clearly labeled.</w:t>
      </w:r>
    </w:p>
    <w:p>
      <w:pPr>
        <w:pStyle w:val="Heading2"/>
      </w:pPr>
      <w:r>
        <w:t>7.3 Phase 3 — Analysis and Scoping</w:t>
      </w:r>
    </w:p>
    <w:p>
      <w:pPr>
        <w:pStyle w:val="ListNumber"/>
        <w:spacing w:after="40"/>
      </w:pPr>
      <w:r>
        <w:t>Identify affected accounts, endpoints, servers, applications, cloud resources, network segments and third parties.</w:t>
      </w:r>
    </w:p>
    <w:p>
      <w:pPr>
        <w:pStyle w:val="ListNumber"/>
        <w:spacing w:after="40"/>
      </w:pPr>
      <w:r>
        <w:t>Determine whether attacker activity is ongoing; look for persistence, privilege escalation, lateral movement, data staging or exfiltration.</w:t>
      </w:r>
    </w:p>
    <w:p>
      <w:pPr>
        <w:pStyle w:val="ListNumber"/>
        <w:spacing w:after="40"/>
      </w:pPr>
      <w:r>
        <w:t>Establish a timeline from reliable timestamps and note time-zone differences or clock drift.</w:t>
      </w:r>
    </w:p>
    <w:p>
      <w:pPr>
        <w:pStyle w:val="ListNumber"/>
        <w:spacing w:after="40"/>
      </w:pPr>
      <w:r>
        <w:t>Review identity sign-ins, endpoint alerts, email traces, firewall/DNS/proxy records, cloud audit logs and relevant application logs.</w:t>
      </w:r>
    </w:p>
    <w:p>
      <w:pPr>
        <w:pStyle w:val="ListNumber"/>
        <w:spacing w:after="40"/>
      </w:pPr>
      <w:r>
        <w:t>Determine data sensitivity and likely business impact; involve privacy/legal specialists early if personal or regulated data may be involved.</w:t>
      </w:r>
    </w:p>
    <w:p>
      <w:pPr>
        <w:pStyle w:val="ListNumber"/>
        <w:spacing w:after="40"/>
      </w:pPr>
      <w:r>
        <w:t>Assess whether the incident is isolated or part of a wider campaign; use known indicators cautiously and validate context.</w:t>
      </w:r>
    </w:p>
    <w:p>
      <w:pPr>
        <w:pStyle w:val="ListNumber"/>
        <w:spacing w:after="40"/>
      </w:pPr>
      <w:r>
        <w:t>Update severity, scope and containment priorities as evidence changes.</w:t>
      </w:r>
    </w:p>
    <w:p>
      <w:pPr>
        <w:pStyle w:val="Heading2"/>
      </w:pPr>
      <w:r>
        <w:t>7.4 Phase 4 — Containment</w:t>
      </w:r>
    </w:p>
    <w:p>
      <w:r>
        <w:t>Containment aims to stop the immediate spread or impact while preserving the ability to investigate. Select the least disruptive effective action and document who approved it, when it occurred, what changed and how success will be verified.</w:t>
      </w:r>
    </w:p>
    <w:p>
      <w:pPr>
        <w:pStyle w:val="ListBullet"/>
        <w:spacing w:after="40"/>
      </w:pPr>
      <w:r>
        <w:t>Endpoint compromise: isolate the endpoint through EDR or network controls; preserve volatile evidence where trained responders can do so safely.</w:t>
      </w:r>
    </w:p>
    <w:p>
      <w:pPr>
        <w:pStyle w:val="ListBullet"/>
        <w:spacing w:after="40"/>
      </w:pPr>
      <w:r>
        <w:t>Account compromise: disable or restrict the account, revoke active sessions/tokens, reset credentials through a trusted device and inspect MFA methods and recovery settings.</w:t>
      </w:r>
    </w:p>
    <w:p>
      <w:pPr>
        <w:pStyle w:val="ListBullet"/>
        <w:spacing w:after="40"/>
      </w:pPr>
      <w:r>
        <w:t>Malicious email: remove matching messages where possible, block malicious senders/URLs, search for recipients and identify users who interacted with the content.</w:t>
      </w:r>
    </w:p>
    <w:p>
      <w:pPr>
        <w:pStyle w:val="ListBullet"/>
        <w:spacing w:after="40"/>
      </w:pPr>
      <w:r>
        <w:t>Cloud compromise: revoke suspicious sessions and keys, restrict affected roles, preserve audit logs and inspect persistence such as new service principals or access policies.</w:t>
      </w:r>
    </w:p>
    <w:p>
      <w:pPr>
        <w:pStyle w:val="ListBullet"/>
        <w:spacing w:after="40"/>
      </w:pPr>
      <w:r>
        <w:t>Ransomware: isolate affected hosts and segments; protect unaffected backups and management systems; avoid reconnecting systems until scope is understood.</w:t>
      </w:r>
    </w:p>
    <w:p>
      <w:pPr>
        <w:pStyle w:val="ListBullet"/>
        <w:spacing w:after="40"/>
      </w:pPr>
      <w:r>
        <w:t>Data exfiltration: restrict the relevant access path, preserve logs and coordinate with legal/privacy teams before external notifications.</w:t>
      </w:r>
    </w:p>
    <w:p>
      <w:pPr>
        <w:pStyle w:val="ListBullet"/>
        <w:spacing w:after="40"/>
      </w:pPr>
      <w:r>
        <w:t>DDoS: engage the ISP, CDN or DDoS provider; apply approved traffic controls while monitoring for collateral effects.</w:t>
      </w:r>
    </w:p>
    <w:p>
      <w:r>
        <w:t>Do not automatically power off every system. Power state, volatile memory and network isolation decisions depend on the threat, business impact and forensic needs. If immediate safety or destructive activity requires emergency action, prioritize safety and record the decision.</w:t>
      </w:r>
    </w:p>
    <w:p>
      <w:pPr>
        <w:pStyle w:val="Heading2"/>
      </w:pPr>
      <w:r>
        <w:t>7.5 Phase 5 — Eradication</w:t>
      </w:r>
    </w:p>
    <w:p>
      <w:pPr>
        <w:pStyle w:val="ListNumber"/>
        <w:spacing w:after="40"/>
      </w:pPr>
      <w:r>
        <w:t>Determine and remove the initial access mechanism, malware, persistence, unauthorized accounts, malicious rules and compromised credentials.</w:t>
      </w:r>
    </w:p>
    <w:p>
      <w:pPr>
        <w:pStyle w:val="ListNumber"/>
        <w:spacing w:after="40"/>
      </w:pPr>
      <w:r>
        <w:t>Patch exploited vulnerabilities and remove exposed services or unsafe configurations.</w:t>
      </w:r>
    </w:p>
    <w:p>
      <w:pPr>
        <w:pStyle w:val="ListNumber"/>
        <w:spacing w:after="40"/>
      </w:pPr>
      <w:r>
        <w:t>Rotate secrets, API keys, certificates and service credentials where compromise is possible; sequence changes to avoid breaking dependent systems.</w:t>
      </w:r>
    </w:p>
    <w:p>
      <w:pPr>
        <w:pStyle w:val="ListNumber"/>
        <w:spacing w:after="40"/>
      </w:pPr>
      <w:r>
        <w:t>Rebuild high-risk systems from trusted images when integrity cannot be established; do not rely solely on deleting visible malware.</w:t>
      </w:r>
    </w:p>
    <w:p>
      <w:pPr>
        <w:pStyle w:val="ListNumber"/>
        <w:spacing w:after="40"/>
      </w:pPr>
      <w:r>
        <w:t>Check for lateral movement and repeat compromise across related systems and accounts.</w:t>
      </w:r>
    </w:p>
    <w:p>
      <w:pPr>
        <w:pStyle w:val="ListNumber"/>
        <w:spacing w:after="40"/>
      </w:pPr>
      <w:r>
        <w:t>Validate the environment with updated detections, scans and log review before moving to recovery.</w:t>
      </w:r>
    </w:p>
    <w:p>
      <w:pPr>
        <w:pStyle w:val="Heading2"/>
      </w:pPr>
      <w:r>
        <w:t>7.6 Phase 6 — Recovery</w:t>
      </w:r>
    </w:p>
    <w:p>
      <w:pPr>
        <w:pStyle w:val="ListNumber"/>
        <w:spacing w:after="40"/>
      </w:pPr>
      <w:r>
        <w:t>Use clean, trusted backups or known-good images; confirm restoration points are not contaminated.</w:t>
      </w:r>
    </w:p>
    <w:p>
      <w:pPr>
        <w:pStyle w:val="ListNumber"/>
        <w:spacing w:after="40"/>
      </w:pPr>
      <w:r>
        <w:t>Restore in business-priority order: identity and security management, critical infrastructure, essential business applications, then lower-priority services.</w:t>
      </w:r>
    </w:p>
    <w:p>
      <w:pPr>
        <w:pStyle w:val="ListNumber"/>
        <w:spacing w:after="40"/>
      </w:pPr>
      <w:r>
        <w:t>Apply security patches, hardened configurations, MFA and least privilege before exposing restored systems to normal access.</w:t>
      </w:r>
    </w:p>
    <w:p>
      <w:pPr>
        <w:pStyle w:val="ListNumber"/>
        <w:spacing w:after="40"/>
      </w:pPr>
      <w:r>
        <w:t>Test functionality, data integrity, monitoring and security controls with system owners and business users.</w:t>
      </w:r>
    </w:p>
    <w:p>
      <w:pPr>
        <w:pStyle w:val="ListNumber"/>
        <w:spacing w:after="40"/>
      </w:pPr>
      <w:r>
        <w:t>Return systems to production in stages and monitor closely for reappearance of indicators or suspicious behavior.</w:t>
      </w:r>
    </w:p>
    <w:p>
      <w:pPr>
        <w:pStyle w:val="ListNumber"/>
        <w:spacing w:after="40"/>
      </w:pPr>
      <w:r>
        <w:t>Document the person authorizing restoration, the evidence reviewed and any residual risks accepted.</w:t>
      </w:r>
    </w:p>
    <w:p>
      <w:pPr>
        <w:pStyle w:val="Heading2"/>
      </w:pPr>
      <w:r>
        <w:t>7.7 Phase 7 — Post-Incident Review and Improvement</w:t>
      </w:r>
    </w:p>
    <w:p>
      <w:pPr>
        <w:pStyle w:val="ListNumber"/>
        <w:spacing w:after="40"/>
      </w:pPr>
      <w:r>
        <w:t>Hold a review as soon as practical after stabilization, preferably within 5–10 business days for significant incidents.</w:t>
      </w:r>
    </w:p>
    <w:p>
      <w:pPr>
        <w:pStyle w:val="ListNumber"/>
        <w:spacing w:after="40"/>
      </w:pPr>
      <w:r>
        <w:t>Build a timeline of key events, detections, decisions, communications, containment and recovery actions.</w:t>
      </w:r>
    </w:p>
    <w:p>
      <w:pPr>
        <w:pStyle w:val="ListNumber"/>
        <w:spacing w:after="40"/>
      </w:pPr>
      <w:r>
        <w:t>Identify root causes and contributing factors without assuming that one individual or control explains the whole event.</w:t>
      </w:r>
    </w:p>
    <w:p>
      <w:pPr>
        <w:pStyle w:val="ListNumber"/>
        <w:spacing w:after="40"/>
      </w:pPr>
      <w:r>
        <w:t>Compare response performance with targets; document delays, missing logs, unclear authority and vendor issues.</w:t>
      </w:r>
    </w:p>
    <w:p>
      <w:pPr>
        <w:pStyle w:val="ListNumber"/>
        <w:spacing w:after="40"/>
      </w:pPr>
      <w:r>
        <w:t>Create corrective actions with owners, deadlines, risk ratings and evidence of completion.</w:t>
      </w:r>
    </w:p>
    <w:p>
      <w:pPr>
        <w:pStyle w:val="ListNumber"/>
        <w:spacing w:after="40"/>
      </w:pPr>
      <w:r>
        <w:t>Update playbooks, detections, training, architecture and this plan; share appropriate threat indicators with trusted partners.</w:t>
      </w:r>
    </w:p>
    <w:p>
      <w:pPr>
        <w:pStyle w:val="Heading1"/>
      </w:pPr>
      <w:r>
        <w:t>8. Evidence Preservation and Investigation</w:t>
      </w:r>
    </w:p>
    <w:p>
      <w:pPr>
        <w:pStyle w:val="Heading2"/>
      </w:pPr>
      <w:r>
        <w:t>8.1 Evidence Handling Rules</w:t>
      </w:r>
    </w:p>
    <w:p>
      <w:pPr>
        <w:pStyle w:val="ListBullet"/>
        <w:spacing w:after="40"/>
      </w:pPr>
      <w:r>
        <w:t>Preserve evidence lawfully and only within authorized scope.</w:t>
      </w:r>
    </w:p>
    <w:p>
      <w:pPr>
        <w:pStyle w:val="ListBullet"/>
        <w:spacing w:after="40"/>
      </w:pPr>
      <w:r>
        <w:t>Record the collector, date/time, source system, collection method, tool/version, file name and integrity hash where appropriate.</w:t>
      </w:r>
    </w:p>
    <w:p>
      <w:pPr>
        <w:pStyle w:val="ListBullet"/>
        <w:spacing w:after="40"/>
      </w:pPr>
      <w:r>
        <w:t>Maintain an evidence register and chain-of-custody record for each item transferred or accessed.</w:t>
      </w:r>
    </w:p>
    <w:p>
      <w:pPr>
        <w:pStyle w:val="ListBullet"/>
        <w:spacing w:after="40"/>
      </w:pPr>
      <w:r>
        <w:t>Store copies in access-controlled, tamper-evident storage; restrict access to people with a legitimate response need.</w:t>
      </w:r>
    </w:p>
    <w:p>
      <w:pPr>
        <w:pStyle w:val="ListBullet"/>
        <w:spacing w:after="40"/>
      </w:pPr>
      <w:r>
        <w:t>Preserve original evidence where possible and perform analysis on verified copies.</w:t>
      </w:r>
    </w:p>
    <w:p>
      <w:pPr>
        <w:pStyle w:val="ListBullet"/>
        <w:spacing w:after="40"/>
      </w:pPr>
      <w:r>
        <w:t>Do not open suspicious files on ordinary workstations or upload confidential evidence to public scanning services without approval.</w:t>
      </w:r>
    </w:p>
    <w:p>
      <w:pPr>
        <w:pStyle w:val="ListBullet"/>
        <w:spacing w:after="40"/>
      </w:pPr>
      <w:r>
        <w:t>Coordinate with legal counsel when litigation, law-enforcement investigation, employment matters or contractual disputes may arise.</w:t>
      </w:r>
    </w:p>
    <w:p>
      <w:pPr>
        <w:pStyle w:val="Heading2"/>
      </w:pPr>
      <w:r>
        <w:t>8.2 Evidence Sources</w:t>
      </w:r>
    </w:p>
    <w:tbl>
      <w:tblPr>
        <w:tblStyle w:val="TableGrid"/>
        <w:tblW w:type="auto" w:w="0"/>
        <w:jc w:val="center"/>
        <w:tblLook w:firstColumn="1" w:firstRow="1" w:lastColumn="0" w:lastRow="0" w:noHBand="0" w:noVBand="1" w:val="04A0"/>
      </w:tblPr>
      <w:tblGrid>
        <w:gridCol w:w="3293"/>
        <w:gridCol w:w="3293"/>
        <w:gridCol w:w="3293"/>
      </w:tblGrid>
      <w:tr>
        <w:tc>
          <w:tcPr>
            <w:tcW w:type="dxa" w:w="1800"/>
            <w:vAlign w:val="center"/>
            <w:shd w:fill="15304B"/>
          </w:tcPr>
          <w:p>
            <w:pPr>
              <w:spacing w:after="20"/>
            </w:pPr>
            <w:r/>
            <w:r>
              <w:rPr>
                <w:b/>
                <w:color w:val="FFFFFF"/>
                <w:sz w:val="18"/>
              </w:rPr>
              <w:t>Source</w:t>
            </w:r>
          </w:p>
        </w:tc>
        <w:tc>
          <w:tcPr>
            <w:tcW w:type="dxa" w:w="4032"/>
            <w:vAlign w:val="center"/>
            <w:shd w:fill="15304B"/>
          </w:tcPr>
          <w:p>
            <w:pPr>
              <w:spacing w:after="20"/>
            </w:pPr>
            <w:r/>
            <w:r>
              <w:rPr>
                <w:b/>
                <w:color w:val="FFFFFF"/>
                <w:sz w:val="18"/>
              </w:rPr>
              <w:t>Examples</w:t>
            </w:r>
          </w:p>
        </w:tc>
        <w:tc>
          <w:tcPr>
            <w:tcW w:type="dxa" w:w="4896"/>
            <w:vAlign w:val="center"/>
            <w:shd w:fill="15304B"/>
          </w:tcPr>
          <w:p>
            <w:pPr>
              <w:spacing w:after="20"/>
            </w:pPr>
            <w:r/>
            <w:r>
              <w:rPr>
                <w:b/>
                <w:color w:val="FFFFFF"/>
                <w:sz w:val="18"/>
              </w:rPr>
              <w:t>Purpose / caution</w:t>
            </w:r>
          </w:p>
        </w:tc>
      </w:tr>
      <w:tr>
        <w:tc>
          <w:tcPr>
            <w:tcW w:type="dxa" w:w="1800"/>
            <w:vAlign w:val="center"/>
            <w:shd w:fill="F1F6F8"/>
          </w:tcPr>
          <w:p>
            <w:pPr>
              <w:spacing w:after="20"/>
            </w:pPr>
            <w:r/>
            <w:r>
              <w:rPr>
                <w:b w:val="0"/>
                <w:sz w:val="17"/>
              </w:rPr>
              <w:t>Identity</w:t>
            </w:r>
          </w:p>
        </w:tc>
        <w:tc>
          <w:tcPr>
            <w:tcW w:type="dxa" w:w="4032"/>
            <w:vAlign w:val="center"/>
            <w:shd w:fill="F1F6F8"/>
          </w:tcPr>
          <w:p>
            <w:pPr>
              <w:spacing w:after="20"/>
            </w:pPr>
            <w:r/>
            <w:r>
              <w:rPr>
                <w:b w:val="0"/>
                <w:sz w:val="17"/>
              </w:rPr>
              <w:t>Sign-in logs, MFA events, token/session history, privilege changes</w:t>
            </w:r>
          </w:p>
        </w:tc>
        <w:tc>
          <w:tcPr>
            <w:tcW w:type="dxa" w:w="4896"/>
            <w:vAlign w:val="center"/>
            <w:shd w:fill="F1F6F8"/>
          </w:tcPr>
          <w:p>
            <w:pPr>
              <w:spacing w:after="20"/>
            </w:pPr>
            <w:r/>
            <w:r>
              <w:rPr>
                <w:b w:val="0"/>
                <w:sz w:val="17"/>
              </w:rPr>
              <w:t>Identify account takeover; preserve retention before expiry.</w:t>
            </w:r>
          </w:p>
        </w:tc>
      </w:tr>
      <w:tr>
        <w:tc>
          <w:tcPr>
            <w:tcW w:type="dxa" w:w="1800"/>
            <w:vAlign w:val="center"/>
          </w:tcPr>
          <w:p>
            <w:pPr>
              <w:spacing w:after="20"/>
            </w:pPr>
            <w:r/>
            <w:r>
              <w:rPr>
                <w:b w:val="0"/>
                <w:sz w:val="17"/>
              </w:rPr>
              <w:t>Endpoint</w:t>
            </w:r>
          </w:p>
        </w:tc>
        <w:tc>
          <w:tcPr>
            <w:tcW w:type="dxa" w:w="4032"/>
            <w:vAlign w:val="center"/>
          </w:tcPr>
          <w:p>
            <w:pPr>
              <w:spacing w:after="20"/>
            </w:pPr>
            <w:r/>
            <w:r>
              <w:rPr>
                <w:b w:val="0"/>
                <w:sz w:val="17"/>
              </w:rPr>
              <w:t>EDR timeline, process events, file hashes, memory/disk images</w:t>
            </w:r>
          </w:p>
        </w:tc>
        <w:tc>
          <w:tcPr>
            <w:tcW w:type="dxa" w:w="4896"/>
            <w:vAlign w:val="center"/>
          </w:tcPr>
          <w:p>
            <w:pPr>
              <w:spacing w:after="20"/>
            </w:pPr>
            <w:r/>
            <w:r>
              <w:rPr>
                <w:b w:val="0"/>
                <w:sz w:val="17"/>
              </w:rPr>
              <w:t>Determine execution and persistence; collection may alter state.</w:t>
            </w:r>
          </w:p>
        </w:tc>
      </w:tr>
      <w:tr>
        <w:tc>
          <w:tcPr>
            <w:tcW w:type="dxa" w:w="1800"/>
            <w:vAlign w:val="center"/>
            <w:shd w:fill="F1F6F8"/>
          </w:tcPr>
          <w:p>
            <w:pPr>
              <w:spacing w:after="20"/>
            </w:pPr>
            <w:r/>
            <w:r>
              <w:rPr>
                <w:b w:val="0"/>
                <w:sz w:val="17"/>
              </w:rPr>
              <w:t>Email</w:t>
            </w:r>
          </w:p>
        </w:tc>
        <w:tc>
          <w:tcPr>
            <w:tcW w:type="dxa" w:w="4032"/>
            <w:vAlign w:val="center"/>
            <w:shd w:fill="F1F6F8"/>
          </w:tcPr>
          <w:p>
            <w:pPr>
              <w:spacing w:after="20"/>
            </w:pPr>
            <w:r/>
            <w:r>
              <w:rPr>
                <w:b w:val="0"/>
                <w:sz w:val="17"/>
              </w:rPr>
              <w:t>Original message headers, gateway logs, mailbox rules, audit events</w:t>
            </w:r>
          </w:p>
        </w:tc>
        <w:tc>
          <w:tcPr>
            <w:tcW w:type="dxa" w:w="4896"/>
            <w:vAlign w:val="center"/>
            <w:shd w:fill="F1F6F8"/>
          </w:tcPr>
          <w:p>
            <w:pPr>
              <w:spacing w:after="20"/>
            </w:pPr>
            <w:r/>
            <w:r>
              <w:rPr>
                <w:b w:val="0"/>
                <w:sz w:val="17"/>
              </w:rPr>
              <w:t>Trace delivery and user interaction; protect personal information.</w:t>
            </w:r>
          </w:p>
        </w:tc>
      </w:tr>
      <w:tr>
        <w:tc>
          <w:tcPr>
            <w:tcW w:type="dxa" w:w="1800"/>
            <w:vAlign w:val="center"/>
          </w:tcPr>
          <w:p>
            <w:pPr>
              <w:spacing w:after="20"/>
            </w:pPr>
            <w:r/>
            <w:r>
              <w:rPr>
                <w:b w:val="0"/>
                <w:sz w:val="17"/>
              </w:rPr>
              <w:t>Network</w:t>
            </w:r>
          </w:p>
        </w:tc>
        <w:tc>
          <w:tcPr>
            <w:tcW w:type="dxa" w:w="4032"/>
            <w:vAlign w:val="center"/>
          </w:tcPr>
          <w:p>
            <w:pPr>
              <w:spacing w:after="20"/>
            </w:pPr>
            <w:r/>
            <w:r>
              <w:rPr>
                <w:b w:val="0"/>
                <w:sz w:val="17"/>
              </w:rPr>
              <w:t>DNS, firewall, VPN, proxy, NetFlow, packet capture</w:t>
            </w:r>
          </w:p>
        </w:tc>
        <w:tc>
          <w:tcPr>
            <w:tcW w:type="dxa" w:w="4896"/>
            <w:vAlign w:val="center"/>
          </w:tcPr>
          <w:p>
            <w:pPr>
              <w:spacing w:after="20"/>
            </w:pPr>
            <w:r/>
            <w:r>
              <w:rPr>
                <w:b w:val="0"/>
                <w:sz w:val="17"/>
              </w:rPr>
              <w:t>Trace command-and-control or exfiltration; timestamps may differ.</w:t>
            </w:r>
          </w:p>
        </w:tc>
      </w:tr>
      <w:tr>
        <w:tc>
          <w:tcPr>
            <w:tcW w:type="dxa" w:w="1800"/>
            <w:vAlign w:val="center"/>
            <w:shd w:fill="F1F6F8"/>
          </w:tcPr>
          <w:p>
            <w:pPr>
              <w:spacing w:after="20"/>
            </w:pPr>
            <w:r/>
            <w:r>
              <w:rPr>
                <w:b w:val="0"/>
                <w:sz w:val="17"/>
              </w:rPr>
              <w:t>Cloud</w:t>
            </w:r>
          </w:p>
        </w:tc>
        <w:tc>
          <w:tcPr>
            <w:tcW w:type="dxa" w:w="4032"/>
            <w:vAlign w:val="center"/>
            <w:shd w:fill="F1F6F8"/>
          </w:tcPr>
          <w:p>
            <w:pPr>
              <w:spacing w:after="20"/>
            </w:pPr>
            <w:r/>
            <w:r>
              <w:rPr>
                <w:b w:val="0"/>
                <w:sz w:val="17"/>
              </w:rPr>
              <w:t>Audit logs, IAM policies, API activity, object access</w:t>
            </w:r>
          </w:p>
        </w:tc>
        <w:tc>
          <w:tcPr>
            <w:tcW w:type="dxa" w:w="4896"/>
            <w:vAlign w:val="center"/>
            <w:shd w:fill="F1F6F8"/>
          </w:tcPr>
          <w:p>
            <w:pPr>
              <w:spacing w:after="20"/>
            </w:pPr>
            <w:r/>
            <w:r>
              <w:rPr>
                <w:b w:val="0"/>
                <w:sz w:val="17"/>
              </w:rPr>
              <w:t>Find unauthorized changes and data access; export promptly.</w:t>
            </w:r>
          </w:p>
        </w:tc>
      </w:tr>
      <w:tr>
        <w:tc>
          <w:tcPr>
            <w:tcW w:type="dxa" w:w="1800"/>
            <w:vAlign w:val="center"/>
          </w:tcPr>
          <w:p>
            <w:pPr>
              <w:spacing w:after="20"/>
            </w:pPr>
            <w:r/>
            <w:r>
              <w:rPr>
                <w:b w:val="0"/>
                <w:sz w:val="17"/>
              </w:rPr>
              <w:t>Business systems</w:t>
            </w:r>
          </w:p>
        </w:tc>
        <w:tc>
          <w:tcPr>
            <w:tcW w:type="dxa" w:w="4032"/>
            <w:vAlign w:val="center"/>
          </w:tcPr>
          <w:p>
            <w:pPr>
              <w:spacing w:after="20"/>
            </w:pPr>
            <w:r/>
            <w:r>
              <w:rPr>
                <w:b w:val="0"/>
                <w:sz w:val="17"/>
              </w:rPr>
              <w:t>Application logs, database audit trails, transaction records</w:t>
            </w:r>
          </w:p>
        </w:tc>
        <w:tc>
          <w:tcPr>
            <w:tcW w:type="dxa" w:w="4896"/>
            <w:vAlign w:val="center"/>
          </w:tcPr>
          <w:p>
            <w:pPr>
              <w:spacing w:after="20"/>
            </w:pPr>
            <w:r/>
            <w:r>
              <w:rPr>
                <w:b w:val="0"/>
                <w:sz w:val="17"/>
              </w:rPr>
              <w:t>Establish integrity and business impact.</w:t>
            </w:r>
          </w:p>
        </w:tc>
      </w:tr>
      <w:tr>
        <w:tc>
          <w:tcPr>
            <w:tcW w:type="dxa" w:w="1800"/>
            <w:vAlign w:val="center"/>
            <w:shd w:fill="F1F6F8"/>
          </w:tcPr>
          <w:p>
            <w:pPr>
              <w:spacing w:after="20"/>
            </w:pPr>
            <w:r/>
            <w:r>
              <w:rPr>
                <w:b w:val="0"/>
                <w:sz w:val="17"/>
              </w:rPr>
              <w:t>User reports</w:t>
            </w:r>
          </w:p>
        </w:tc>
        <w:tc>
          <w:tcPr>
            <w:tcW w:type="dxa" w:w="4032"/>
            <w:vAlign w:val="center"/>
            <w:shd w:fill="F1F6F8"/>
          </w:tcPr>
          <w:p>
            <w:pPr>
              <w:spacing w:after="20"/>
            </w:pPr>
            <w:r/>
            <w:r>
              <w:rPr>
                <w:b w:val="0"/>
                <w:sz w:val="17"/>
              </w:rPr>
              <w:t>Screenshots, reported URLs, time of observation</w:t>
            </w:r>
          </w:p>
        </w:tc>
        <w:tc>
          <w:tcPr>
            <w:tcW w:type="dxa" w:w="4896"/>
            <w:vAlign w:val="center"/>
            <w:shd w:fill="F1F6F8"/>
          </w:tcPr>
          <w:p>
            <w:pPr>
              <w:spacing w:after="20"/>
            </w:pPr>
            <w:r/>
            <w:r>
              <w:rPr>
                <w:b w:val="0"/>
                <w:sz w:val="17"/>
              </w:rPr>
              <w:t>Useful context; verify against technical records.</w:t>
            </w:r>
          </w:p>
        </w:tc>
      </w:tr>
    </w:tbl>
    <w:p/>
    <w:p>
      <w:pPr>
        <w:pStyle w:val="Heading2"/>
      </w:pPr>
      <w:r>
        <w:t>8.3 Chain of Custody</w:t>
      </w:r>
    </w:p>
    <w:p>
      <w:r>
        <w:t>For every evidence item, assign an identifier and record: description; source; collector; collection date/time and time zone; method/tool; cryptographic hash where feasible; storage location; each transfer/access; purpose; and final disposition. If a hash cannot be calculated, document why. Follow the organization’s forensic and legal procedures rather than improvising evidence collection.</w:t>
      </w:r>
    </w:p>
    <w:p>
      <w:pPr>
        <w:pStyle w:val="Heading1"/>
      </w:pPr>
      <w:r>
        <w:t>9. Communication and Escalation</w:t>
      </w:r>
    </w:p>
    <w:p>
      <w:pPr>
        <w:pStyle w:val="Heading2"/>
      </w:pPr>
      <w:r>
        <w:t>9.1 Communication Rules</w:t>
      </w:r>
    </w:p>
    <w:p>
      <w:pPr>
        <w:pStyle w:val="ListBullet"/>
        <w:spacing w:after="40"/>
      </w:pPr>
      <w:r>
        <w:t>Use the incident ID in subject lines and status updates.</w:t>
      </w:r>
    </w:p>
    <w:p>
      <w:pPr>
        <w:pStyle w:val="ListBullet"/>
        <w:spacing w:after="40"/>
      </w:pPr>
      <w:r>
        <w:t>Use an out-of-band channel if corporate email or collaboration accounts may be compromised.</w:t>
      </w:r>
    </w:p>
    <w:p>
      <w:pPr>
        <w:pStyle w:val="ListBullet"/>
        <w:spacing w:after="40"/>
      </w:pPr>
      <w:r>
        <w:t>Share verified facts and explicitly mark unknowns; avoid speculation about attackers, scope or data loss.</w:t>
      </w:r>
    </w:p>
    <w:p>
      <w:pPr>
        <w:pStyle w:val="ListBullet"/>
        <w:spacing w:after="40"/>
      </w:pPr>
      <w:r>
        <w:t>Keep a time-stamped decision and communication log.</w:t>
      </w:r>
    </w:p>
    <w:p>
      <w:pPr>
        <w:pStyle w:val="ListBullet"/>
        <w:spacing w:after="40"/>
      </w:pPr>
      <w:r>
        <w:t>Only authorized spokespeople communicate with media, customers or the public.</w:t>
      </w:r>
    </w:p>
    <w:p>
      <w:pPr>
        <w:pStyle w:val="ListBullet"/>
        <w:spacing w:after="40"/>
      </w:pPr>
      <w:r>
        <w:t>Do not share indicators, screenshots, personal data or investigative details broadly unless needed.</w:t>
      </w:r>
    </w:p>
    <w:p>
      <w:pPr>
        <w:pStyle w:val="ListBullet"/>
        <w:spacing w:after="40"/>
      </w:pPr>
      <w:r>
        <w:t>Coordinate communications with legal, privacy, HR, customer teams and relevant service providers.</w:t>
      </w:r>
    </w:p>
    <w:p>
      <w:pPr>
        <w:pStyle w:val="Heading2"/>
      </w:pPr>
      <w:r>
        <w:t>9.2 Suggested Update Cadence</w:t>
      </w:r>
    </w:p>
    <w:tbl>
      <w:tblPr>
        <w:tblStyle w:val="TableGrid"/>
        <w:tblW w:type="auto" w:w="0"/>
        <w:jc w:val="center"/>
        <w:tblLook w:firstColumn="1" w:firstRow="1" w:lastColumn="0" w:lastRow="0" w:noHBand="0" w:noVBand="1" w:val="04A0"/>
      </w:tblPr>
      <w:tblGrid>
        <w:gridCol w:w="3293"/>
        <w:gridCol w:w="3293"/>
        <w:gridCol w:w="3293"/>
      </w:tblGrid>
      <w:tr>
        <w:tc>
          <w:tcPr>
            <w:tcW w:type="dxa" w:w="1584"/>
            <w:vAlign w:val="center"/>
            <w:shd w:fill="15304B"/>
          </w:tcPr>
          <w:p>
            <w:pPr>
              <w:spacing w:after="20"/>
            </w:pPr>
            <w:r/>
            <w:r>
              <w:rPr>
                <w:b/>
                <w:color w:val="FFFFFF"/>
                <w:sz w:val="18"/>
              </w:rPr>
              <w:t>Severity</w:t>
            </w:r>
          </w:p>
        </w:tc>
        <w:tc>
          <w:tcPr>
            <w:tcW w:type="dxa" w:w="4320"/>
            <w:vAlign w:val="center"/>
            <w:shd w:fill="15304B"/>
          </w:tcPr>
          <w:p>
            <w:pPr>
              <w:spacing w:after="20"/>
            </w:pPr>
            <w:r/>
            <w:r>
              <w:rPr>
                <w:b/>
                <w:color w:val="FFFFFF"/>
                <w:sz w:val="18"/>
              </w:rPr>
              <w:t>Internal status cadence</w:t>
            </w:r>
          </w:p>
        </w:tc>
        <w:tc>
          <w:tcPr>
            <w:tcW w:type="dxa" w:w="4896"/>
            <w:vAlign w:val="center"/>
            <w:shd w:fill="15304B"/>
          </w:tcPr>
          <w:p>
            <w:pPr>
              <w:spacing w:after="20"/>
            </w:pPr>
            <w:r/>
            <w:r>
              <w:rPr>
                <w:b/>
                <w:color w:val="FFFFFF"/>
                <w:sz w:val="18"/>
              </w:rPr>
              <w:t>Audience</w:t>
            </w:r>
          </w:p>
        </w:tc>
      </w:tr>
      <w:tr>
        <w:tc>
          <w:tcPr>
            <w:tcW w:type="dxa" w:w="1584"/>
            <w:vAlign w:val="center"/>
            <w:shd w:fill="F1F6F8"/>
          </w:tcPr>
          <w:p>
            <w:pPr>
              <w:spacing w:after="20"/>
            </w:pPr>
            <w:r/>
            <w:r>
              <w:rPr>
                <w:b w:val="0"/>
                <w:sz w:val="17"/>
              </w:rPr>
              <w:t>SEV 1</w:t>
            </w:r>
          </w:p>
        </w:tc>
        <w:tc>
          <w:tcPr>
            <w:tcW w:type="dxa" w:w="4320"/>
            <w:vAlign w:val="center"/>
            <w:shd w:fill="F1F6F8"/>
          </w:tcPr>
          <w:p>
            <w:pPr>
              <w:spacing w:after="20"/>
            </w:pPr>
            <w:r/>
            <w:r>
              <w:rPr>
                <w:b w:val="0"/>
                <w:sz w:val="17"/>
              </w:rPr>
              <w:t>Every 30–60 minutes during active response, or as directed by IC</w:t>
            </w:r>
          </w:p>
        </w:tc>
        <w:tc>
          <w:tcPr>
            <w:tcW w:type="dxa" w:w="4896"/>
            <w:vAlign w:val="center"/>
            <w:shd w:fill="F1F6F8"/>
          </w:tcPr>
          <w:p>
            <w:pPr>
              <w:spacing w:after="20"/>
            </w:pPr>
            <w:r/>
            <w:r>
              <w:rPr>
                <w:b w:val="0"/>
                <w:sz w:val="17"/>
              </w:rPr>
              <w:t>Response team, executive sponsor, legal/privacy, affected business owners</w:t>
            </w:r>
          </w:p>
        </w:tc>
      </w:tr>
      <w:tr>
        <w:tc>
          <w:tcPr>
            <w:tcW w:type="dxa" w:w="1584"/>
            <w:vAlign w:val="center"/>
          </w:tcPr>
          <w:p>
            <w:pPr>
              <w:spacing w:after="20"/>
            </w:pPr>
            <w:r/>
            <w:r>
              <w:rPr>
                <w:b w:val="0"/>
                <w:sz w:val="17"/>
              </w:rPr>
              <w:t>SEV 2</w:t>
            </w:r>
          </w:p>
        </w:tc>
        <w:tc>
          <w:tcPr>
            <w:tcW w:type="dxa" w:w="4320"/>
            <w:vAlign w:val="center"/>
          </w:tcPr>
          <w:p>
            <w:pPr>
              <w:spacing w:after="20"/>
            </w:pPr>
            <w:r/>
            <w:r>
              <w:rPr>
                <w:b w:val="0"/>
                <w:sz w:val="17"/>
              </w:rPr>
              <w:t>Every 2 hours during active response</w:t>
            </w:r>
          </w:p>
        </w:tc>
        <w:tc>
          <w:tcPr>
            <w:tcW w:type="dxa" w:w="4896"/>
            <w:vAlign w:val="center"/>
          </w:tcPr>
          <w:p>
            <w:pPr>
              <w:spacing w:after="20"/>
            </w:pPr>
            <w:r/>
            <w:r>
              <w:rPr>
                <w:b w:val="0"/>
                <w:sz w:val="17"/>
              </w:rPr>
              <w:t>Response team and relevant management</w:t>
            </w:r>
          </w:p>
        </w:tc>
      </w:tr>
      <w:tr>
        <w:tc>
          <w:tcPr>
            <w:tcW w:type="dxa" w:w="1584"/>
            <w:vAlign w:val="center"/>
            <w:shd w:fill="F1F6F8"/>
          </w:tcPr>
          <w:p>
            <w:pPr>
              <w:spacing w:after="20"/>
            </w:pPr>
            <w:r/>
            <w:r>
              <w:rPr>
                <w:b w:val="0"/>
                <w:sz w:val="17"/>
              </w:rPr>
              <w:t>SEV 3</w:t>
            </w:r>
          </w:p>
        </w:tc>
        <w:tc>
          <w:tcPr>
            <w:tcW w:type="dxa" w:w="4320"/>
            <w:vAlign w:val="center"/>
            <w:shd w:fill="F1F6F8"/>
          </w:tcPr>
          <w:p>
            <w:pPr>
              <w:spacing w:after="20"/>
            </w:pPr>
            <w:r/>
            <w:r>
              <w:rPr>
                <w:b w:val="0"/>
                <w:sz w:val="17"/>
              </w:rPr>
              <w:t>At major milestones or at least daily while active</w:t>
            </w:r>
          </w:p>
        </w:tc>
        <w:tc>
          <w:tcPr>
            <w:tcW w:type="dxa" w:w="4896"/>
            <w:vAlign w:val="center"/>
            <w:shd w:fill="F1F6F8"/>
          </w:tcPr>
          <w:p>
            <w:pPr>
              <w:spacing w:after="20"/>
            </w:pPr>
            <w:r/>
            <w:r>
              <w:rPr>
                <w:b w:val="0"/>
                <w:sz w:val="17"/>
              </w:rPr>
              <w:t>Security, IT and affected manager</w:t>
            </w:r>
          </w:p>
        </w:tc>
      </w:tr>
      <w:tr>
        <w:tc>
          <w:tcPr>
            <w:tcW w:type="dxa" w:w="1584"/>
            <w:vAlign w:val="center"/>
          </w:tcPr>
          <w:p>
            <w:pPr>
              <w:spacing w:after="20"/>
            </w:pPr>
            <w:r/>
            <w:r>
              <w:rPr>
                <w:b w:val="0"/>
                <w:sz w:val="17"/>
              </w:rPr>
              <w:t>SEV 4</w:t>
            </w:r>
          </w:p>
        </w:tc>
        <w:tc>
          <w:tcPr>
            <w:tcW w:type="dxa" w:w="4320"/>
            <w:vAlign w:val="center"/>
          </w:tcPr>
          <w:p>
            <w:pPr>
              <w:spacing w:after="20"/>
            </w:pPr>
            <w:r/>
            <w:r>
              <w:rPr>
                <w:b w:val="0"/>
                <w:sz w:val="17"/>
              </w:rPr>
              <w:t>At triage and closure</w:t>
            </w:r>
          </w:p>
        </w:tc>
        <w:tc>
          <w:tcPr>
            <w:tcW w:type="dxa" w:w="4896"/>
            <w:vAlign w:val="center"/>
          </w:tcPr>
          <w:p>
            <w:pPr>
              <w:spacing w:after="20"/>
            </w:pPr>
            <w:r/>
            <w:r>
              <w:rPr>
                <w:b w:val="0"/>
                <w:sz w:val="17"/>
              </w:rPr>
              <w:t>Security queue and relevant owner</w:t>
            </w:r>
          </w:p>
        </w:tc>
      </w:tr>
    </w:tbl>
    <w:p/>
    <w:p>
      <w:pPr>
        <w:pStyle w:val="Heading2"/>
      </w:pPr>
      <w:r>
        <w:t>9.3 Escalation Triggers</w:t>
      </w:r>
    </w:p>
    <w:p>
      <w:pPr>
        <w:pStyle w:val="ListBullet"/>
        <w:spacing w:after="40"/>
      </w:pPr>
      <w:r>
        <w:t>Evidence of privileged-account compromise or active lateral movement.</w:t>
      </w:r>
    </w:p>
    <w:p>
      <w:pPr>
        <w:pStyle w:val="ListBullet"/>
        <w:spacing w:after="40"/>
      </w:pPr>
      <w:r>
        <w:t>Ransomware, destructive activity, or loss of availability of critical services.</w:t>
      </w:r>
    </w:p>
    <w:p>
      <w:pPr>
        <w:pStyle w:val="ListBullet"/>
        <w:spacing w:after="40"/>
      </w:pPr>
      <w:r>
        <w:t>Possible exposure of personal, payment, health, authentication or regulated data.</w:t>
      </w:r>
    </w:p>
    <w:p>
      <w:pPr>
        <w:pStyle w:val="ListBullet"/>
        <w:spacing w:after="40"/>
      </w:pPr>
      <w:r>
        <w:t>Compromise of backups, security tools, identity systems or incident communications.</w:t>
      </w:r>
    </w:p>
    <w:p>
      <w:pPr>
        <w:pStyle w:val="ListBullet"/>
        <w:spacing w:after="40"/>
      </w:pPr>
      <w:r>
        <w:t>Multiple sites, business units, customers or third-party environments affected.</w:t>
      </w:r>
    </w:p>
    <w:p>
      <w:pPr>
        <w:pStyle w:val="ListBullet"/>
        <w:spacing w:after="40"/>
      </w:pPr>
      <w:r>
        <w:t>Potential physical safety impact, significant financial fraud or extortion.</w:t>
      </w:r>
    </w:p>
    <w:p>
      <w:pPr>
        <w:pStyle w:val="ListBullet"/>
        <w:spacing w:after="40"/>
      </w:pPr>
      <w:r>
        <w:t>Legal, contractual, insurer or regulatory notification deadlines may apply.</w:t>
      </w:r>
    </w:p>
    <w:p>
      <w:pPr>
        <w:pStyle w:val="Heading1"/>
      </w:pPr>
      <w:r>
        <w:t>10. Scenario Playbooks</w:t>
      </w:r>
    </w:p>
    <w:p>
      <w:r>
        <w:t>Use these playbooks as starting points. The incident commander should adapt each response to evidence, architecture, business criticality and applicable obligations.</w:t>
      </w:r>
    </w:p>
    <w:p>
      <w:pPr>
        <w:pStyle w:val="Heading2"/>
      </w:pPr>
      <w:r>
        <w:t>10.1 Ransomware or Data Extortion</w:t>
      </w:r>
    </w:p>
    <w:p>
      <w:r>
        <w:t>Indicators: ransom note, mass file changes, unusual encryption activity, disabled security tools, suspicious remote access, or a threat actor claiming data theft.</w:t>
      </w:r>
    </w:p>
    <w:p>
      <w:pPr>
        <w:pStyle w:val="ListNumber"/>
        <w:spacing w:after="40"/>
      </w:pPr>
      <w:r>
        <w:t>Declare at least SEV 2; use SEV 1 if critical services, multiple systems or sensitive data are affected.</w:t>
      </w:r>
    </w:p>
    <w:p>
      <w:pPr>
        <w:pStyle w:val="ListNumber"/>
        <w:spacing w:after="40"/>
      </w:pPr>
      <w:r>
        <w:t>Isolate affected hosts and segments using approved controls. Avoid connecting backup systems to potentially compromised networks.</w:t>
      </w:r>
    </w:p>
    <w:p>
      <w:pPr>
        <w:pStyle w:val="ListNumber"/>
        <w:spacing w:after="40"/>
      </w:pPr>
      <w:r>
        <w:t>Preserve ransom notes, logs, EDR alerts, file samples and relevant network/identity telemetry.</w:t>
      </w:r>
    </w:p>
    <w:p>
      <w:pPr>
        <w:pStyle w:val="ListNumber"/>
        <w:spacing w:after="40"/>
      </w:pPr>
      <w:r>
        <w:t>Identify the initial access path and scope, including possible exfiltration before encryption.</w:t>
      </w:r>
    </w:p>
    <w:p>
      <w:pPr>
        <w:pStyle w:val="ListNumber"/>
        <w:spacing w:after="40"/>
      </w:pPr>
      <w:r>
        <w:t>Disable compromised accounts, revoke sessions and block confirmed malicious infrastructure as appropriate.</w:t>
      </w:r>
    </w:p>
    <w:p>
      <w:pPr>
        <w:pStyle w:val="ListNumber"/>
        <w:spacing w:after="40"/>
      </w:pPr>
      <w:r>
        <w:t>Notify executive leadership, legal/privacy, insurer and incident-response provider according to the contact plan.</w:t>
      </w:r>
    </w:p>
    <w:p>
      <w:pPr>
        <w:pStyle w:val="ListNumber"/>
        <w:spacing w:after="40"/>
      </w:pPr>
      <w:r>
        <w:t>Assess safe restoration options, validate backups and rebuild systems from trusted sources.</w:t>
      </w:r>
    </w:p>
    <w:p>
      <w:pPr>
        <w:pStyle w:val="ListNumber"/>
        <w:spacing w:after="40"/>
      </w:pPr>
      <w:r>
        <w:t>Do not make payment decisions independently; escalate to executive leadership and legal counsel. Payment does not guarantee recovery or prevent disclosure.</w:t>
      </w:r>
    </w:p>
    <w:p>
      <w:pPr>
        <w:pStyle w:val="ListNumber"/>
        <w:spacing w:after="40"/>
      </w:pPr>
      <w:r>
        <w:t>Before reopening services, confirm attacker access and persistence have been addressed and monitoring is active.</w:t>
      </w:r>
    </w:p>
    <w:p>
      <w:pPr>
        <w:pStyle w:val="Heading2"/>
      </w:pPr>
      <w:r>
        <w:t>10.2 Phishing and Business Email Compromise (BEC)</w:t>
      </w:r>
    </w:p>
    <w:p>
      <w:pPr>
        <w:pStyle w:val="ListNumber"/>
        <w:spacing w:after="40"/>
      </w:pPr>
      <w:r>
        <w:t>Preserve the original message and headers; record the sender, recipient, time, URL and attachment details.</w:t>
      </w:r>
    </w:p>
    <w:p>
      <w:pPr>
        <w:pStyle w:val="ListNumber"/>
        <w:spacing w:after="40"/>
      </w:pPr>
      <w:r>
        <w:t>Search mail systems for matching messages and remove them where safe and supported.</w:t>
      </w:r>
    </w:p>
    <w:p>
      <w:pPr>
        <w:pStyle w:val="ListNumber"/>
        <w:spacing w:after="40"/>
      </w:pPr>
      <w:r>
        <w:t>Identify users who clicked, opened attachments, entered credentials, approved MFA prompts or transferred money.</w:t>
      </w:r>
    </w:p>
    <w:p>
      <w:pPr>
        <w:pStyle w:val="ListNumber"/>
        <w:spacing w:after="40"/>
      </w:pPr>
      <w:r>
        <w:t>If credentials may be compromised, revoke sessions, reset credentials through a trusted device, inspect MFA and recovery settings, and review sign-in logs.</w:t>
      </w:r>
    </w:p>
    <w:p>
      <w:pPr>
        <w:pStyle w:val="ListNumber"/>
        <w:spacing w:after="40"/>
      </w:pPr>
      <w:r>
        <w:t>Inspect mailbox rules, forwarding, OAuth grants, delegates and sent items for attacker persistence.</w:t>
      </w:r>
    </w:p>
    <w:p>
      <w:pPr>
        <w:pStyle w:val="ListNumber"/>
        <w:spacing w:after="40"/>
      </w:pPr>
      <w:r>
        <w:t>For payment fraud, immediately contact the bank/payment provider through a verified number and follow the organization’s fraud escalation process.</w:t>
      </w:r>
    </w:p>
    <w:p>
      <w:pPr>
        <w:pStyle w:val="ListNumber"/>
        <w:spacing w:after="40"/>
      </w:pPr>
      <w:r>
        <w:t>Notify affected users with concise instructions; avoid forwarding the malicious message as an attachment unless approved.</w:t>
      </w:r>
    </w:p>
    <w:p>
      <w:pPr>
        <w:pStyle w:val="Heading2"/>
      </w:pPr>
      <w:r>
        <w:t>10.3 Compromised Account or Privileged Identity</w:t>
      </w:r>
    </w:p>
    <w:p>
      <w:pPr>
        <w:pStyle w:val="ListNumber"/>
        <w:spacing w:after="40"/>
      </w:pPr>
      <w:r>
        <w:t>Validate unusual sign-ins, impossible travel alerts, unfamiliar devices, MFA fatigue or unexpected privilege changes.</w:t>
      </w:r>
    </w:p>
    <w:p>
      <w:pPr>
        <w:pStyle w:val="ListNumber"/>
        <w:spacing w:after="40"/>
      </w:pPr>
      <w:r>
        <w:t>Disable or restrict the identity and revoke sessions/tokens; rotate credentials and related secrets where needed.</w:t>
      </w:r>
    </w:p>
    <w:p>
      <w:pPr>
        <w:pStyle w:val="ListNumber"/>
        <w:spacing w:after="40"/>
      </w:pPr>
      <w:r>
        <w:t>Inspect sign-in logs, device registration, MFA methods, recovery contacts, mailbox rules, API keys and privileged role assignments.</w:t>
      </w:r>
    </w:p>
    <w:p>
      <w:pPr>
        <w:pStyle w:val="ListNumber"/>
        <w:spacing w:after="40"/>
      </w:pPr>
      <w:r>
        <w:t>Review actions performed by the identity and identify any resources accessed or changed.</w:t>
      </w:r>
    </w:p>
    <w:p>
      <w:pPr>
        <w:pStyle w:val="ListNumber"/>
        <w:spacing w:after="40"/>
      </w:pPr>
      <w:r>
        <w:t>Check for additional accounts created or elevated by the attacker; remove only after evidence is preserved.</w:t>
      </w:r>
    </w:p>
    <w:p>
      <w:pPr>
        <w:pStyle w:val="ListNumber"/>
        <w:spacing w:after="40"/>
      </w:pPr>
      <w:r>
        <w:t>Restore access using verified identity proofing and stronger controls; monitor closely after reactivation.</w:t>
      </w:r>
    </w:p>
    <w:p>
      <w:pPr>
        <w:pStyle w:val="Heading2"/>
      </w:pPr>
      <w:r>
        <w:t>10.4 Malware on an Endpoint</w:t>
      </w:r>
    </w:p>
    <w:p>
      <w:pPr>
        <w:pStyle w:val="ListNumber"/>
        <w:spacing w:after="40"/>
      </w:pPr>
      <w:r>
        <w:t>Isolate the endpoint and capture alert details, process tree, file hash and network connections.</w:t>
      </w:r>
    </w:p>
    <w:p>
      <w:pPr>
        <w:pStyle w:val="ListNumber"/>
        <w:spacing w:after="40"/>
      </w:pPr>
      <w:r>
        <w:t>Determine whether malware executed, persisted, contacted external infrastructure or accessed credentials.</w:t>
      </w:r>
    </w:p>
    <w:p>
      <w:pPr>
        <w:pStyle w:val="ListNumber"/>
        <w:spacing w:after="40"/>
      </w:pPr>
      <w:r>
        <w:t>Check adjacent systems and accounts for related activity; do not assume one endpoint is the full scope.</w:t>
      </w:r>
    </w:p>
    <w:p>
      <w:pPr>
        <w:pStyle w:val="ListNumber"/>
        <w:spacing w:after="40"/>
      </w:pPr>
      <w:r>
        <w:t>Remove the infection or rebuild from a trusted image depending on risk and confidence in system integrity.</w:t>
      </w:r>
    </w:p>
    <w:p>
      <w:pPr>
        <w:pStyle w:val="ListNumber"/>
        <w:spacing w:after="40"/>
      </w:pPr>
      <w:r>
        <w:t>Patch the exploited weakness, update detections and verify endpoint protection is healthy before reconnection.</w:t>
      </w:r>
    </w:p>
    <w:p>
      <w:pPr>
        <w:pStyle w:val="Heading2"/>
      </w:pPr>
      <w:r>
        <w:t>10.5 Suspected Data Breach or Exfiltration</w:t>
      </w:r>
    </w:p>
    <w:p>
      <w:pPr>
        <w:pStyle w:val="ListNumber"/>
        <w:spacing w:after="40"/>
      </w:pPr>
      <w:r>
        <w:t>Restrict the suspected access path while preserving logs, storage snapshots and audit trails.</w:t>
      </w:r>
    </w:p>
    <w:p>
      <w:pPr>
        <w:pStyle w:val="ListNumber"/>
        <w:spacing w:after="40"/>
      </w:pPr>
      <w:r>
        <w:t>Determine which data was accessed, copied, altered or exposed; identify data subjects, business owners and jurisdictions.</w:t>
      </w:r>
    </w:p>
    <w:p>
      <w:pPr>
        <w:pStyle w:val="ListNumber"/>
        <w:spacing w:after="40"/>
      </w:pPr>
      <w:r>
        <w:t>Engage legal counsel and the privacy/compliance officer early to assess applicable obligations and timelines.</w:t>
      </w:r>
    </w:p>
    <w:p>
      <w:pPr>
        <w:pStyle w:val="ListNumber"/>
        <w:spacing w:after="40"/>
      </w:pPr>
      <w:r>
        <w:t>Preserve evidence of scope and decisions; do not make unverified public statements.</w:t>
      </w:r>
    </w:p>
    <w:p>
      <w:pPr>
        <w:pStyle w:val="ListNumber"/>
        <w:spacing w:after="40"/>
      </w:pPr>
      <w:r>
        <w:t>Coordinate any required notifications through approved legal and communications processes.</w:t>
      </w:r>
    </w:p>
    <w:p>
      <w:pPr>
        <w:pStyle w:val="ListNumber"/>
        <w:spacing w:after="40"/>
      </w:pPr>
      <w:r>
        <w:t>Monitor for misuse, suspicious access or follow-on extortion; implement remediation and customer support where appropriate.</w:t>
      </w:r>
    </w:p>
    <w:p>
      <w:pPr>
        <w:pStyle w:val="Heading2"/>
      </w:pPr>
      <w:r>
        <w:t>10.6 Denial-of-Service (DoS/DDoS)</w:t>
      </w:r>
    </w:p>
    <w:p>
      <w:pPr>
        <w:pStyle w:val="ListNumber"/>
        <w:spacing w:after="40"/>
      </w:pPr>
      <w:r>
        <w:t>Confirm service impact and distinguish malicious traffic from legitimate demand or an operational fault.</w:t>
      </w:r>
    </w:p>
    <w:p>
      <w:pPr>
        <w:pStyle w:val="ListNumber"/>
        <w:spacing w:after="40"/>
      </w:pPr>
      <w:r>
        <w:t>Engage network, hosting, CDN or DDoS mitigation providers using verified emergency contacts.</w:t>
      </w:r>
    </w:p>
    <w:p>
      <w:pPr>
        <w:pStyle w:val="ListNumber"/>
        <w:spacing w:after="40"/>
      </w:pPr>
      <w:r>
        <w:t>Apply approved filtering, rate limiting, traffic scrubbing or upstream controls; monitor for collateral impact.</w:t>
      </w:r>
    </w:p>
    <w:p>
      <w:pPr>
        <w:pStyle w:val="ListNumber"/>
        <w:spacing w:after="40"/>
      </w:pPr>
      <w:r>
        <w:t>Preserve traffic patterns, timestamps, logs and provider incident records.</w:t>
      </w:r>
    </w:p>
    <w:p>
      <w:pPr>
        <w:pStyle w:val="ListNumber"/>
        <w:spacing w:after="40"/>
      </w:pPr>
      <w:r>
        <w:t>Communicate service status and workaround guidance through approved channels.</w:t>
      </w:r>
    </w:p>
    <w:p>
      <w:pPr>
        <w:pStyle w:val="ListNumber"/>
        <w:spacing w:after="40"/>
      </w:pPr>
      <w:r>
        <w:t>After stabilization, review capacity, provider configuration, architecture and monitoring thresholds.</w:t>
      </w:r>
    </w:p>
    <w:p>
      <w:pPr>
        <w:pStyle w:val="Heading2"/>
      </w:pPr>
      <w:r>
        <w:t>10.7 Cloud or Third-Party Compromise</w:t>
      </w:r>
    </w:p>
    <w:p>
      <w:pPr>
        <w:pStyle w:val="ListBullet"/>
        <w:spacing w:after="40"/>
      </w:pPr>
      <w:r>
        <w:t>Identify the affected tenant, subscription, project, SaaS service, supplier and business processes.</w:t>
      </w:r>
    </w:p>
    <w:p>
      <w:pPr>
        <w:pStyle w:val="ListBullet"/>
        <w:spacing w:after="40"/>
      </w:pPr>
      <w:r>
        <w:t>Use the provider’s secure incident channel; request preservation of relevant audit logs and incident details.</w:t>
      </w:r>
    </w:p>
    <w:p>
      <w:pPr>
        <w:pStyle w:val="ListBullet"/>
        <w:spacing w:after="40"/>
      </w:pPr>
      <w:r>
        <w:t>Revoke compromised credentials and sessions, rotate keys, review IAM changes and restrict suspicious access paths.</w:t>
      </w:r>
    </w:p>
    <w:p>
      <w:pPr>
        <w:pStyle w:val="ListBullet"/>
        <w:spacing w:after="40"/>
      </w:pPr>
      <w:r>
        <w:t>Review data sharing, cross-account trust, service principals, API tokens, storage permissions and external integrations.</w:t>
      </w:r>
    </w:p>
    <w:p>
      <w:pPr>
        <w:pStyle w:val="ListBullet"/>
        <w:spacing w:after="40"/>
      </w:pPr>
      <w:r>
        <w:t>Assess whether the supplier incident affects organizational data, obligations or downstream customers.</w:t>
      </w:r>
    </w:p>
    <w:p>
      <w:pPr>
        <w:pStyle w:val="ListBullet"/>
        <w:spacing w:after="40"/>
      </w:pPr>
      <w:r>
        <w:t>Verify remediation with evidence from both the provider and internal telemetry before restoring trust.</w:t>
      </w:r>
    </w:p>
    <w:p>
      <w:pPr>
        <w:pStyle w:val="Heading1"/>
      </w:pPr>
      <w:r>
        <w:t>11. Recovery and Business Continuity</w:t>
      </w:r>
    </w:p>
    <w:p>
      <w:pPr>
        <w:pStyle w:val="Heading2"/>
      </w:pPr>
      <w:r>
        <w:t>11.1 Recovery Prioritization</w:t>
      </w:r>
    </w:p>
    <w:p>
      <w:r>
        <w:t>Recovery order should be based on business impact analysis and dependencies, not solely on which system is easiest to restore. A typical order is: (1) identity, security administration and core network services; (2) backup and recovery infrastructure; (3) critical customer or operational systems; (4) supporting applications; (5) lower-priority systems. The organization must define its own order.</w:t>
      </w:r>
    </w:p>
    <w:p>
      <w:pPr>
        <w:pStyle w:val="Heading2"/>
      </w:pPr>
      <w:r>
        <w:t>11.2 Recovery Gates</w:t>
      </w:r>
    </w:p>
    <w:tbl>
      <w:tblPr>
        <w:tblStyle w:val="TableGrid"/>
        <w:tblW w:type="auto" w:w="0"/>
        <w:jc w:val="center"/>
        <w:tblLook w:firstColumn="1" w:firstRow="1" w:lastColumn="0" w:lastRow="0" w:noHBand="0" w:noVBand="1" w:val="04A0"/>
      </w:tblPr>
      <w:tblGrid>
        <w:gridCol w:w="4939"/>
        <w:gridCol w:w="4939"/>
      </w:tblGrid>
      <w:tr>
        <w:tc>
          <w:tcPr>
            <w:tcW w:type="dxa" w:w="2592"/>
            <w:vAlign w:val="center"/>
            <w:shd w:fill="15304B"/>
          </w:tcPr>
          <w:p>
            <w:pPr>
              <w:spacing w:after="20"/>
            </w:pPr>
            <w:r/>
            <w:r>
              <w:rPr>
                <w:b/>
                <w:color w:val="FFFFFF"/>
                <w:sz w:val="18"/>
              </w:rPr>
              <w:t>Gate</w:t>
            </w:r>
          </w:p>
        </w:tc>
        <w:tc>
          <w:tcPr>
            <w:tcW w:type="dxa" w:w="8208"/>
            <w:vAlign w:val="center"/>
            <w:shd w:fill="15304B"/>
          </w:tcPr>
          <w:p>
            <w:pPr>
              <w:spacing w:after="20"/>
            </w:pPr>
            <w:r/>
            <w:r>
              <w:rPr>
                <w:b/>
                <w:color w:val="FFFFFF"/>
                <w:sz w:val="18"/>
              </w:rPr>
              <w:t>Required checks before proceeding</w:t>
            </w:r>
          </w:p>
        </w:tc>
      </w:tr>
      <w:tr>
        <w:tc>
          <w:tcPr>
            <w:tcW w:type="dxa" w:w="2592"/>
            <w:vAlign w:val="center"/>
            <w:shd w:fill="F1F6F8"/>
          </w:tcPr>
          <w:p>
            <w:pPr>
              <w:spacing w:after="20"/>
            </w:pPr>
            <w:r/>
            <w:r>
              <w:rPr>
                <w:b w:val="0"/>
                <w:sz w:val="17"/>
              </w:rPr>
              <w:t>Gate 1: Threat controlled</w:t>
            </w:r>
          </w:p>
        </w:tc>
        <w:tc>
          <w:tcPr>
            <w:tcW w:type="dxa" w:w="8208"/>
            <w:vAlign w:val="center"/>
            <w:shd w:fill="F1F6F8"/>
          </w:tcPr>
          <w:p>
            <w:pPr>
              <w:spacing w:after="20"/>
            </w:pPr>
            <w:r/>
            <w:r>
              <w:rPr>
                <w:b w:val="0"/>
                <w:sz w:val="17"/>
              </w:rPr>
              <w:t>Known attacker access paths contained; compromised identities restricted; immediate spread stopped.</w:t>
            </w:r>
          </w:p>
        </w:tc>
      </w:tr>
      <w:tr>
        <w:tc>
          <w:tcPr>
            <w:tcW w:type="dxa" w:w="2592"/>
            <w:vAlign w:val="center"/>
          </w:tcPr>
          <w:p>
            <w:pPr>
              <w:spacing w:after="20"/>
            </w:pPr>
            <w:r/>
            <w:r>
              <w:rPr>
                <w:b w:val="0"/>
                <w:sz w:val="17"/>
              </w:rPr>
              <w:t>Gate 2: Trusted rebuild/restore</w:t>
            </w:r>
          </w:p>
        </w:tc>
        <w:tc>
          <w:tcPr>
            <w:tcW w:type="dxa" w:w="8208"/>
            <w:vAlign w:val="center"/>
          </w:tcPr>
          <w:p>
            <w:pPr>
              <w:spacing w:after="20"/>
            </w:pPr>
            <w:r/>
            <w:r>
              <w:rPr>
                <w:b w:val="0"/>
                <w:sz w:val="17"/>
              </w:rPr>
              <w:t>Source image or backup verified; restoration point assessed; secrets and admin access secured.</w:t>
            </w:r>
          </w:p>
        </w:tc>
      </w:tr>
      <w:tr>
        <w:tc>
          <w:tcPr>
            <w:tcW w:type="dxa" w:w="2592"/>
            <w:vAlign w:val="center"/>
            <w:shd w:fill="F1F6F8"/>
          </w:tcPr>
          <w:p>
            <w:pPr>
              <w:spacing w:after="20"/>
            </w:pPr>
            <w:r/>
            <w:r>
              <w:rPr>
                <w:b w:val="0"/>
                <w:sz w:val="17"/>
              </w:rPr>
              <w:t>Gate 3: Security validation</w:t>
            </w:r>
          </w:p>
        </w:tc>
        <w:tc>
          <w:tcPr>
            <w:tcW w:type="dxa" w:w="8208"/>
            <w:vAlign w:val="center"/>
            <w:shd w:fill="F1F6F8"/>
          </w:tcPr>
          <w:p>
            <w:pPr>
              <w:spacing w:after="20"/>
            </w:pPr>
            <w:r/>
            <w:r>
              <w:rPr>
                <w:b w:val="0"/>
                <w:sz w:val="17"/>
              </w:rPr>
              <w:t>Patches applied; MFA/least privilege enabled; endpoint protection and logging operational; scans/reviews completed.</w:t>
            </w:r>
          </w:p>
        </w:tc>
      </w:tr>
      <w:tr>
        <w:tc>
          <w:tcPr>
            <w:tcW w:type="dxa" w:w="2592"/>
            <w:vAlign w:val="center"/>
          </w:tcPr>
          <w:p>
            <w:pPr>
              <w:spacing w:after="20"/>
            </w:pPr>
            <w:r/>
            <w:r>
              <w:rPr>
                <w:b w:val="0"/>
                <w:sz w:val="17"/>
              </w:rPr>
              <w:t>Gate 4: Business validation</w:t>
            </w:r>
          </w:p>
        </w:tc>
        <w:tc>
          <w:tcPr>
            <w:tcW w:type="dxa" w:w="8208"/>
            <w:vAlign w:val="center"/>
          </w:tcPr>
          <w:p>
            <w:pPr>
              <w:spacing w:after="20"/>
            </w:pPr>
            <w:r/>
            <w:r>
              <w:rPr>
                <w:b w:val="0"/>
                <w:sz w:val="17"/>
              </w:rPr>
              <w:t>System owner confirms function and data integrity; business continuity lead confirms acceptable operational risk.</w:t>
            </w:r>
          </w:p>
        </w:tc>
      </w:tr>
      <w:tr>
        <w:tc>
          <w:tcPr>
            <w:tcW w:type="dxa" w:w="2592"/>
            <w:vAlign w:val="center"/>
            <w:shd w:fill="F1F6F8"/>
          </w:tcPr>
          <w:p>
            <w:pPr>
              <w:spacing w:after="20"/>
            </w:pPr>
            <w:r/>
            <w:r>
              <w:rPr>
                <w:b w:val="0"/>
                <w:sz w:val="17"/>
              </w:rPr>
              <w:t>Gate 5: Monitored return</w:t>
            </w:r>
          </w:p>
        </w:tc>
        <w:tc>
          <w:tcPr>
            <w:tcW w:type="dxa" w:w="8208"/>
            <w:vAlign w:val="center"/>
            <w:shd w:fill="F1F6F8"/>
          </w:tcPr>
          <w:p>
            <w:pPr>
              <w:spacing w:after="20"/>
            </w:pPr>
            <w:r/>
            <w:r>
              <w:rPr>
                <w:b w:val="0"/>
                <w:sz w:val="17"/>
              </w:rPr>
              <w:t>Staged reconnection approved; enhanced monitoring active; rollback and isolation plan ready.</w:t>
            </w:r>
          </w:p>
        </w:tc>
      </w:tr>
    </w:tbl>
    <w:p/>
    <w:p>
      <w:pPr>
        <w:pStyle w:val="Heading2"/>
      </w:pPr>
      <w:r>
        <w:t>11.3 Recovery Objectives</w:t>
      </w:r>
    </w:p>
    <w:p>
      <w:r>
        <w:t>Each critical service should have approved recovery time objectives (RTOs) and recovery point objectives (RPOs). RTO is the target time to restore a service; RPO is the acceptable amount of data loss measured in time. These values must be agreed with business owners and tested. Do not invent RTO/RPO targets during an incident without documenting executive approval.</w:t>
      </w:r>
    </w:p>
    <w:p>
      <w:pPr>
        <w:pStyle w:val="Heading2"/>
      </w:pPr>
      <w:r>
        <w:t>11.4 Business Continuity</w:t>
      </w:r>
    </w:p>
    <w:p>
      <w:pPr>
        <w:pStyle w:val="ListBullet"/>
        <w:spacing w:after="40"/>
      </w:pPr>
      <w:r>
        <w:t>Identify manual workarounds and minimum staffing for critical functions.</w:t>
      </w:r>
    </w:p>
    <w:p>
      <w:pPr>
        <w:pStyle w:val="ListBullet"/>
        <w:spacing w:after="40"/>
      </w:pPr>
      <w:r>
        <w:t>Prioritize safety, payroll, customer communications, financial processing and other essential activities based on the organization’s business impact analysis.</w:t>
      </w:r>
    </w:p>
    <w:p>
      <w:pPr>
        <w:pStyle w:val="ListBullet"/>
        <w:spacing w:after="40"/>
      </w:pPr>
      <w:r>
        <w:t>Use approved alternate channels and verify recipient identities during payment or account changes.</w:t>
      </w:r>
    </w:p>
    <w:p>
      <w:pPr>
        <w:pStyle w:val="ListBullet"/>
        <w:spacing w:after="40"/>
      </w:pPr>
      <w:r>
        <w:t>Track backlogs, manual records and reconciliation needs for when systems return.</w:t>
      </w:r>
    </w:p>
    <w:p>
      <w:pPr>
        <w:pStyle w:val="ListBullet"/>
        <w:spacing w:after="40"/>
      </w:pPr>
      <w:r>
        <w:t>Document temporary risk acceptances, expiry dates and compensating controls.</w:t>
      </w:r>
    </w:p>
    <w:p>
      <w:pPr>
        <w:pStyle w:val="Heading1"/>
      </w:pPr>
      <w:r>
        <w:t>12. Legal, Privacy and Regulatory Considerations</w:t>
      </w:r>
    </w:p>
    <w:p>
      <w:r>
        <w:t>Incident response can trigger legal, contractual, privacy, sectoral, insurance and law-enforcement considerations. Requirements vary by jurisdiction, data type, organization and contract. The legal counsel and privacy/compliance officer should determine what applies; responders should not infer a universal notification deadline.</w:t>
      </w:r>
    </w:p>
    <w:p>
      <w:pPr>
        <w:pStyle w:val="ListBullet"/>
        <w:spacing w:after="40"/>
      </w:pPr>
      <w:r>
        <w:t>Identify potentially affected data categories, individuals, customers, partners and jurisdictions.</w:t>
      </w:r>
    </w:p>
    <w:p>
      <w:pPr>
        <w:pStyle w:val="ListBullet"/>
        <w:spacing w:after="40"/>
      </w:pPr>
      <w:r>
        <w:t>Review contractual notice clauses, data-processing agreements, service-level commitments and cyber-insurance conditions.</w:t>
      </w:r>
    </w:p>
    <w:p>
      <w:pPr>
        <w:pStyle w:val="ListBullet"/>
        <w:spacing w:after="40"/>
      </w:pPr>
      <w:r>
        <w:t>Preserve records relevant to potential litigation, regulatory inquiry or law-enforcement request.</w:t>
      </w:r>
    </w:p>
    <w:p>
      <w:pPr>
        <w:pStyle w:val="ListBullet"/>
        <w:spacing w:after="40"/>
      </w:pPr>
      <w:r>
        <w:t>Record the basis, approver, timing and content of required notifications.</w:t>
      </w:r>
    </w:p>
    <w:p>
      <w:pPr>
        <w:pStyle w:val="ListBullet"/>
        <w:spacing w:after="40"/>
      </w:pPr>
      <w:r>
        <w:t>Use approved channels for law-enforcement or regulator engagement; avoid sharing unnecessary sensitive data.</w:t>
      </w:r>
    </w:p>
    <w:p>
      <w:pPr>
        <w:pStyle w:val="ListBullet"/>
        <w:spacing w:after="40"/>
      </w:pPr>
      <w:r>
        <w:t>Maintain confidentiality and restrict incident information to authorized personnel.</w:t>
      </w:r>
    </w:p>
    <w:p>
      <w:r>
        <w:t>For organizations operating in India, obtain qualified advice on applicable Indian data-protection, information-technology, sector-specific and CERT-In requirements, including any applicable reporting timelines and log-retention directions. Requirements can change and depend on the incident; verify the current official rules at the time of an event.</w:t>
      </w:r>
    </w:p>
    <w:p>
      <w:pPr>
        <w:pStyle w:val="Heading2"/>
      </w:pPr>
      <w:r>
        <w:t>12.1 External Support and Insurance</w:t>
      </w:r>
    </w:p>
    <w:p>
      <w:r>
        <w:t>The organization should pre-identify its cyber-insurance carrier, panel forensic providers, breach counsel, recovery vendors and relevant service providers. Some policies require prompt notice or use of approved vendors. Check the policy before retaining outside services where doing so will not unreasonably delay urgent containment. Preserve written approvals and engagement details.</w:t>
      </w:r>
    </w:p>
    <w:p>
      <w:pPr>
        <w:pStyle w:val="Heading1"/>
      </w:pPr>
      <w:r>
        <w:t>13. Exercises, Training and Maintenance</w:t>
      </w:r>
    </w:p>
    <w:p>
      <w:pPr>
        <w:pStyle w:val="Heading2"/>
      </w:pPr>
      <w:r>
        <w:t>13.1 Exercise Program</w:t>
      </w:r>
    </w:p>
    <w:tbl>
      <w:tblPr>
        <w:tblStyle w:val="TableGrid"/>
        <w:tblW w:type="auto" w:w="0"/>
        <w:jc w:val="center"/>
        <w:tblLook w:firstColumn="1" w:firstRow="1" w:lastColumn="0" w:lastRow="0" w:noHBand="0" w:noVBand="1" w:val="04A0"/>
      </w:tblPr>
      <w:tblGrid>
        <w:gridCol w:w="3293"/>
        <w:gridCol w:w="3293"/>
        <w:gridCol w:w="3293"/>
      </w:tblGrid>
      <w:tr>
        <w:tc>
          <w:tcPr>
            <w:tcW w:type="dxa" w:w="2160"/>
            <w:vAlign w:val="center"/>
            <w:shd w:fill="15304B"/>
          </w:tcPr>
          <w:p>
            <w:pPr>
              <w:spacing w:after="20"/>
            </w:pPr>
            <w:r/>
            <w:r>
              <w:rPr>
                <w:b/>
                <w:color w:val="FFFFFF"/>
                <w:sz w:val="18"/>
              </w:rPr>
              <w:t>Exercise</w:t>
            </w:r>
          </w:p>
        </w:tc>
        <w:tc>
          <w:tcPr>
            <w:tcW w:type="dxa" w:w="6192"/>
            <w:vAlign w:val="center"/>
            <w:shd w:fill="15304B"/>
          </w:tcPr>
          <w:p>
            <w:pPr>
              <w:spacing w:after="20"/>
            </w:pPr>
            <w:r/>
            <w:r>
              <w:rPr>
                <w:b/>
                <w:color w:val="FFFFFF"/>
                <w:sz w:val="18"/>
              </w:rPr>
              <w:t>Purpose</w:t>
            </w:r>
          </w:p>
        </w:tc>
        <w:tc>
          <w:tcPr>
            <w:tcW w:type="dxa" w:w="2160"/>
            <w:vAlign w:val="center"/>
            <w:shd w:fill="15304B"/>
          </w:tcPr>
          <w:p>
            <w:pPr>
              <w:spacing w:after="20"/>
            </w:pPr>
            <w:r/>
            <w:r>
              <w:rPr>
                <w:b/>
                <w:color w:val="FFFFFF"/>
                <w:sz w:val="18"/>
              </w:rPr>
              <w:t>Suggested frequency</w:t>
            </w:r>
          </w:p>
        </w:tc>
      </w:tr>
      <w:tr>
        <w:tc>
          <w:tcPr>
            <w:tcW w:type="dxa" w:w="2160"/>
            <w:vAlign w:val="center"/>
            <w:shd w:fill="F1F6F8"/>
          </w:tcPr>
          <w:p>
            <w:pPr>
              <w:spacing w:after="20"/>
            </w:pPr>
            <w:r/>
            <w:r>
              <w:rPr>
                <w:b w:val="0"/>
                <w:sz w:val="17"/>
              </w:rPr>
              <w:t>Tabletop exercise</w:t>
            </w:r>
          </w:p>
        </w:tc>
        <w:tc>
          <w:tcPr>
            <w:tcW w:type="dxa" w:w="6192"/>
            <w:vAlign w:val="center"/>
            <w:shd w:fill="F1F6F8"/>
          </w:tcPr>
          <w:p>
            <w:pPr>
              <w:spacing w:after="20"/>
            </w:pPr>
            <w:r/>
            <w:r>
              <w:rPr>
                <w:b w:val="0"/>
                <w:sz w:val="17"/>
              </w:rPr>
              <w:t>Walk through roles, decisions, communications and escalation using a realistic scenario.</w:t>
            </w:r>
          </w:p>
        </w:tc>
        <w:tc>
          <w:tcPr>
            <w:tcW w:type="dxa" w:w="2160"/>
            <w:vAlign w:val="center"/>
            <w:shd w:fill="F1F6F8"/>
          </w:tcPr>
          <w:p>
            <w:pPr>
              <w:spacing w:after="20"/>
            </w:pPr>
            <w:r/>
            <w:r>
              <w:rPr>
                <w:b w:val="0"/>
                <w:sz w:val="17"/>
              </w:rPr>
              <w:t>At least annually; after major plan changes</w:t>
            </w:r>
          </w:p>
        </w:tc>
      </w:tr>
      <w:tr>
        <w:tc>
          <w:tcPr>
            <w:tcW w:type="dxa" w:w="2160"/>
            <w:vAlign w:val="center"/>
          </w:tcPr>
          <w:p>
            <w:pPr>
              <w:spacing w:after="20"/>
            </w:pPr>
            <w:r/>
            <w:r>
              <w:rPr>
                <w:b w:val="0"/>
                <w:sz w:val="17"/>
              </w:rPr>
              <w:t>Technical simulation</w:t>
            </w:r>
          </w:p>
        </w:tc>
        <w:tc>
          <w:tcPr>
            <w:tcW w:type="dxa" w:w="6192"/>
            <w:vAlign w:val="center"/>
          </w:tcPr>
          <w:p>
            <w:pPr>
              <w:spacing w:after="20"/>
            </w:pPr>
            <w:r/>
            <w:r>
              <w:rPr>
                <w:b w:val="0"/>
                <w:sz w:val="17"/>
              </w:rPr>
              <w:t>Test endpoint isolation, account revocation, log retrieval and backup restoration in a controlled environment.</w:t>
            </w:r>
          </w:p>
        </w:tc>
        <w:tc>
          <w:tcPr>
            <w:tcW w:type="dxa" w:w="2160"/>
            <w:vAlign w:val="center"/>
          </w:tcPr>
          <w:p>
            <w:pPr>
              <w:spacing w:after="20"/>
            </w:pPr>
            <w:r/>
            <w:r>
              <w:rPr>
                <w:b w:val="0"/>
                <w:sz w:val="17"/>
              </w:rPr>
              <w:t>At least annually for critical capabilities</w:t>
            </w:r>
          </w:p>
        </w:tc>
      </w:tr>
      <w:tr>
        <w:tc>
          <w:tcPr>
            <w:tcW w:type="dxa" w:w="2160"/>
            <w:vAlign w:val="center"/>
            <w:shd w:fill="F1F6F8"/>
          </w:tcPr>
          <w:p>
            <w:pPr>
              <w:spacing w:after="20"/>
            </w:pPr>
            <w:r/>
            <w:r>
              <w:rPr>
                <w:b w:val="0"/>
                <w:sz w:val="17"/>
              </w:rPr>
              <w:t>Phishing reporting drill</w:t>
            </w:r>
          </w:p>
        </w:tc>
        <w:tc>
          <w:tcPr>
            <w:tcW w:type="dxa" w:w="6192"/>
            <w:vAlign w:val="center"/>
            <w:shd w:fill="F1F6F8"/>
          </w:tcPr>
          <w:p>
            <w:pPr>
              <w:spacing w:after="20"/>
            </w:pPr>
            <w:r/>
            <w:r>
              <w:rPr>
                <w:b w:val="0"/>
                <w:sz w:val="17"/>
              </w:rPr>
              <w:t>Validate employee reporting and triage workflow without collecting unnecessary personal data.</w:t>
            </w:r>
          </w:p>
        </w:tc>
        <w:tc>
          <w:tcPr>
            <w:tcW w:type="dxa" w:w="2160"/>
            <w:vAlign w:val="center"/>
            <w:shd w:fill="F1F6F8"/>
          </w:tcPr>
          <w:p>
            <w:pPr>
              <w:spacing w:after="20"/>
            </w:pPr>
            <w:r/>
            <w:r>
              <w:rPr>
                <w:b w:val="0"/>
                <w:sz w:val="17"/>
              </w:rPr>
              <w:t>Periodically</w:t>
            </w:r>
          </w:p>
        </w:tc>
      </w:tr>
      <w:tr>
        <w:tc>
          <w:tcPr>
            <w:tcW w:type="dxa" w:w="2160"/>
            <w:vAlign w:val="center"/>
          </w:tcPr>
          <w:p>
            <w:pPr>
              <w:spacing w:after="20"/>
            </w:pPr>
            <w:r/>
            <w:r>
              <w:rPr>
                <w:b w:val="0"/>
                <w:sz w:val="17"/>
              </w:rPr>
              <w:t>Backup restore test</w:t>
            </w:r>
          </w:p>
        </w:tc>
        <w:tc>
          <w:tcPr>
            <w:tcW w:type="dxa" w:w="6192"/>
            <w:vAlign w:val="center"/>
          </w:tcPr>
          <w:p>
            <w:pPr>
              <w:spacing w:after="20"/>
            </w:pPr>
            <w:r/>
            <w:r>
              <w:rPr>
                <w:b w:val="0"/>
                <w:sz w:val="17"/>
              </w:rPr>
              <w:t>Prove that backups can be restored and are protected from compromised credentials.</w:t>
            </w:r>
          </w:p>
        </w:tc>
        <w:tc>
          <w:tcPr>
            <w:tcW w:type="dxa" w:w="2160"/>
            <w:vAlign w:val="center"/>
          </w:tcPr>
          <w:p>
            <w:pPr>
              <w:spacing w:after="20"/>
            </w:pPr>
            <w:r/>
            <w:r>
              <w:rPr>
                <w:b w:val="0"/>
                <w:sz w:val="17"/>
              </w:rPr>
              <w:t>Quarterly for critical systems</w:t>
            </w:r>
          </w:p>
        </w:tc>
      </w:tr>
      <w:tr>
        <w:tc>
          <w:tcPr>
            <w:tcW w:type="dxa" w:w="2160"/>
            <w:vAlign w:val="center"/>
            <w:shd w:fill="F1F6F8"/>
          </w:tcPr>
          <w:p>
            <w:pPr>
              <w:spacing w:after="20"/>
            </w:pPr>
            <w:r/>
            <w:r>
              <w:rPr>
                <w:b w:val="0"/>
                <w:sz w:val="17"/>
              </w:rPr>
              <w:t>Contact-tree test</w:t>
            </w:r>
          </w:p>
        </w:tc>
        <w:tc>
          <w:tcPr>
            <w:tcW w:type="dxa" w:w="6192"/>
            <w:vAlign w:val="center"/>
            <w:shd w:fill="F1F6F8"/>
          </w:tcPr>
          <w:p>
            <w:pPr>
              <w:spacing w:after="20"/>
            </w:pPr>
            <w:r/>
            <w:r>
              <w:rPr>
                <w:b w:val="0"/>
                <w:sz w:val="17"/>
              </w:rPr>
              <w:t>Verify responders and alternates can be reached outside corporate email.</w:t>
            </w:r>
          </w:p>
        </w:tc>
        <w:tc>
          <w:tcPr>
            <w:tcW w:type="dxa" w:w="2160"/>
            <w:vAlign w:val="center"/>
            <w:shd w:fill="F1F6F8"/>
          </w:tcPr>
          <w:p>
            <w:pPr>
              <w:spacing w:after="20"/>
            </w:pPr>
            <w:r/>
            <w:r>
              <w:rPr>
                <w:b w:val="0"/>
                <w:sz w:val="17"/>
              </w:rPr>
              <w:t>Quarterly</w:t>
            </w:r>
          </w:p>
        </w:tc>
      </w:tr>
    </w:tbl>
    <w:p/>
    <w:p>
      <w:pPr>
        <w:pStyle w:val="Heading2"/>
      </w:pPr>
      <w:r>
        <w:t>13.2 Plan Maintenance</w:t>
      </w:r>
    </w:p>
    <w:p>
      <w:pPr>
        <w:pStyle w:val="ListBullet"/>
        <w:spacing w:after="40"/>
      </w:pPr>
      <w:r>
        <w:t>Review the plan at least annually and after significant incidents, acquisitions, architecture changes or regulatory changes.</w:t>
      </w:r>
    </w:p>
    <w:p>
      <w:pPr>
        <w:pStyle w:val="ListBullet"/>
        <w:spacing w:after="40"/>
      </w:pPr>
      <w:r>
        <w:t>Assign an owner and version number; record approval and distribution.</w:t>
      </w:r>
    </w:p>
    <w:p>
      <w:pPr>
        <w:pStyle w:val="ListBullet"/>
        <w:spacing w:after="40"/>
      </w:pPr>
      <w:r>
        <w:t>Validate contact details and escalation routes quarterly.</w:t>
      </w:r>
    </w:p>
    <w:p>
      <w:pPr>
        <w:pStyle w:val="ListBullet"/>
        <w:spacing w:after="40"/>
      </w:pPr>
      <w:r>
        <w:t>Update playbooks when new services, threats, vendors or controls are introduced.</w:t>
      </w:r>
    </w:p>
    <w:p>
      <w:pPr>
        <w:pStyle w:val="ListBullet"/>
        <w:spacing w:after="40"/>
      </w:pPr>
      <w:r>
        <w:t>Store a controlled copy in a secure repository and an offline location accessible during identity or network disruption.</w:t>
      </w:r>
    </w:p>
    <w:p>
      <w:pPr>
        <w:pStyle w:val="ListBullet"/>
        <w:spacing w:after="40"/>
      </w:pPr>
      <w:r>
        <w:t>Track each improvement action to completion and verify that the change works.</w:t>
      </w:r>
    </w:p>
    <w:p>
      <w:pPr>
        <w:pStyle w:val="Heading2"/>
      </w:pPr>
      <w:r>
        <w:t>13.3 Exercise Evaluation</w:t>
      </w:r>
    </w:p>
    <w:p>
      <w:r>
        <w:t>Each exercise should record objectives, participants, scenario, decisions, response times, communications gaps, technical blockers and corrective actions. An exercise is successful when it reveals actionable improvements—not merely when participants complete every step without difficulty.</w:t>
      </w:r>
    </w:p>
    <w:p>
      <w:pPr>
        <w:pStyle w:val="Heading1"/>
      </w:pPr>
      <w:r>
        <w:t>14. Metrics and Reporting</w:t>
      </w:r>
    </w:p>
    <w:p>
      <w:r>
        <w:t>Metrics should help the organization understand whether response capability is improving. Use consistent definitions and interpret results alongside incident complexity and severity.</w:t>
      </w:r>
    </w:p>
    <w:tbl>
      <w:tblPr>
        <w:tblStyle w:val="TableGrid"/>
        <w:tblW w:type="auto" w:w="0"/>
        <w:jc w:val="center"/>
        <w:tblLook w:firstColumn="1" w:firstRow="1" w:lastColumn="0" w:lastRow="0" w:noHBand="0" w:noVBand="1" w:val="04A0"/>
      </w:tblPr>
      <w:tblGrid>
        <w:gridCol w:w="3293"/>
        <w:gridCol w:w="3293"/>
        <w:gridCol w:w="3293"/>
      </w:tblGrid>
      <w:tr>
        <w:tc>
          <w:tcPr>
            <w:tcW w:type="dxa" w:w="2448"/>
            <w:vAlign w:val="center"/>
            <w:shd w:fill="15304B"/>
          </w:tcPr>
          <w:p>
            <w:pPr>
              <w:spacing w:after="20"/>
            </w:pPr>
            <w:r/>
            <w:r>
              <w:rPr>
                <w:b/>
                <w:color w:val="FFFFFF"/>
                <w:sz w:val="18"/>
              </w:rPr>
              <w:t>Metric</w:t>
            </w:r>
          </w:p>
        </w:tc>
        <w:tc>
          <w:tcPr>
            <w:tcW w:type="dxa" w:w="4752"/>
            <w:vAlign w:val="center"/>
            <w:shd w:fill="15304B"/>
          </w:tcPr>
          <w:p>
            <w:pPr>
              <w:spacing w:after="20"/>
            </w:pPr>
            <w:r/>
            <w:r>
              <w:rPr>
                <w:b/>
                <w:color w:val="FFFFFF"/>
                <w:sz w:val="18"/>
              </w:rPr>
              <w:t>Definition</w:t>
            </w:r>
          </w:p>
        </w:tc>
        <w:tc>
          <w:tcPr>
            <w:tcW w:type="dxa" w:w="3168"/>
            <w:vAlign w:val="center"/>
            <w:shd w:fill="15304B"/>
          </w:tcPr>
          <w:p>
            <w:pPr>
              <w:spacing w:after="20"/>
            </w:pPr>
            <w:r/>
            <w:r>
              <w:rPr>
                <w:b/>
                <w:color w:val="FFFFFF"/>
                <w:sz w:val="18"/>
              </w:rPr>
              <w:t>Use</w:t>
            </w:r>
          </w:p>
        </w:tc>
      </w:tr>
      <w:tr>
        <w:tc>
          <w:tcPr>
            <w:tcW w:type="dxa" w:w="2448"/>
            <w:vAlign w:val="center"/>
            <w:shd w:fill="F1F6F8"/>
          </w:tcPr>
          <w:p>
            <w:pPr>
              <w:spacing w:after="20"/>
            </w:pPr>
            <w:r/>
            <w:r>
              <w:rPr>
                <w:b w:val="0"/>
                <w:sz w:val="17"/>
              </w:rPr>
              <w:t>Mean time to acknowledge (MTTA)</w:t>
            </w:r>
          </w:p>
        </w:tc>
        <w:tc>
          <w:tcPr>
            <w:tcW w:type="dxa" w:w="4752"/>
            <w:vAlign w:val="center"/>
            <w:shd w:fill="F1F6F8"/>
          </w:tcPr>
          <w:p>
            <w:pPr>
              <w:spacing w:after="20"/>
            </w:pPr>
            <w:r/>
            <w:r>
              <w:rPr>
                <w:b w:val="0"/>
                <w:sz w:val="17"/>
              </w:rPr>
              <w:t>Average time from report/alert to ownership acknowledgement.</w:t>
            </w:r>
          </w:p>
        </w:tc>
        <w:tc>
          <w:tcPr>
            <w:tcW w:type="dxa" w:w="3168"/>
            <w:vAlign w:val="center"/>
            <w:shd w:fill="F1F6F8"/>
          </w:tcPr>
          <w:p>
            <w:pPr>
              <w:spacing w:after="20"/>
            </w:pPr>
            <w:r/>
            <w:r>
              <w:rPr>
                <w:b w:val="0"/>
                <w:sz w:val="17"/>
              </w:rPr>
              <w:t>Evaluate alert routing and on-call coverage.</w:t>
            </w:r>
          </w:p>
        </w:tc>
      </w:tr>
      <w:tr>
        <w:tc>
          <w:tcPr>
            <w:tcW w:type="dxa" w:w="2448"/>
            <w:vAlign w:val="center"/>
          </w:tcPr>
          <w:p>
            <w:pPr>
              <w:spacing w:after="20"/>
            </w:pPr>
            <w:r/>
            <w:r>
              <w:rPr>
                <w:b w:val="0"/>
                <w:sz w:val="17"/>
              </w:rPr>
              <w:t>Mean time to contain (MTTC)</w:t>
            </w:r>
          </w:p>
        </w:tc>
        <w:tc>
          <w:tcPr>
            <w:tcW w:type="dxa" w:w="4752"/>
            <w:vAlign w:val="center"/>
          </w:tcPr>
          <w:p>
            <w:pPr>
              <w:spacing w:after="20"/>
            </w:pPr>
            <w:r/>
            <w:r>
              <w:rPr>
                <w:b w:val="0"/>
                <w:sz w:val="17"/>
              </w:rPr>
              <w:t>Average time from validated incident to effective containment.</w:t>
            </w:r>
          </w:p>
        </w:tc>
        <w:tc>
          <w:tcPr>
            <w:tcW w:type="dxa" w:w="3168"/>
            <w:vAlign w:val="center"/>
          </w:tcPr>
          <w:p>
            <w:pPr>
              <w:spacing w:after="20"/>
            </w:pPr>
            <w:r/>
            <w:r>
              <w:rPr>
                <w:b w:val="0"/>
                <w:sz w:val="17"/>
              </w:rPr>
              <w:t>Identify operational or authority delays.</w:t>
            </w:r>
          </w:p>
        </w:tc>
      </w:tr>
      <w:tr>
        <w:tc>
          <w:tcPr>
            <w:tcW w:type="dxa" w:w="2448"/>
            <w:vAlign w:val="center"/>
            <w:shd w:fill="F1F6F8"/>
          </w:tcPr>
          <w:p>
            <w:pPr>
              <w:spacing w:after="20"/>
            </w:pPr>
            <w:r/>
            <w:r>
              <w:rPr>
                <w:b w:val="0"/>
                <w:sz w:val="17"/>
              </w:rPr>
              <w:t>Mean time to recover (MTTR)</w:t>
            </w:r>
          </w:p>
        </w:tc>
        <w:tc>
          <w:tcPr>
            <w:tcW w:type="dxa" w:w="4752"/>
            <w:vAlign w:val="center"/>
            <w:shd w:fill="F1F6F8"/>
          </w:tcPr>
          <w:p>
            <w:pPr>
              <w:spacing w:after="20"/>
            </w:pPr>
            <w:r/>
            <w:r>
              <w:rPr>
                <w:b w:val="0"/>
                <w:sz w:val="17"/>
              </w:rPr>
              <w:t>Time from incident declaration to agreed service restoration; define precisely.</w:t>
            </w:r>
          </w:p>
        </w:tc>
        <w:tc>
          <w:tcPr>
            <w:tcW w:type="dxa" w:w="3168"/>
            <w:vAlign w:val="center"/>
            <w:shd w:fill="F1F6F8"/>
          </w:tcPr>
          <w:p>
            <w:pPr>
              <w:spacing w:after="20"/>
            </w:pPr>
            <w:r/>
            <w:r>
              <w:rPr>
                <w:b w:val="0"/>
                <w:sz w:val="17"/>
              </w:rPr>
              <w:t>Assess recovery readiness and dependencies.</w:t>
            </w:r>
          </w:p>
        </w:tc>
      </w:tr>
      <w:tr>
        <w:tc>
          <w:tcPr>
            <w:tcW w:type="dxa" w:w="2448"/>
            <w:vAlign w:val="center"/>
          </w:tcPr>
          <w:p>
            <w:pPr>
              <w:spacing w:after="20"/>
            </w:pPr>
            <w:r/>
            <w:r>
              <w:rPr>
                <w:b w:val="0"/>
                <w:sz w:val="17"/>
              </w:rPr>
              <w:t>Scope determination time</w:t>
            </w:r>
          </w:p>
        </w:tc>
        <w:tc>
          <w:tcPr>
            <w:tcW w:type="dxa" w:w="4752"/>
            <w:vAlign w:val="center"/>
          </w:tcPr>
          <w:p>
            <w:pPr>
              <w:spacing w:after="20"/>
            </w:pPr>
            <w:r/>
            <w:r>
              <w:rPr>
                <w:b w:val="0"/>
                <w:sz w:val="17"/>
              </w:rPr>
              <w:t>Time to establish affected systems, identities and data with reasonable confidence.</w:t>
            </w:r>
          </w:p>
        </w:tc>
        <w:tc>
          <w:tcPr>
            <w:tcW w:type="dxa" w:w="3168"/>
            <w:vAlign w:val="center"/>
          </w:tcPr>
          <w:p>
            <w:pPr>
              <w:spacing w:after="20"/>
            </w:pPr>
            <w:r/>
            <w:r>
              <w:rPr>
                <w:b w:val="0"/>
                <w:sz w:val="17"/>
              </w:rPr>
              <w:t>Evaluate logging and investigation capability.</w:t>
            </w:r>
          </w:p>
        </w:tc>
      </w:tr>
      <w:tr>
        <w:tc>
          <w:tcPr>
            <w:tcW w:type="dxa" w:w="2448"/>
            <w:vAlign w:val="center"/>
            <w:shd w:fill="F1F6F8"/>
          </w:tcPr>
          <w:p>
            <w:pPr>
              <w:spacing w:after="20"/>
            </w:pPr>
            <w:r/>
            <w:r>
              <w:rPr>
                <w:b w:val="0"/>
                <w:sz w:val="17"/>
              </w:rPr>
              <w:t>Evidence completeness</w:t>
            </w:r>
          </w:p>
        </w:tc>
        <w:tc>
          <w:tcPr>
            <w:tcW w:type="dxa" w:w="4752"/>
            <w:vAlign w:val="center"/>
            <w:shd w:fill="F1F6F8"/>
          </w:tcPr>
          <w:p>
            <w:pPr>
              <w:spacing w:after="20"/>
            </w:pPr>
            <w:r/>
            <w:r>
              <w:rPr>
                <w:b w:val="0"/>
                <w:sz w:val="17"/>
              </w:rPr>
              <w:t>Percentage of major actions with timestamps, owners and evidence references.</w:t>
            </w:r>
          </w:p>
        </w:tc>
        <w:tc>
          <w:tcPr>
            <w:tcW w:type="dxa" w:w="3168"/>
            <w:vAlign w:val="center"/>
            <w:shd w:fill="F1F6F8"/>
          </w:tcPr>
          <w:p>
            <w:pPr>
              <w:spacing w:after="20"/>
            </w:pPr>
            <w:r/>
            <w:r>
              <w:rPr>
                <w:b w:val="0"/>
                <w:sz w:val="17"/>
              </w:rPr>
              <w:t>Assess auditability.</w:t>
            </w:r>
          </w:p>
        </w:tc>
      </w:tr>
      <w:tr>
        <w:tc>
          <w:tcPr>
            <w:tcW w:type="dxa" w:w="2448"/>
            <w:vAlign w:val="center"/>
          </w:tcPr>
          <w:p>
            <w:pPr>
              <w:spacing w:after="20"/>
            </w:pPr>
            <w:r/>
            <w:r>
              <w:rPr>
                <w:b w:val="0"/>
                <w:sz w:val="17"/>
              </w:rPr>
              <w:t>Playbook coverage</w:t>
            </w:r>
          </w:p>
        </w:tc>
        <w:tc>
          <w:tcPr>
            <w:tcW w:type="dxa" w:w="4752"/>
            <w:vAlign w:val="center"/>
          </w:tcPr>
          <w:p>
            <w:pPr>
              <w:spacing w:after="20"/>
            </w:pPr>
            <w:r/>
            <w:r>
              <w:rPr>
                <w:b w:val="0"/>
                <w:sz w:val="17"/>
              </w:rPr>
              <w:t>Share of priority incident types with tested playbooks.</w:t>
            </w:r>
          </w:p>
        </w:tc>
        <w:tc>
          <w:tcPr>
            <w:tcW w:type="dxa" w:w="3168"/>
            <w:vAlign w:val="center"/>
          </w:tcPr>
          <w:p>
            <w:pPr>
              <w:spacing w:after="20"/>
            </w:pPr>
            <w:r/>
            <w:r>
              <w:rPr>
                <w:b w:val="0"/>
                <w:sz w:val="17"/>
              </w:rPr>
              <w:t>Guide preparedness investment.</w:t>
            </w:r>
          </w:p>
        </w:tc>
      </w:tr>
      <w:tr>
        <w:tc>
          <w:tcPr>
            <w:tcW w:type="dxa" w:w="2448"/>
            <w:vAlign w:val="center"/>
            <w:shd w:fill="F1F6F8"/>
          </w:tcPr>
          <w:p>
            <w:pPr>
              <w:spacing w:after="20"/>
            </w:pPr>
            <w:r/>
            <w:r>
              <w:rPr>
                <w:b w:val="0"/>
                <w:sz w:val="17"/>
              </w:rPr>
              <w:t>Corrective-action closure</w:t>
            </w:r>
          </w:p>
        </w:tc>
        <w:tc>
          <w:tcPr>
            <w:tcW w:type="dxa" w:w="4752"/>
            <w:vAlign w:val="center"/>
            <w:shd w:fill="F1F6F8"/>
          </w:tcPr>
          <w:p>
            <w:pPr>
              <w:spacing w:after="20"/>
            </w:pPr>
            <w:r/>
            <w:r>
              <w:rPr>
                <w:b w:val="0"/>
                <w:sz w:val="17"/>
              </w:rPr>
              <w:t>Percentage of post-incident actions completed by due date.</w:t>
            </w:r>
          </w:p>
        </w:tc>
        <w:tc>
          <w:tcPr>
            <w:tcW w:type="dxa" w:w="3168"/>
            <w:vAlign w:val="center"/>
            <w:shd w:fill="F1F6F8"/>
          </w:tcPr>
          <w:p>
            <w:pPr>
              <w:spacing w:after="20"/>
            </w:pPr>
            <w:r/>
            <w:r>
              <w:rPr>
                <w:b w:val="0"/>
                <w:sz w:val="17"/>
              </w:rPr>
              <w:t>Track continuous improvement.</w:t>
            </w:r>
          </w:p>
        </w:tc>
      </w:tr>
      <w:tr>
        <w:tc>
          <w:tcPr>
            <w:tcW w:type="dxa" w:w="2448"/>
            <w:vAlign w:val="center"/>
          </w:tcPr>
          <w:p>
            <w:pPr>
              <w:spacing w:after="20"/>
            </w:pPr>
            <w:r/>
            <w:r>
              <w:rPr>
                <w:b w:val="0"/>
                <w:sz w:val="17"/>
              </w:rPr>
              <w:t>Backup restore success</w:t>
            </w:r>
          </w:p>
        </w:tc>
        <w:tc>
          <w:tcPr>
            <w:tcW w:type="dxa" w:w="4752"/>
            <w:vAlign w:val="center"/>
          </w:tcPr>
          <w:p>
            <w:pPr>
              <w:spacing w:after="20"/>
            </w:pPr>
            <w:r/>
            <w:r>
              <w:rPr>
                <w:b w:val="0"/>
                <w:sz w:val="17"/>
              </w:rPr>
              <w:t>Share of scheduled restore tests meeting agreed objectives.</w:t>
            </w:r>
          </w:p>
        </w:tc>
        <w:tc>
          <w:tcPr>
            <w:tcW w:type="dxa" w:w="3168"/>
            <w:vAlign w:val="center"/>
          </w:tcPr>
          <w:p>
            <w:pPr>
              <w:spacing w:after="20"/>
            </w:pPr>
            <w:r/>
            <w:r>
              <w:rPr>
                <w:b w:val="0"/>
                <w:sz w:val="17"/>
              </w:rPr>
              <w:t>Validate resilience.</w:t>
            </w:r>
          </w:p>
        </w:tc>
      </w:tr>
    </w:tbl>
    <w:p/>
    <w:p>
      <w:r>
        <w:t>Reports should avoid exposing unnecessary sensitive details. Executive reporting should summarize business impact, response status, residual risk, decisions required and corrective actions.</w:t>
      </w:r>
    </w:p>
    <w:p>
      <w:pPr>
        <w:pStyle w:val="Heading1"/>
      </w:pPr>
      <w:r>
        <w:t>15. Implementation Roadmap</w:t>
      </w:r>
    </w:p>
    <w:tbl>
      <w:tblPr>
        <w:tblStyle w:val="TableGrid"/>
        <w:tblW w:type="auto" w:w="0"/>
        <w:jc w:val="center"/>
        <w:tblLook w:firstColumn="1" w:firstRow="1" w:lastColumn="0" w:lastRow="0" w:noHBand="0" w:noVBand="1" w:val="04A0"/>
      </w:tblPr>
      <w:tblGrid>
        <w:gridCol w:w="3293"/>
        <w:gridCol w:w="3293"/>
        <w:gridCol w:w="3293"/>
      </w:tblGrid>
      <w:tr>
        <w:tc>
          <w:tcPr>
            <w:tcW w:type="dxa" w:w="1800"/>
            <w:vAlign w:val="center"/>
            <w:shd w:fill="15304B"/>
          </w:tcPr>
          <w:p>
            <w:pPr>
              <w:spacing w:after="20"/>
            </w:pPr>
            <w:r/>
            <w:r>
              <w:rPr>
                <w:b/>
                <w:color w:val="FFFFFF"/>
                <w:sz w:val="18"/>
              </w:rPr>
              <w:t>Timeframe</w:t>
            </w:r>
          </w:p>
        </w:tc>
        <w:tc>
          <w:tcPr>
            <w:tcW w:type="dxa" w:w="5760"/>
            <w:vAlign w:val="center"/>
            <w:shd w:fill="15304B"/>
          </w:tcPr>
          <w:p>
            <w:pPr>
              <w:spacing w:after="20"/>
            </w:pPr>
            <w:r/>
            <w:r>
              <w:rPr>
                <w:b/>
                <w:color w:val="FFFFFF"/>
                <w:sz w:val="18"/>
              </w:rPr>
              <w:t>Priority actions</w:t>
            </w:r>
          </w:p>
        </w:tc>
        <w:tc>
          <w:tcPr>
            <w:tcW w:type="dxa" w:w="3168"/>
            <w:vAlign w:val="center"/>
            <w:shd w:fill="15304B"/>
          </w:tcPr>
          <w:p>
            <w:pPr>
              <w:spacing w:after="20"/>
            </w:pPr>
            <w:r/>
            <w:r>
              <w:rPr>
                <w:b/>
                <w:color w:val="FFFFFF"/>
                <w:sz w:val="18"/>
              </w:rPr>
              <w:t>Deliverable / evidence</w:t>
            </w:r>
          </w:p>
        </w:tc>
      </w:tr>
      <w:tr>
        <w:tc>
          <w:tcPr>
            <w:tcW w:type="dxa" w:w="1800"/>
            <w:vAlign w:val="center"/>
            <w:shd w:fill="F1F6F8"/>
          </w:tcPr>
          <w:p>
            <w:pPr>
              <w:spacing w:after="20"/>
            </w:pPr>
            <w:r/>
            <w:r>
              <w:rPr>
                <w:b w:val="0"/>
                <w:sz w:val="17"/>
              </w:rPr>
              <w:t>First 30 days</w:t>
            </w:r>
          </w:p>
        </w:tc>
        <w:tc>
          <w:tcPr>
            <w:tcW w:type="dxa" w:w="5760"/>
            <w:vAlign w:val="center"/>
            <w:shd w:fill="F1F6F8"/>
          </w:tcPr>
          <w:p>
            <w:pPr>
              <w:spacing w:after="20"/>
            </w:pPr>
            <w:r/>
            <w:r>
              <w:rPr>
                <w:b w:val="0"/>
                <w:sz w:val="17"/>
              </w:rPr>
              <w:t>Name incident commander and alternates; verify emergency contacts; define severity levels; approve reporting channel; identify critical systems and owners.</w:t>
            </w:r>
          </w:p>
        </w:tc>
        <w:tc>
          <w:tcPr>
            <w:tcW w:type="dxa" w:w="3168"/>
            <w:vAlign w:val="center"/>
            <w:shd w:fill="F1F6F8"/>
          </w:tcPr>
          <w:p>
            <w:pPr>
              <w:spacing w:after="20"/>
            </w:pPr>
            <w:r/>
            <w:r>
              <w:rPr>
                <w:b w:val="0"/>
                <w:sz w:val="17"/>
              </w:rPr>
              <w:t>Approved contact tree, incident intake form, initial asset/owner list.</w:t>
            </w:r>
          </w:p>
        </w:tc>
      </w:tr>
      <w:tr>
        <w:tc>
          <w:tcPr>
            <w:tcW w:type="dxa" w:w="1800"/>
            <w:vAlign w:val="center"/>
          </w:tcPr>
          <w:p>
            <w:pPr>
              <w:spacing w:after="20"/>
            </w:pPr>
            <w:r/>
            <w:r>
              <w:rPr>
                <w:b w:val="0"/>
                <w:sz w:val="17"/>
              </w:rPr>
              <w:t>Days 31–60</w:t>
            </w:r>
          </w:p>
        </w:tc>
        <w:tc>
          <w:tcPr>
            <w:tcW w:type="dxa" w:w="5760"/>
            <w:vAlign w:val="center"/>
          </w:tcPr>
          <w:p>
            <w:pPr>
              <w:spacing w:after="20"/>
            </w:pPr>
            <w:r/>
            <w:r>
              <w:rPr>
                <w:b w:val="0"/>
                <w:sz w:val="17"/>
              </w:rPr>
              <w:t>Centralize priority logs; review MFA and privileged accounts; document emergency containment actions; verify backup isolation; draft scenario playbooks.</w:t>
            </w:r>
          </w:p>
        </w:tc>
        <w:tc>
          <w:tcPr>
            <w:tcW w:type="dxa" w:w="3168"/>
            <w:vAlign w:val="center"/>
          </w:tcPr>
          <w:p>
            <w:pPr>
              <w:spacing w:after="20"/>
            </w:pPr>
            <w:r/>
            <w:r>
              <w:rPr>
                <w:b w:val="0"/>
                <w:sz w:val="17"/>
              </w:rPr>
              <w:t>Logging coverage review, access review, containment runbook, backup test record.</w:t>
            </w:r>
          </w:p>
        </w:tc>
      </w:tr>
      <w:tr>
        <w:tc>
          <w:tcPr>
            <w:tcW w:type="dxa" w:w="1800"/>
            <w:vAlign w:val="center"/>
            <w:shd w:fill="F1F6F8"/>
          </w:tcPr>
          <w:p>
            <w:pPr>
              <w:spacing w:after="20"/>
            </w:pPr>
            <w:r/>
            <w:r>
              <w:rPr>
                <w:b w:val="0"/>
                <w:sz w:val="17"/>
              </w:rPr>
              <w:t>Days 61–90</w:t>
            </w:r>
          </w:p>
        </w:tc>
        <w:tc>
          <w:tcPr>
            <w:tcW w:type="dxa" w:w="5760"/>
            <w:vAlign w:val="center"/>
            <w:shd w:fill="F1F6F8"/>
          </w:tcPr>
          <w:p>
            <w:pPr>
              <w:spacing w:after="20"/>
            </w:pPr>
            <w:r/>
            <w:r>
              <w:rPr>
                <w:b w:val="0"/>
                <w:sz w:val="17"/>
              </w:rPr>
              <w:t>Run ransomware or account-compromise tabletop; test account revocation and endpoint isolation; review legal/vendor notification paths; close high-risk gaps.</w:t>
            </w:r>
          </w:p>
        </w:tc>
        <w:tc>
          <w:tcPr>
            <w:tcW w:type="dxa" w:w="3168"/>
            <w:vAlign w:val="center"/>
            <w:shd w:fill="F1F6F8"/>
          </w:tcPr>
          <w:p>
            <w:pPr>
              <w:spacing w:after="20"/>
            </w:pPr>
            <w:r/>
            <w:r>
              <w:rPr>
                <w:b w:val="0"/>
                <w:sz w:val="17"/>
              </w:rPr>
              <w:t>Exercise report, corrective-action register, updated plan.</w:t>
            </w:r>
          </w:p>
        </w:tc>
      </w:tr>
      <w:tr>
        <w:tc>
          <w:tcPr>
            <w:tcW w:type="dxa" w:w="1800"/>
            <w:vAlign w:val="center"/>
          </w:tcPr>
          <w:p>
            <w:pPr>
              <w:spacing w:after="20"/>
            </w:pPr>
            <w:r/>
            <w:r>
              <w:rPr>
                <w:b w:val="0"/>
                <w:sz w:val="17"/>
              </w:rPr>
              <w:t>Ongoing</w:t>
            </w:r>
          </w:p>
        </w:tc>
        <w:tc>
          <w:tcPr>
            <w:tcW w:type="dxa" w:w="5760"/>
            <w:vAlign w:val="center"/>
          </w:tcPr>
          <w:p>
            <w:pPr>
              <w:spacing w:after="20"/>
            </w:pPr>
            <w:r/>
            <w:r>
              <w:rPr>
                <w:b w:val="0"/>
                <w:sz w:val="17"/>
              </w:rPr>
              <w:t>Quarterly contact and restore tests; periodic training; annual tabletop and plan review; track metrics and improvement actions.</w:t>
            </w:r>
          </w:p>
        </w:tc>
        <w:tc>
          <w:tcPr>
            <w:tcW w:type="dxa" w:w="3168"/>
            <w:vAlign w:val="center"/>
          </w:tcPr>
          <w:p>
            <w:pPr>
              <w:spacing w:after="20"/>
            </w:pPr>
            <w:r/>
            <w:r>
              <w:rPr>
                <w:b w:val="0"/>
                <w:sz w:val="17"/>
              </w:rPr>
              <w:t>Quarterly readiness dashboard and annual review sign-off.</w:t>
            </w:r>
          </w:p>
        </w:tc>
      </w:tr>
    </w:tbl>
    <w:p/>
    <w:p>
      <w:pPr>
        <w:pStyle w:val="Heading2"/>
      </w:pPr>
      <w:r>
        <w:t>15.1 Resource Considerations</w:t>
      </w:r>
    </w:p>
    <w:p>
      <w:r>
        <w:t>A small organization may not have a dedicated SOC or forensic team. It should still designate a coordinator, maintain an accurate contact list, enable core logging and MFA, protect backups, and pre-arrange external support. Managed detection and response providers can extend coverage, but contracts must define alert escalation, evidence access, response authority, data handling and service expectations.</w:t>
      </w:r>
    </w:p>
    <w:p>
      <w:pPr>
        <w:pStyle w:val="Heading2"/>
      </w:pPr>
      <w:r>
        <w:t>15.2 Risks if the Plan Is Not Implemented</w:t>
      </w:r>
    </w:p>
    <w:p>
      <w:pPr>
        <w:pStyle w:val="ListBullet"/>
        <w:spacing w:after="40"/>
      </w:pPr>
      <w:r>
        <w:t>Delayed containment can allow attackers to expand access or encrypt additional systems.</w:t>
      </w:r>
    </w:p>
    <w:p>
      <w:pPr>
        <w:pStyle w:val="ListBullet"/>
        <w:spacing w:after="40"/>
      </w:pPr>
      <w:r>
        <w:t>Unclear decision rights can cause inconsistent or conflicting actions.</w:t>
      </w:r>
    </w:p>
    <w:p>
      <w:pPr>
        <w:pStyle w:val="ListBullet"/>
        <w:spacing w:after="40"/>
      </w:pPr>
      <w:r>
        <w:t>Insufficient logs can prevent reliable scoping and delay recovery.</w:t>
      </w:r>
    </w:p>
    <w:p>
      <w:pPr>
        <w:pStyle w:val="ListBullet"/>
        <w:spacing w:after="40"/>
      </w:pPr>
      <w:r>
        <w:t>Unprotected backups can turn a limited incident into a prolonged outage.</w:t>
      </w:r>
    </w:p>
    <w:p>
      <w:pPr>
        <w:pStyle w:val="ListBullet"/>
        <w:spacing w:after="40"/>
      </w:pPr>
      <w:r>
        <w:t>Uncoordinated communications can create legal exposure and undermine trust.</w:t>
      </w:r>
    </w:p>
    <w:p>
      <w:pPr>
        <w:pStyle w:val="ListBullet"/>
        <w:spacing w:after="40"/>
      </w:pPr>
      <w:r>
        <w:t>Failure to review lessons learned can leave the same weaknesses available for repeat attacks.</w:t>
      </w:r>
    </w:p>
    <w:p>
      <w:pPr>
        <w:pStyle w:val="Heading1"/>
      </w:pPr>
      <w:r>
        <w:t>16. Conclusion</w:t>
      </w:r>
    </w:p>
    <w:p>
      <w:r>
        <w:t>An effective Incident Response Plan turns an uncertain emergency into a coordinated process. The organization must prepare before an attack, detect and assess events consistently, contain threats proportionately, preserve evidence, eradicate attacker access, recover from trusted sources and improve after every significant incident. Clear roles, tested communications, reliable logging, secure backups and executive support are as important as technical tools.</w:t>
      </w:r>
    </w:p>
    <w:p>
      <w:r>
        <w:t>This plan provides a practical foundation for the YuvaIntern Week 2 task and can be adapted to real organizational needs. Its value depends on approval, training, exercises, accurate contacts and ongoing maintenance. The recommended next step is to validate the plan with a tabletop exercise, assign owners to readiness gaps, and track corrective actions to completion.</w:t>
      </w:r>
    </w:p>
    <w:p>
      <w:pPr>
        <w:pStyle w:val="Heading1"/>
      </w:pPr>
      <w:r>
        <w:t>Appendix A: Incident Intake Form</w:t>
      </w:r>
    </w:p>
    <w:tbl>
      <w:tblPr>
        <w:tblStyle w:val="TableGrid"/>
        <w:tblW w:type="auto" w:w="0"/>
        <w:jc w:val="center"/>
        <w:tblLook w:firstColumn="1" w:firstRow="1" w:lastColumn="0" w:lastRow="0" w:noHBand="0" w:noVBand="1" w:val="04A0"/>
      </w:tblPr>
      <w:tblGrid>
        <w:gridCol w:w="4939"/>
        <w:gridCol w:w="4939"/>
      </w:tblGrid>
      <w:tr>
        <w:tc>
          <w:tcPr>
            <w:tcW w:type="dxa" w:w="3456"/>
            <w:vAlign w:val="center"/>
            <w:shd w:fill="15304B"/>
          </w:tcPr>
          <w:p>
            <w:pPr>
              <w:spacing w:after="20"/>
            </w:pPr>
            <w:r/>
            <w:r>
              <w:rPr>
                <w:b/>
                <w:color w:val="FFFFFF"/>
                <w:sz w:val="18"/>
              </w:rPr>
              <w:t>Field</w:t>
            </w:r>
          </w:p>
        </w:tc>
        <w:tc>
          <w:tcPr>
            <w:tcW w:type="dxa" w:w="7200"/>
            <w:vAlign w:val="center"/>
            <w:shd w:fill="15304B"/>
          </w:tcPr>
          <w:p>
            <w:pPr>
              <w:spacing w:after="20"/>
            </w:pPr>
            <w:r/>
            <w:r>
              <w:rPr>
                <w:b/>
                <w:color w:val="FFFFFF"/>
                <w:sz w:val="18"/>
              </w:rPr>
              <w:t>Record</w:t>
            </w:r>
          </w:p>
        </w:tc>
      </w:tr>
      <w:tr>
        <w:tc>
          <w:tcPr>
            <w:tcW w:type="dxa" w:w="3456"/>
            <w:vAlign w:val="center"/>
            <w:shd w:fill="F1F6F8"/>
          </w:tcPr>
          <w:p>
            <w:pPr>
              <w:spacing w:after="20"/>
            </w:pPr>
            <w:r/>
            <w:r>
              <w:rPr>
                <w:b w:val="0"/>
                <w:sz w:val="17"/>
              </w:rPr>
              <w:t>Incident ID</w:t>
            </w:r>
          </w:p>
        </w:tc>
        <w:tc>
          <w:tcPr>
            <w:tcW w:type="dxa" w:w="7200"/>
            <w:vAlign w:val="center"/>
            <w:shd w:fill="F1F6F8"/>
          </w:tcPr>
          <w:p>
            <w:pPr>
              <w:spacing w:after="20"/>
            </w:pPr>
            <w:r/>
            <w:r>
              <w:rPr>
                <w:b w:val="0"/>
                <w:sz w:val="17"/>
              </w:rPr>
              <w:t>IR-YYYY-MM-DD-###</w:t>
            </w:r>
          </w:p>
        </w:tc>
      </w:tr>
      <w:tr>
        <w:tc>
          <w:tcPr>
            <w:tcW w:type="dxa" w:w="3456"/>
            <w:vAlign w:val="center"/>
          </w:tcPr>
          <w:p>
            <w:pPr>
              <w:spacing w:after="20"/>
            </w:pPr>
            <w:r/>
            <w:r>
              <w:rPr>
                <w:b w:val="0"/>
                <w:sz w:val="17"/>
              </w:rPr>
              <w:t>Date/time reported and time zone</w:t>
            </w:r>
          </w:p>
        </w:tc>
        <w:tc>
          <w:tcPr>
            <w:tcW w:type="dxa" w:w="7200"/>
            <w:vAlign w:val="center"/>
          </w:tcPr>
          <w:p>
            <w:pPr>
              <w:spacing w:after="20"/>
            </w:pPr>
            <w:r/>
            <w:r>
              <w:rPr>
                <w:b w:val="0"/>
                <w:sz w:val="17"/>
              </w:rPr>
              <w:t>________________________________</w:t>
            </w:r>
          </w:p>
        </w:tc>
      </w:tr>
      <w:tr>
        <w:tc>
          <w:tcPr>
            <w:tcW w:type="dxa" w:w="3456"/>
            <w:vAlign w:val="center"/>
            <w:shd w:fill="F1F6F8"/>
          </w:tcPr>
          <w:p>
            <w:pPr>
              <w:spacing w:after="20"/>
            </w:pPr>
            <w:r/>
            <w:r>
              <w:rPr>
                <w:b w:val="0"/>
                <w:sz w:val="17"/>
              </w:rPr>
              <w:t>Reporter / contact method</w:t>
            </w:r>
          </w:p>
        </w:tc>
        <w:tc>
          <w:tcPr>
            <w:tcW w:type="dxa" w:w="7200"/>
            <w:vAlign w:val="center"/>
            <w:shd w:fill="F1F6F8"/>
          </w:tcPr>
          <w:p>
            <w:pPr>
              <w:spacing w:after="20"/>
            </w:pPr>
            <w:r/>
            <w:r>
              <w:rPr>
                <w:b w:val="0"/>
                <w:sz w:val="17"/>
              </w:rPr>
              <w:t>________________________________</w:t>
            </w:r>
          </w:p>
        </w:tc>
      </w:tr>
      <w:tr>
        <w:tc>
          <w:tcPr>
            <w:tcW w:type="dxa" w:w="3456"/>
            <w:vAlign w:val="center"/>
          </w:tcPr>
          <w:p>
            <w:pPr>
              <w:spacing w:after="20"/>
            </w:pPr>
            <w:r/>
            <w:r>
              <w:rPr>
                <w:b w:val="0"/>
                <w:sz w:val="17"/>
              </w:rPr>
              <w:t>Affected system, account or service</w:t>
            </w:r>
          </w:p>
        </w:tc>
        <w:tc>
          <w:tcPr>
            <w:tcW w:type="dxa" w:w="7200"/>
            <w:vAlign w:val="center"/>
          </w:tcPr>
          <w:p>
            <w:pPr>
              <w:spacing w:after="20"/>
            </w:pPr>
            <w:r/>
            <w:r>
              <w:rPr>
                <w:b w:val="0"/>
                <w:sz w:val="17"/>
              </w:rPr>
              <w:t>________________________________</w:t>
            </w:r>
          </w:p>
        </w:tc>
      </w:tr>
      <w:tr>
        <w:tc>
          <w:tcPr>
            <w:tcW w:type="dxa" w:w="3456"/>
            <w:vAlign w:val="center"/>
            <w:shd w:fill="F1F6F8"/>
          </w:tcPr>
          <w:p>
            <w:pPr>
              <w:spacing w:after="20"/>
            </w:pPr>
            <w:r/>
            <w:r>
              <w:rPr>
                <w:b w:val="0"/>
                <w:sz w:val="17"/>
              </w:rPr>
              <w:t>What was observed? (facts only)</w:t>
            </w:r>
          </w:p>
        </w:tc>
        <w:tc>
          <w:tcPr>
            <w:tcW w:type="dxa" w:w="7200"/>
            <w:vAlign w:val="center"/>
            <w:shd w:fill="F1F6F8"/>
          </w:tcPr>
          <w:p>
            <w:pPr>
              <w:spacing w:after="20"/>
            </w:pPr>
            <w:r/>
            <w:r>
              <w:rPr>
                <w:b w:val="0"/>
                <w:sz w:val="17"/>
              </w:rPr>
              <w:t>________________________________</w:t>
              <w:br/>
              <w:t>________________________________</w:t>
            </w:r>
          </w:p>
        </w:tc>
      </w:tr>
      <w:tr>
        <w:tc>
          <w:tcPr>
            <w:tcW w:type="dxa" w:w="3456"/>
            <w:vAlign w:val="center"/>
          </w:tcPr>
          <w:p>
            <w:pPr>
              <w:spacing w:after="20"/>
            </w:pPr>
            <w:r/>
            <w:r>
              <w:rPr>
                <w:b w:val="0"/>
                <w:sz w:val="17"/>
              </w:rPr>
              <w:t>First known occurrence / last known normal</w:t>
            </w:r>
          </w:p>
        </w:tc>
        <w:tc>
          <w:tcPr>
            <w:tcW w:type="dxa" w:w="7200"/>
            <w:vAlign w:val="center"/>
          </w:tcPr>
          <w:p>
            <w:pPr>
              <w:spacing w:after="20"/>
            </w:pPr>
            <w:r/>
            <w:r>
              <w:rPr>
                <w:b w:val="0"/>
                <w:sz w:val="17"/>
              </w:rPr>
              <w:t>________________________________</w:t>
            </w:r>
          </w:p>
        </w:tc>
      </w:tr>
      <w:tr>
        <w:tc>
          <w:tcPr>
            <w:tcW w:type="dxa" w:w="3456"/>
            <w:vAlign w:val="center"/>
            <w:shd w:fill="F1F6F8"/>
          </w:tcPr>
          <w:p>
            <w:pPr>
              <w:spacing w:after="20"/>
            </w:pPr>
            <w:r/>
            <w:r>
              <w:rPr>
                <w:b w:val="0"/>
                <w:sz w:val="17"/>
              </w:rPr>
              <w:t>Potential data or business impact</w:t>
            </w:r>
          </w:p>
        </w:tc>
        <w:tc>
          <w:tcPr>
            <w:tcW w:type="dxa" w:w="7200"/>
            <w:vAlign w:val="center"/>
            <w:shd w:fill="F1F6F8"/>
          </w:tcPr>
          <w:p>
            <w:pPr>
              <w:spacing w:after="20"/>
            </w:pPr>
            <w:r/>
            <w:r>
              <w:rPr>
                <w:b w:val="0"/>
                <w:sz w:val="17"/>
              </w:rPr>
              <w:t>________________________________</w:t>
            </w:r>
          </w:p>
        </w:tc>
      </w:tr>
      <w:tr>
        <w:tc>
          <w:tcPr>
            <w:tcW w:type="dxa" w:w="3456"/>
            <w:vAlign w:val="center"/>
          </w:tcPr>
          <w:p>
            <w:pPr>
              <w:spacing w:after="20"/>
            </w:pPr>
            <w:r/>
            <w:r>
              <w:rPr>
                <w:b w:val="0"/>
                <w:sz w:val="17"/>
              </w:rPr>
              <w:t>Actions already taken</w:t>
            </w:r>
          </w:p>
        </w:tc>
        <w:tc>
          <w:tcPr>
            <w:tcW w:type="dxa" w:w="7200"/>
            <w:vAlign w:val="center"/>
          </w:tcPr>
          <w:p>
            <w:pPr>
              <w:spacing w:after="20"/>
            </w:pPr>
            <w:r/>
            <w:r>
              <w:rPr>
                <w:b w:val="0"/>
                <w:sz w:val="17"/>
              </w:rPr>
              <w:t>________________________________</w:t>
            </w:r>
          </w:p>
        </w:tc>
      </w:tr>
      <w:tr>
        <w:tc>
          <w:tcPr>
            <w:tcW w:type="dxa" w:w="3456"/>
            <w:vAlign w:val="center"/>
            <w:shd w:fill="F1F6F8"/>
          </w:tcPr>
          <w:p>
            <w:pPr>
              <w:spacing w:after="20"/>
            </w:pPr>
            <w:r/>
            <w:r>
              <w:rPr>
                <w:b w:val="0"/>
                <w:sz w:val="17"/>
              </w:rPr>
              <w:t>Evidence references / attachments</w:t>
            </w:r>
          </w:p>
        </w:tc>
        <w:tc>
          <w:tcPr>
            <w:tcW w:type="dxa" w:w="7200"/>
            <w:vAlign w:val="center"/>
            <w:shd w:fill="F1F6F8"/>
          </w:tcPr>
          <w:p>
            <w:pPr>
              <w:spacing w:after="20"/>
            </w:pPr>
            <w:r/>
            <w:r>
              <w:rPr>
                <w:b w:val="0"/>
                <w:sz w:val="17"/>
              </w:rPr>
              <w:t>________________________________</w:t>
            </w:r>
          </w:p>
        </w:tc>
      </w:tr>
      <w:tr>
        <w:tc>
          <w:tcPr>
            <w:tcW w:type="dxa" w:w="3456"/>
            <w:vAlign w:val="center"/>
          </w:tcPr>
          <w:p>
            <w:pPr>
              <w:spacing w:after="20"/>
            </w:pPr>
            <w:r/>
            <w:r>
              <w:rPr>
                <w:b w:val="0"/>
                <w:sz w:val="17"/>
              </w:rPr>
              <w:t>Initial severity and rationale</w:t>
            </w:r>
          </w:p>
        </w:tc>
        <w:tc>
          <w:tcPr>
            <w:tcW w:type="dxa" w:w="7200"/>
            <w:vAlign w:val="center"/>
          </w:tcPr>
          <w:p>
            <w:pPr>
              <w:spacing w:after="20"/>
            </w:pPr>
            <w:r/>
            <w:r>
              <w:rPr>
                <w:b w:val="0"/>
                <w:sz w:val="17"/>
              </w:rPr>
              <w:t>________________________________</w:t>
            </w:r>
          </w:p>
        </w:tc>
      </w:tr>
      <w:tr>
        <w:tc>
          <w:tcPr>
            <w:tcW w:type="dxa" w:w="3456"/>
            <w:vAlign w:val="center"/>
            <w:shd w:fill="F1F6F8"/>
          </w:tcPr>
          <w:p>
            <w:pPr>
              <w:spacing w:after="20"/>
            </w:pPr>
            <w:r/>
            <w:r>
              <w:rPr>
                <w:b w:val="0"/>
                <w:sz w:val="17"/>
              </w:rPr>
              <w:t>Assigned incident commander / lead</w:t>
            </w:r>
          </w:p>
        </w:tc>
        <w:tc>
          <w:tcPr>
            <w:tcW w:type="dxa" w:w="7200"/>
            <w:vAlign w:val="center"/>
            <w:shd w:fill="F1F6F8"/>
          </w:tcPr>
          <w:p>
            <w:pPr>
              <w:spacing w:after="20"/>
            </w:pPr>
            <w:r/>
            <w:r>
              <w:rPr>
                <w:b w:val="0"/>
                <w:sz w:val="17"/>
              </w:rPr>
              <w:t>________________________________</w:t>
            </w:r>
          </w:p>
        </w:tc>
      </w:tr>
      <w:tr>
        <w:tc>
          <w:tcPr>
            <w:tcW w:type="dxa" w:w="3456"/>
            <w:vAlign w:val="center"/>
          </w:tcPr>
          <w:p>
            <w:pPr>
              <w:spacing w:after="20"/>
            </w:pPr>
            <w:r/>
            <w:r>
              <w:rPr>
                <w:b w:val="0"/>
                <w:sz w:val="17"/>
              </w:rPr>
              <w:t>Next update due</w:t>
            </w:r>
          </w:p>
        </w:tc>
        <w:tc>
          <w:tcPr>
            <w:tcW w:type="dxa" w:w="7200"/>
            <w:vAlign w:val="center"/>
          </w:tcPr>
          <w:p>
            <w:pPr>
              <w:spacing w:after="20"/>
            </w:pPr>
            <w:r/>
            <w:r>
              <w:rPr>
                <w:b w:val="0"/>
                <w:sz w:val="17"/>
              </w:rPr>
              <w:t>________________________________</w:t>
            </w:r>
          </w:p>
        </w:tc>
      </w:tr>
    </w:tbl>
    <w:p/>
    <w:p>
      <w:pPr>
        <w:pStyle w:val="Heading1"/>
      </w:pPr>
      <w:r>
        <w:t>Appendix B: Incident Log and Evidence Register</w:t>
      </w:r>
    </w:p>
    <w:p>
      <w:pPr>
        <w:pStyle w:val="Heading2"/>
      </w:pPr>
      <w:r>
        <w:t>B1. Action / Decision Log</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160"/>
            <w:vAlign w:val="center"/>
            <w:shd w:fill="15304B"/>
          </w:tcPr>
          <w:p>
            <w:pPr>
              <w:spacing w:after="20"/>
            </w:pPr>
            <w:r/>
            <w:r>
              <w:rPr>
                <w:b/>
                <w:color w:val="FFFFFF"/>
                <w:sz w:val="18"/>
              </w:rPr>
              <w:t>Timestamp + zone</w:t>
            </w:r>
          </w:p>
        </w:tc>
        <w:tc>
          <w:tcPr>
            <w:tcW w:type="dxa" w:w="4032"/>
            <w:vAlign w:val="center"/>
            <w:shd w:fill="15304B"/>
          </w:tcPr>
          <w:p>
            <w:pPr>
              <w:spacing w:after="20"/>
            </w:pPr>
            <w:r/>
            <w:r>
              <w:rPr>
                <w:b/>
                <w:color w:val="FFFFFF"/>
                <w:sz w:val="18"/>
              </w:rPr>
              <w:t>Action / decision</w:t>
            </w:r>
          </w:p>
        </w:tc>
        <w:tc>
          <w:tcPr>
            <w:tcW w:type="dxa" w:w="2088"/>
            <w:vAlign w:val="center"/>
            <w:shd w:fill="15304B"/>
          </w:tcPr>
          <w:p>
            <w:pPr>
              <w:spacing w:after="20"/>
            </w:pPr>
            <w:r/>
            <w:r>
              <w:rPr>
                <w:b/>
                <w:color w:val="FFFFFF"/>
                <w:sz w:val="18"/>
              </w:rPr>
              <w:t>Owner / approver</w:t>
            </w:r>
          </w:p>
        </w:tc>
        <w:tc>
          <w:tcPr>
            <w:tcW w:type="dxa" w:w="2448"/>
            <w:vAlign w:val="center"/>
            <w:shd w:fill="15304B"/>
          </w:tcPr>
          <w:p>
            <w:pPr>
              <w:spacing w:after="20"/>
            </w:pPr>
            <w:r/>
            <w:r>
              <w:rPr>
                <w:b/>
                <w:color w:val="FFFFFF"/>
                <w:sz w:val="18"/>
              </w:rPr>
              <w:t>Result / next step</w:t>
            </w:r>
          </w:p>
        </w:tc>
      </w:tr>
      <w:tr>
        <w:tc>
          <w:tcPr>
            <w:tcW w:type="dxa" w:w="2160"/>
            <w:vAlign w:val="center"/>
            <w:shd w:fill="F1F6F8"/>
          </w:tcPr>
          <w:p>
            <w:pPr>
              <w:spacing w:after="20"/>
            </w:pPr>
            <w:r/>
            <w:r>
              <w:rPr>
                <w:b w:val="0"/>
                <w:sz w:val="17"/>
              </w:rPr>
              <w:t>____________</w:t>
            </w:r>
          </w:p>
        </w:tc>
        <w:tc>
          <w:tcPr>
            <w:tcW w:type="dxa" w:w="4032"/>
            <w:vAlign w:val="center"/>
            <w:shd w:fill="F1F6F8"/>
          </w:tcPr>
          <w:p>
            <w:pPr>
              <w:spacing w:after="20"/>
            </w:pPr>
            <w:r/>
            <w:r>
              <w:rPr>
                <w:b w:val="0"/>
                <w:sz w:val="17"/>
              </w:rPr>
              <w:t>________________________</w:t>
            </w:r>
          </w:p>
        </w:tc>
        <w:tc>
          <w:tcPr>
            <w:tcW w:type="dxa" w:w="2088"/>
            <w:vAlign w:val="center"/>
            <w:shd w:fill="F1F6F8"/>
          </w:tcPr>
          <w:p>
            <w:pPr>
              <w:spacing w:after="20"/>
            </w:pPr>
            <w:r/>
            <w:r>
              <w:rPr>
                <w:b w:val="0"/>
                <w:sz w:val="17"/>
              </w:rPr>
              <w:t>________________</w:t>
            </w:r>
          </w:p>
        </w:tc>
        <w:tc>
          <w:tcPr>
            <w:tcW w:type="dxa" w:w="2448"/>
            <w:vAlign w:val="center"/>
            <w:shd w:fill="F1F6F8"/>
          </w:tcPr>
          <w:p>
            <w:pPr>
              <w:spacing w:after="20"/>
            </w:pPr>
            <w:r/>
            <w:r>
              <w:rPr>
                <w:b w:val="0"/>
                <w:sz w:val="17"/>
              </w:rPr>
              <w:t>________________________</w:t>
            </w:r>
          </w:p>
        </w:tc>
      </w:tr>
      <w:tr>
        <w:tc>
          <w:tcPr>
            <w:tcW w:type="dxa" w:w="2160"/>
            <w:vAlign w:val="center"/>
          </w:tcPr>
          <w:p>
            <w:pPr>
              <w:spacing w:after="20"/>
            </w:pPr>
            <w:r/>
            <w:r>
              <w:rPr>
                <w:b w:val="0"/>
                <w:sz w:val="17"/>
              </w:rPr>
              <w:t>____________</w:t>
            </w:r>
          </w:p>
        </w:tc>
        <w:tc>
          <w:tcPr>
            <w:tcW w:type="dxa" w:w="4032"/>
            <w:vAlign w:val="center"/>
          </w:tcPr>
          <w:p>
            <w:pPr>
              <w:spacing w:after="20"/>
            </w:pPr>
            <w:r/>
            <w:r>
              <w:rPr>
                <w:b w:val="0"/>
                <w:sz w:val="17"/>
              </w:rPr>
              <w:t>________________________</w:t>
            </w:r>
          </w:p>
        </w:tc>
        <w:tc>
          <w:tcPr>
            <w:tcW w:type="dxa" w:w="2088"/>
            <w:vAlign w:val="center"/>
          </w:tcPr>
          <w:p>
            <w:pPr>
              <w:spacing w:after="20"/>
            </w:pPr>
            <w:r/>
            <w:r>
              <w:rPr>
                <w:b w:val="0"/>
                <w:sz w:val="17"/>
              </w:rPr>
              <w:t>________________</w:t>
            </w:r>
          </w:p>
        </w:tc>
        <w:tc>
          <w:tcPr>
            <w:tcW w:type="dxa" w:w="2448"/>
            <w:vAlign w:val="center"/>
          </w:tcPr>
          <w:p>
            <w:pPr>
              <w:spacing w:after="20"/>
            </w:pPr>
            <w:r/>
            <w:r>
              <w:rPr>
                <w:b w:val="0"/>
                <w:sz w:val="17"/>
              </w:rPr>
              <w:t>________________________</w:t>
            </w:r>
          </w:p>
        </w:tc>
      </w:tr>
      <w:tr>
        <w:tc>
          <w:tcPr>
            <w:tcW w:type="dxa" w:w="2160"/>
            <w:vAlign w:val="center"/>
            <w:shd w:fill="F1F6F8"/>
          </w:tcPr>
          <w:p>
            <w:pPr>
              <w:spacing w:after="20"/>
            </w:pPr>
            <w:r/>
            <w:r>
              <w:rPr>
                <w:b w:val="0"/>
                <w:sz w:val="17"/>
              </w:rPr>
              <w:t>____________</w:t>
            </w:r>
          </w:p>
        </w:tc>
        <w:tc>
          <w:tcPr>
            <w:tcW w:type="dxa" w:w="4032"/>
            <w:vAlign w:val="center"/>
            <w:shd w:fill="F1F6F8"/>
          </w:tcPr>
          <w:p>
            <w:pPr>
              <w:spacing w:after="20"/>
            </w:pPr>
            <w:r/>
            <w:r>
              <w:rPr>
                <w:b w:val="0"/>
                <w:sz w:val="17"/>
              </w:rPr>
              <w:t>________________________</w:t>
            </w:r>
          </w:p>
        </w:tc>
        <w:tc>
          <w:tcPr>
            <w:tcW w:type="dxa" w:w="2088"/>
            <w:vAlign w:val="center"/>
            <w:shd w:fill="F1F6F8"/>
          </w:tcPr>
          <w:p>
            <w:pPr>
              <w:spacing w:after="20"/>
            </w:pPr>
            <w:r/>
            <w:r>
              <w:rPr>
                <w:b w:val="0"/>
                <w:sz w:val="17"/>
              </w:rPr>
              <w:t>________________</w:t>
            </w:r>
          </w:p>
        </w:tc>
        <w:tc>
          <w:tcPr>
            <w:tcW w:type="dxa" w:w="2448"/>
            <w:vAlign w:val="center"/>
            <w:shd w:fill="F1F6F8"/>
          </w:tcPr>
          <w:p>
            <w:pPr>
              <w:spacing w:after="20"/>
            </w:pPr>
            <w:r/>
            <w:r>
              <w:rPr>
                <w:b w:val="0"/>
                <w:sz w:val="17"/>
              </w:rPr>
              <w:t>________________________</w:t>
            </w:r>
          </w:p>
        </w:tc>
      </w:tr>
      <w:tr>
        <w:tc>
          <w:tcPr>
            <w:tcW w:type="dxa" w:w="2160"/>
            <w:vAlign w:val="center"/>
          </w:tcPr>
          <w:p>
            <w:pPr>
              <w:spacing w:after="20"/>
            </w:pPr>
            <w:r/>
            <w:r>
              <w:rPr>
                <w:b w:val="0"/>
                <w:sz w:val="17"/>
              </w:rPr>
              <w:t>____________</w:t>
            </w:r>
          </w:p>
        </w:tc>
        <w:tc>
          <w:tcPr>
            <w:tcW w:type="dxa" w:w="4032"/>
            <w:vAlign w:val="center"/>
          </w:tcPr>
          <w:p>
            <w:pPr>
              <w:spacing w:after="20"/>
            </w:pPr>
            <w:r/>
            <w:r>
              <w:rPr>
                <w:b w:val="0"/>
                <w:sz w:val="17"/>
              </w:rPr>
              <w:t>________________________</w:t>
            </w:r>
          </w:p>
        </w:tc>
        <w:tc>
          <w:tcPr>
            <w:tcW w:type="dxa" w:w="2088"/>
            <w:vAlign w:val="center"/>
          </w:tcPr>
          <w:p>
            <w:pPr>
              <w:spacing w:after="20"/>
            </w:pPr>
            <w:r/>
            <w:r>
              <w:rPr>
                <w:b w:val="0"/>
                <w:sz w:val="17"/>
              </w:rPr>
              <w:t>________________</w:t>
            </w:r>
          </w:p>
        </w:tc>
        <w:tc>
          <w:tcPr>
            <w:tcW w:type="dxa" w:w="2448"/>
            <w:vAlign w:val="center"/>
          </w:tcPr>
          <w:p>
            <w:pPr>
              <w:spacing w:after="20"/>
            </w:pPr>
            <w:r/>
            <w:r>
              <w:rPr>
                <w:b w:val="0"/>
                <w:sz w:val="17"/>
              </w:rPr>
              <w:t>________________________</w:t>
            </w:r>
          </w:p>
        </w:tc>
      </w:tr>
    </w:tbl>
    <w:p/>
    <w:p>
      <w:pPr>
        <w:pStyle w:val="Heading2"/>
      </w:pPr>
      <w:r>
        <w:t>B2. Evidence Register</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440"/>
            <w:vAlign w:val="center"/>
            <w:shd w:fill="15304B"/>
          </w:tcPr>
          <w:p>
            <w:pPr>
              <w:spacing w:after="20"/>
            </w:pPr>
            <w:r/>
            <w:r>
              <w:rPr>
                <w:b/>
                <w:color w:val="FFFFFF"/>
                <w:sz w:val="18"/>
              </w:rPr>
              <w:t>Evidence ID</w:t>
            </w:r>
          </w:p>
        </w:tc>
        <w:tc>
          <w:tcPr>
            <w:tcW w:type="dxa" w:w="3312"/>
            <w:vAlign w:val="center"/>
            <w:shd w:fill="15304B"/>
          </w:tcPr>
          <w:p>
            <w:pPr>
              <w:spacing w:after="20"/>
            </w:pPr>
            <w:r/>
            <w:r>
              <w:rPr>
                <w:b/>
                <w:color w:val="FFFFFF"/>
                <w:sz w:val="18"/>
              </w:rPr>
              <w:t>Source / description</w:t>
            </w:r>
          </w:p>
        </w:tc>
        <w:tc>
          <w:tcPr>
            <w:tcW w:type="dxa" w:w="2880"/>
            <w:vAlign w:val="center"/>
            <w:shd w:fill="15304B"/>
          </w:tcPr>
          <w:p>
            <w:pPr>
              <w:spacing w:after="20"/>
            </w:pPr>
            <w:r/>
            <w:r>
              <w:rPr>
                <w:b/>
                <w:color w:val="FFFFFF"/>
                <w:sz w:val="18"/>
              </w:rPr>
              <w:t>Collected by / time</w:t>
            </w:r>
          </w:p>
        </w:tc>
        <w:tc>
          <w:tcPr>
            <w:tcW w:type="dxa" w:w="3312"/>
            <w:vAlign w:val="center"/>
            <w:shd w:fill="15304B"/>
          </w:tcPr>
          <w:p>
            <w:pPr>
              <w:spacing w:after="20"/>
            </w:pPr>
            <w:r/>
            <w:r>
              <w:rPr>
                <w:b/>
                <w:color w:val="FFFFFF"/>
                <w:sz w:val="18"/>
              </w:rPr>
              <w:t>Hash / storage / transfers</w:t>
            </w:r>
          </w:p>
        </w:tc>
      </w:tr>
      <w:tr>
        <w:tc>
          <w:tcPr>
            <w:tcW w:type="dxa" w:w="1440"/>
            <w:vAlign w:val="center"/>
            <w:shd w:fill="F1F6F8"/>
          </w:tcPr>
          <w:p>
            <w:pPr>
              <w:spacing w:after="20"/>
            </w:pPr>
            <w:r/>
            <w:r>
              <w:rPr>
                <w:b w:val="0"/>
                <w:sz w:val="17"/>
              </w:rPr>
              <w:t>E-001</w:t>
            </w:r>
          </w:p>
        </w:tc>
        <w:tc>
          <w:tcPr>
            <w:tcW w:type="dxa" w:w="3312"/>
            <w:vAlign w:val="center"/>
            <w:shd w:fill="F1F6F8"/>
          </w:tcPr>
          <w:p>
            <w:pPr>
              <w:spacing w:after="20"/>
            </w:pPr>
            <w:r/>
            <w:r>
              <w:rPr>
                <w:b w:val="0"/>
                <w:sz w:val="17"/>
              </w:rPr>
              <w:t>____________________</w:t>
            </w:r>
          </w:p>
        </w:tc>
        <w:tc>
          <w:tcPr>
            <w:tcW w:type="dxa" w:w="2880"/>
            <w:vAlign w:val="center"/>
            <w:shd w:fill="F1F6F8"/>
          </w:tcPr>
          <w:p>
            <w:pPr>
              <w:spacing w:after="20"/>
            </w:pPr>
            <w:r/>
            <w:r>
              <w:rPr>
                <w:b w:val="0"/>
                <w:sz w:val="17"/>
              </w:rPr>
              <w:t>____________________</w:t>
            </w:r>
          </w:p>
        </w:tc>
        <w:tc>
          <w:tcPr>
            <w:tcW w:type="dxa" w:w="3312"/>
            <w:vAlign w:val="center"/>
            <w:shd w:fill="F1F6F8"/>
          </w:tcPr>
          <w:p>
            <w:pPr>
              <w:spacing w:after="20"/>
            </w:pPr>
            <w:r/>
            <w:r>
              <w:rPr>
                <w:b w:val="0"/>
                <w:sz w:val="17"/>
              </w:rPr>
              <w:t>________________________</w:t>
            </w:r>
          </w:p>
        </w:tc>
      </w:tr>
      <w:tr>
        <w:tc>
          <w:tcPr>
            <w:tcW w:type="dxa" w:w="1440"/>
            <w:vAlign w:val="center"/>
          </w:tcPr>
          <w:p>
            <w:pPr>
              <w:spacing w:after="20"/>
            </w:pPr>
            <w:r/>
            <w:r>
              <w:rPr>
                <w:b w:val="0"/>
                <w:sz w:val="17"/>
              </w:rPr>
              <w:t>E-002</w:t>
            </w:r>
          </w:p>
        </w:tc>
        <w:tc>
          <w:tcPr>
            <w:tcW w:type="dxa" w:w="3312"/>
            <w:vAlign w:val="center"/>
          </w:tcPr>
          <w:p>
            <w:pPr>
              <w:spacing w:after="20"/>
            </w:pPr>
            <w:r/>
            <w:r>
              <w:rPr>
                <w:b w:val="0"/>
                <w:sz w:val="17"/>
              </w:rPr>
              <w:t>____________________</w:t>
            </w:r>
          </w:p>
        </w:tc>
        <w:tc>
          <w:tcPr>
            <w:tcW w:type="dxa" w:w="2880"/>
            <w:vAlign w:val="center"/>
          </w:tcPr>
          <w:p>
            <w:pPr>
              <w:spacing w:after="20"/>
            </w:pPr>
            <w:r/>
            <w:r>
              <w:rPr>
                <w:b w:val="0"/>
                <w:sz w:val="17"/>
              </w:rPr>
              <w:t>____________________</w:t>
            </w:r>
          </w:p>
        </w:tc>
        <w:tc>
          <w:tcPr>
            <w:tcW w:type="dxa" w:w="3312"/>
            <w:vAlign w:val="center"/>
          </w:tcPr>
          <w:p>
            <w:pPr>
              <w:spacing w:after="20"/>
            </w:pPr>
            <w:r/>
            <w:r>
              <w:rPr>
                <w:b w:val="0"/>
                <w:sz w:val="17"/>
              </w:rPr>
              <w:t>________________________</w:t>
            </w:r>
          </w:p>
        </w:tc>
      </w:tr>
      <w:tr>
        <w:tc>
          <w:tcPr>
            <w:tcW w:type="dxa" w:w="1440"/>
            <w:vAlign w:val="center"/>
            <w:shd w:fill="F1F6F8"/>
          </w:tcPr>
          <w:p>
            <w:pPr>
              <w:spacing w:after="20"/>
            </w:pPr>
            <w:r/>
            <w:r>
              <w:rPr>
                <w:b w:val="0"/>
                <w:sz w:val="17"/>
              </w:rPr>
              <w:t>E-003</w:t>
            </w:r>
          </w:p>
        </w:tc>
        <w:tc>
          <w:tcPr>
            <w:tcW w:type="dxa" w:w="3312"/>
            <w:vAlign w:val="center"/>
            <w:shd w:fill="F1F6F8"/>
          </w:tcPr>
          <w:p>
            <w:pPr>
              <w:spacing w:after="20"/>
            </w:pPr>
            <w:r/>
            <w:r>
              <w:rPr>
                <w:b w:val="0"/>
                <w:sz w:val="17"/>
              </w:rPr>
              <w:t>____________________</w:t>
            </w:r>
          </w:p>
        </w:tc>
        <w:tc>
          <w:tcPr>
            <w:tcW w:type="dxa" w:w="2880"/>
            <w:vAlign w:val="center"/>
            <w:shd w:fill="F1F6F8"/>
          </w:tcPr>
          <w:p>
            <w:pPr>
              <w:spacing w:after="20"/>
            </w:pPr>
            <w:r/>
            <w:r>
              <w:rPr>
                <w:b w:val="0"/>
                <w:sz w:val="17"/>
              </w:rPr>
              <w:t>____________________</w:t>
            </w:r>
          </w:p>
        </w:tc>
        <w:tc>
          <w:tcPr>
            <w:tcW w:type="dxa" w:w="3312"/>
            <w:vAlign w:val="center"/>
            <w:shd w:fill="F1F6F8"/>
          </w:tcPr>
          <w:p>
            <w:pPr>
              <w:spacing w:after="20"/>
            </w:pPr>
            <w:r/>
            <w:r>
              <w:rPr>
                <w:b w:val="0"/>
                <w:sz w:val="17"/>
              </w:rPr>
              <w:t>________________________</w:t>
            </w:r>
          </w:p>
        </w:tc>
      </w:tr>
    </w:tbl>
    <w:p/>
    <w:p>
      <w:pPr>
        <w:pStyle w:val="Heading1"/>
      </w:pPr>
      <w:r>
        <w:t>Appendix C: Communication Templates</w:t>
      </w:r>
    </w:p>
    <w:p>
      <w:pPr>
        <w:pStyle w:val="Heading2"/>
      </w:pPr>
      <w:r>
        <w:t>C1. Internal Initial Alert</w:t>
      </w:r>
    </w:p>
    <w:p>
      <w:r>
        <w:t>Subject: [SEVERITY] Cybersecurity Incident [IR-ID] – Action Required</w:t>
      </w:r>
    </w:p>
    <w:p>
      <w:r>
        <w:t>We are investigating a potential cybersecurity incident affecting [system/service]. Current confirmed facts: [brief facts]. Actions underway: [containment/investigation]. Please do not speculate or share incident details externally. Report related observations to [approved channel]. Next update: [time/time zone]. Contact: [incident lead/out-of-band method].</w:t>
      </w:r>
    </w:p>
    <w:p>
      <w:pPr>
        <w:pStyle w:val="Heading2"/>
      </w:pPr>
      <w:r>
        <w:t>C2. Executive Status Update</w:t>
      </w:r>
    </w:p>
    <w:p>
      <w:r>
        <w:t>Incident ID/severity: [IR-ID / SEV]. Current status: [investigating/contained/recovering]. Confirmed impact: [systems, services, data, users]. Unknowns: [items still being assessed]. Actions completed: [summary]. Decisions required: [decision, owner and deadline]. External obligations under assessment: [legal/privacy/vendor]. Next update: [time].</w:t>
      </w:r>
    </w:p>
    <w:p>
      <w:pPr>
        <w:pStyle w:val="Heading2"/>
      </w:pPr>
      <w:r>
        <w:t>C3. Customer or Public Holding Statement</w:t>
      </w:r>
    </w:p>
    <w:p>
      <w:r>
        <w:t>We are investigating a cybersecurity incident that may affect [service or data category]. We have activated our response procedures and are working with relevant specialists to understand the facts and protect our systems and customers. We will provide updates through [official channel] as appropriate. Customers should use only official communications and contact [verified support channel] with questions.</w:t>
      </w:r>
    </w:p>
    <w:p>
      <w:r>
        <w:t>Use this only after review and approval by legal/privacy, communications and executive leadership. Replace bracketed fields with verified facts; do not claim that data was or was not accessed unless supported by evidence.</w:t>
      </w:r>
    </w:p>
    <w:p>
      <w:pPr>
        <w:pStyle w:val="Heading1"/>
      </w:pPr>
      <w:r>
        <w:t>Appendix D: Quick-Action Checklist</w:t>
      </w:r>
    </w:p>
    <w:p>
      <w:pPr>
        <w:pStyle w:val="ListBullet"/>
        <w:spacing w:after="40"/>
      </w:pPr>
      <w:r>
        <w:t>☐ Receive report and create incident ID.</w:t>
      </w:r>
    </w:p>
    <w:p>
      <w:pPr>
        <w:pStyle w:val="ListBullet"/>
        <w:spacing w:after="40"/>
      </w:pPr>
      <w:r>
        <w:t>☐ Validate initial facts; assign provisional severity and response lead.</w:t>
      </w:r>
    </w:p>
    <w:p>
      <w:pPr>
        <w:pStyle w:val="ListBullet"/>
        <w:spacing w:after="40"/>
      </w:pPr>
      <w:r>
        <w:t>☐ Protect people and critical services; use out-of-band communications if needed.</w:t>
      </w:r>
    </w:p>
    <w:p>
      <w:pPr>
        <w:pStyle w:val="ListBullet"/>
        <w:spacing w:after="40"/>
      </w:pPr>
      <w:r>
        <w:t>☐ Contain affected accounts, endpoints or services using approved procedures.</w:t>
      </w:r>
    </w:p>
    <w:p>
      <w:pPr>
        <w:pStyle w:val="ListBullet"/>
        <w:spacing w:after="40"/>
      </w:pPr>
      <w:r>
        <w:t>☐ Preserve logs, messages, timestamps and evidence before destructive changes where feasible.</w:t>
      </w:r>
    </w:p>
    <w:p>
      <w:pPr>
        <w:pStyle w:val="ListBullet"/>
        <w:spacing w:after="40"/>
      </w:pPr>
      <w:r>
        <w:t>☐ Notify the incident commander and required technical, business, legal/privacy and executive roles.</w:t>
      </w:r>
    </w:p>
    <w:p>
      <w:pPr>
        <w:pStyle w:val="ListBullet"/>
        <w:spacing w:after="40"/>
      </w:pPr>
      <w:r>
        <w:t>☐ Determine scope, data sensitivity, business impact and third-party involvement.</w:t>
      </w:r>
    </w:p>
    <w:p>
      <w:pPr>
        <w:pStyle w:val="ListBullet"/>
        <w:spacing w:after="40"/>
      </w:pPr>
      <w:r>
        <w:t>☐ Eradicate root cause and persistence; patch or rebuild as needed.</w:t>
      </w:r>
    </w:p>
    <w:p>
      <w:pPr>
        <w:pStyle w:val="ListBullet"/>
        <w:spacing w:after="40"/>
      </w:pPr>
      <w:r>
        <w:t>☐ Restore from trusted sources; validate integrity, controls and monitoring.</w:t>
      </w:r>
    </w:p>
    <w:p>
      <w:pPr>
        <w:pStyle w:val="ListBullet"/>
        <w:spacing w:after="40"/>
      </w:pPr>
      <w:r>
        <w:t>☐ Communicate approved updates and assess applicable notification obligations.</w:t>
      </w:r>
    </w:p>
    <w:p>
      <w:pPr>
        <w:pStyle w:val="ListBullet"/>
        <w:spacing w:after="40"/>
      </w:pPr>
      <w:r>
        <w:t>☐ Document decisions, actions, evidence, costs and service impacts.</w:t>
      </w:r>
    </w:p>
    <w:p>
      <w:pPr>
        <w:pStyle w:val="ListBullet"/>
        <w:spacing w:after="40"/>
      </w:pPr>
      <w:r>
        <w:t>☐ Conduct a post-incident review and track corrective actions.</w:t>
      </w:r>
    </w:p>
    <w:p>
      <w:pPr>
        <w:pStyle w:val="Heading1"/>
      </w:pPr>
      <w:r>
        <w:t>Glossary</w:t>
      </w:r>
    </w:p>
    <w:tbl>
      <w:tblPr>
        <w:tblStyle w:val="TableGrid"/>
        <w:tblW w:type="auto" w:w="0"/>
        <w:jc w:val="center"/>
        <w:tblLook w:firstColumn="1" w:firstRow="1" w:lastColumn="0" w:lastRow="0" w:noHBand="0" w:noVBand="1" w:val="04A0"/>
      </w:tblPr>
      <w:tblGrid>
        <w:gridCol w:w="4939"/>
        <w:gridCol w:w="4939"/>
      </w:tblGrid>
      <w:tr>
        <w:tc>
          <w:tcPr>
            <w:tcW w:type="dxa" w:w="2376"/>
            <w:vAlign w:val="center"/>
            <w:shd w:fill="15304B"/>
          </w:tcPr>
          <w:p>
            <w:pPr>
              <w:spacing w:after="20"/>
            </w:pPr>
            <w:r/>
            <w:r>
              <w:rPr>
                <w:b/>
                <w:color w:val="FFFFFF"/>
                <w:sz w:val="18"/>
              </w:rPr>
              <w:t>Term</w:t>
            </w:r>
          </w:p>
        </w:tc>
        <w:tc>
          <w:tcPr>
            <w:tcW w:type="dxa" w:w="8136"/>
            <w:vAlign w:val="center"/>
            <w:shd w:fill="15304B"/>
          </w:tcPr>
          <w:p>
            <w:pPr>
              <w:spacing w:after="20"/>
            </w:pPr>
            <w:r/>
            <w:r>
              <w:rPr>
                <w:b/>
                <w:color w:val="FFFFFF"/>
                <w:sz w:val="18"/>
              </w:rPr>
              <w:t>Meaning</w:t>
            </w:r>
          </w:p>
        </w:tc>
      </w:tr>
      <w:tr>
        <w:tc>
          <w:tcPr>
            <w:tcW w:type="dxa" w:w="2376"/>
            <w:vAlign w:val="center"/>
            <w:shd w:fill="F1F6F8"/>
          </w:tcPr>
          <w:p>
            <w:pPr>
              <w:spacing w:after="20"/>
            </w:pPr>
            <w:r/>
            <w:r>
              <w:rPr>
                <w:b w:val="0"/>
                <w:sz w:val="17"/>
              </w:rPr>
              <w:t>BEC</w:t>
            </w:r>
          </w:p>
        </w:tc>
        <w:tc>
          <w:tcPr>
            <w:tcW w:type="dxa" w:w="8136"/>
            <w:vAlign w:val="center"/>
            <w:shd w:fill="F1F6F8"/>
          </w:tcPr>
          <w:p>
            <w:pPr>
              <w:spacing w:after="20"/>
            </w:pPr>
            <w:r/>
            <w:r>
              <w:rPr>
                <w:b w:val="0"/>
                <w:sz w:val="17"/>
              </w:rPr>
              <w:t>Business Email Compromise: email-account or impersonation fraud targeting payments or sensitive information.</w:t>
            </w:r>
          </w:p>
        </w:tc>
      </w:tr>
      <w:tr>
        <w:tc>
          <w:tcPr>
            <w:tcW w:type="dxa" w:w="2376"/>
            <w:vAlign w:val="center"/>
          </w:tcPr>
          <w:p>
            <w:pPr>
              <w:spacing w:after="20"/>
            </w:pPr>
            <w:r/>
            <w:r>
              <w:rPr>
                <w:b w:val="0"/>
                <w:sz w:val="17"/>
              </w:rPr>
              <w:t>Containment</w:t>
            </w:r>
          </w:p>
        </w:tc>
        <w:tc>
          <w:tcPr>
            <w:tcW w:type="dxa" w:w="8136"/>
            <w:vAlign w:val="center"/>
          </w:tcPr>
          <w:p>
            <w:pPr>
              <w:spacing w:after="20"/>
            </w:pPr>
            <w:r/>
            <w:r>
              <w:rPr>
                <w:b w:val="0"/>
                <w:sz w:val="17"/>
              </w:rPr>
              <w:t>Actions intended to stop or limit an incident’s spread and impact.</w:t>
            </w:r>
          </w:p>
        </w:tc>
      </w:tr>
      <w:tr>
        <w:tc>
          <w:tcPr>
            <w:tcW w:type="dxa" w:w="2376"/>
            <w:vAlign w:val="center"/>
            <w:shd w:fill="F1F6F8"/>
          </w:tcPr>
          <w:p>
            <w:pPr>
              <w:spacing w:after="20"/>
            </w:pPr>
            <w:r/>
            <w:r>
              <w:rPr>
                <w:b w:val="0"/>
                <w:sz w:val="17"/>
              </w:rPr>
              <w:t>EDR</w:t>
            </w:r>
          </w:p>
        </w:tc>
        <w:tc>
          <w:tcPr>
            <w:tcW w:type="dxa" w:w="8136"/>
            <w:vAlign w:val="center"/>
            <w:shd w:fill="F1F6F8"/>
          </w:tcPr>
          <w:p>
            <w:pPr>
              <w:spacing w:after="20"/>
            </w:pPr>
            <w:r/>
            <w:r>
              <w:rPr>
                <w:b w:val="0"/>
                <w:sz w:val="17"/>
              </w:rPr>
              <w:t>Endpoint Detection and Response.</w:t>
            </w:r>
          </w:p>
        </w:tc>
      </w:tr>
      <w:tr>
        <w:tc>
          <w:tcPr>
            <w:tcW w:type="dxa" w:w="2376"/>
            <w:vAlign w:val="center"/>
          </w:tcPr>
          <w:p>
            <w:pPr>
              <w:spacing w:after="20"/>
            </w:pPr>
            <w:r/>
            <w:r>
              <w:rPr>
                <w:b w:val="0"/>
                <w:sz w:val="17"/>
              </w:rPr>
              <w:t>Incident Commander</w:t>
            </w:r>
          </w:p>
        </w:tc>
        <w:tc>
          <w:tcPr>
            <w:tcW w:type="dxa" w:w="8136"/>
            <w:vAlign w:val="center"/>
          </w:tcPr>
          <w:p>
            <w:pPr>
              <w:spacing w:after="20"/>
            </w:pPr>
            <w:r/>
            <w:r>
              <w:rPr>
                <w:b w:val="0"/>
                <w:sz w:val="17"/>
              </w:rPr>
              <w:t>Person coordinating incident priorities, decisions, status and response resources.</w:t>
            </w:r>
          </w:p>
        </w:tc>
      </w:tr>
      <w:tr>
        <w:tc>
          <w:tcPr>
            <w:tcW w:type="dxa" w:w="2376"/>
            <w:vAlign w:val="center"/>
            <w:shd w:fill="F1F6F8"/>
          </w:tcPr>
          <w:p>
            <w:pPr>
              <w:spacing w:after="20"/>
            </w:pPr>
            <w:r/>
            <w:r>
              <w:rPr>
                <w:b w:val="0"/>
                <w:sz w:val="17"/>
              </w:rPr>
              <w:t>IOC</w:t>
            </w:r>
          </w:p>
        </w:tc>
        <w:tc>
          <w:tcPr>
            <w:tcW w:type="dxa" w:w="8136"/>
            <w:vAlign w:val="center"/>
            <w:shd w:fill="F1F6F8"/>
          </w:tcPr>
          <w:p>
            <w:pPr>
              <w:spacing w:after="20"/>
            </w:pPr>
            <w:r/>
            <w:r>
              <w:rPr>
                <w:b w:val="0"/>
                <w:sz w:val="17"/>
              </w:rPr>
              <w:t>Indicator of Compromise, such as a malicious file hash, domain or IP address.</w:t>
            </w:r>
          </w:p>
        </w:tc>
      </w:tr>
      <w:tr>
        <w:tc>
          <w:tcPr>
            <w:tcW w:type="dxa" w:w="2376"/>
            <w:vAlign w:val="center"/>
          </w:tcPr>
          <w:p>
            <w:pPr>
              <w:spacing w:after="20"/>
            </w:pPr>
            <w:r/>
            <w:r>
              <w:rPr>
                <w:b w:val="0"/>
                <w:sz w:val="17"/>
              </w:rPr>
              <w:t>IRP / IRT</w:t>
            </w:r>
          </w:p>
        </w:tc>
        <w:tc>
          <w:tcPr>
            <w:tcW w:type="dxa" w:w="8136"/>
            <w:vAlign w:val="center"/>
          </w:tcPr>
          <w:p>
            <w:pPr>
              <w:spacing w:after="20"/>
            </w:pPr>
            <w:r/>
            <w:r>
              <w:rPr>
                <w:b w:val="0"/>
                <w:sz w:val="17"/>
              </w:rPr>
              <w:t>Incident Response Plan / Incident Response Team.</w:t>
            </w:r>
          </w:p>
        </w:tc>
      </w:tr>
      <w:tr>
        <w:tc>
          <w:tcPr>
            <w:tcW w:type="dxa" w:w="2376"/>
            <w:vAlign w:val="center"/>
            <w:shd w:fill="F1F6F8"/>
          </w:tcPr>
          <w:p>
            <w:pPr>
              <w:spacing w:after="20"/>
            </w:pPr>
            <w:r/>
            <w:r>
              <w:rPr>
                <w:b w:val="0"/>
                <w:sz w:val="17"/>
              </w:rPr>
              <w:t>MTTA / MTTC / MTTR</w:t>
            </w:r>
          </w:p>
        </w:tc>
        <w:tc>
          <w:tcPr>
            <w:tcW w:type="dxa" w:w="8136"/>
            <w:vAlign w:val="center"/>
            <w:shd w:fill="F1F6F8"/>
          </w:tcPr>
          <w:p>
            <w:pPr>
              <w:spacing w:after="20"/>
            </w:pPr>
            <w:r/>
            <w:r>
              <w:rPr>
                <w:b w:val="0"/>
                <w:sz w:val="17"/>
              </w:rPr>
              <w:t>Mean Time to Acknowledge / Contain / Recover, using definitions set by the organization.</w:t>
            </w:r>
          </w:p>
        </w:tc>
      </w:tr>
      <w:tr>
        <w:tc>
          <w:tcPr>
            <w:tcW w:type="dxa" w:w="2376"/>
            <w:vAlign w:val="center"/>
          </w:tcPr>
          <w:p>
            <w:pPr>
              <w:spacing w:after="20"/>
            </w:pPr>
            <w:r/>
            <w:r>
              <w:rPr>
                <w:b w:val="0"/>
                <w:sz w:val="17"/>
              </w:rPr>
              <w:t>RPO</w:t>
            </w:r>
          </w:p>
        </w:tc>
        <w:tc>
          <w:tcPr>
            <w:tcW w:type="dxa" w:w="8136"/>
            <w:vAlign w:val="center"/>
          </w:tcPr>
          <w:p>
            <w:pPr>
              <w:spacing w:after="20"/>
            </w:pPr>
            <w:r/>
            <w:r>
              <w:rPr>
                <w:b w:val="0"/>
                <w:sz w:val="17"/>
              </w:rPr>
              <w:t>Recovery Point Objective: acceptable data-loss window measured in time.</w:t>
            </w:r>
          </w:p>
        </w:tc>
      </w:tr>
      <w:tr>
        <w:tc>
          <w:tcPr>
            <w:tcW w:type="dxa" w:w="2376"/>
            <w:vAlign w:val="center"/>
            <w:shd w:fill="F1F6F8"/>
          </w:tcPr>
          <w:p>
            <w:pPr>
              <w:spacing w:after="20"/>
            </w:pPr>
            <w:r/>
            <w:r>
              <w:rPr>
                <w:b w:val="0"/>
                <w:sz w:val="17"/>
              </w:rPr>
              <w:t>RTO</w:t>
            </w:r>
          </w:p>
        </w:tc>
        <w:tc>
          <w:tcPr>
            <w:tcW w:type="dxa" w:w="8136"/>
            <w:vAlign w:val="center"/>
            <w:shd w:fill="F1F6F8"/>
          </w:tcPr>
          <w:p>
            <w:pPr>
              <w:spacing w:after="20"/>
            </w:pPr>
            <w:r/>
            <w:r>
              <w:rPr>
                <w:b w:val="0"/>
                <w:sz w:val="17"/>
              </w:rPr>
              <w:t>Recovery Time Objective: target time to restore a service.</w:t>
            </w:r>
          </w:p>
        </w:tc>
      </w:tr>
      <w:tr>
        <w:tc>
          <w:tcPr>
            <w:tcW w:type="dxa" w:w="2376"/>
            <w:vAlign w:val="center"/>
          </w:tcPr>
          <w:p>
            <w:pPr>
              <w:spacing w:after="20"/>
            </w:pPr>
            <w:r/>
            <w:r>
              <w:rPr>
                <w:b w:val="0"/>
                <w:sz w:val="17"/>
              </w:rPr>
              <w:t>SIEM</w:t>
            </w:r>
          </w:p>
        </w:tc>
        <w:tc>
          <w:tcPr>
            <w:tcW w:type="dxa" w:w="8136"/>
            <w:vAlign w:val="center"/>
          </w:tcPr>
          <w:p>
            <w:pPr>
              <w:spacing w:after="20"/>
            </w:pPr>
            <w:r/>
            <w:r>
              <w:rPr>
                <w:b w:val="0"/>
                <w:sz w:val="17"/>
              </w:rPr>
              <w:t>Security Information and Event Management platform for collecting and correlating security logs.</w:t>
            </w:r>
          </w:p>
        </w:tc>
      </w:tr>
      <w:tr>
        <w:tc>
          <w:tcPr>
            <w:tcW w:type="dxa" w:w="2376"/>
            <w:vAlign w:val="center"/>
            <w:shd w:fill="F1F6F8"/>
          </w:tcPr>
          <w:p>
            <w:pPr>
              <w:spacing w:after="20"/>
            </w:pPr>
            <w:r/>
            <w:r>
              <w:rPr>
                <w:b w:val="0"/>
                <w:sz w:val="17"/>
              </w:rPr>
              <w:t>Triage</w:t>
            </w:r>
          </w:p>
        </w:tc>
        <w:tc>
          <w:tcPr>
            <w:tcW w:type="dxa" w:w="8136"/>
            <w:vAlign w:val="center"/>
            <w:shd w:fill="F1F6F8"/>
          </w:tcPr>
          <w:p>
            <w:pPr>
              <w:spacing w:after="20"/>
            </w:pPr>
            <w:r/>
            <w:r>
              <w:rPr>
                <w:b w:val="0"/>
                <w:sz w:val="17"/>
              </w:rPr>
              <w:t>Initial assessment used to determine credibility, urgency, severity and next actions.</w:t>
            </w:r>
          </w:p>
        </w:tc>
      </w:tr>
    </w:tbl>
    <w:p/>
    <w:p>
      <w:pPr>
        <w:pStyle w:val="Heading1"/>
      </w:pPr>
      <w:r>
        <w:t>References</w:t>
      </w:r>
    </w:p>
    <w:p>
      <w:pPr>
        <w:pStyle w:val="ListNumber"/>
        <w:spacing w:after="100"/>
      </w:pPr>
      <w:r>
        <w:t>[1] National Institute of Standards and Technology (NIST), “Incident Response Recommendations and Considerations for Cybersecurity Risk Management: A CSF 2.0 Community Profile,” NIST SP 800-61 Rev. 3, April 2025. https://csrc.nist.gov/pubs/sp/800/61/r3/final</w:t>
      </w:r>
    </w:p>
    <w:p>
      <w:pPr>
        <w:pStyle w:val="ListNumber"/>
        <w:spacing w:after="100"/>
      </w:pPr>
      <w:r>
        <w:t>[2] NIST, “Cybersecurity Framework (CSF) 2.0,” February 2024. https://www.nist.gov/cyberframework</w:t>
      </w:r>
    </w:p>
    <w:p>
      <w:pPr>
        <w:pStyle w:val="ListNumber"/>
        <w:spacing w:after="100"/>
      </w:pPr>
      <w:r>
        <w:t>[3] Cybersecurity and Infrastructure Security Agency (CISA), “#StopRansomware Guide,” including prevention guidance and ransomware/data-extortion response checklist. https://www.cisa.gov/stopransomware/ransomware-guide</w:t>
      </w:r>
    </w:p>
    <w:p>
      <w:pPr>
        <w:pStyle w:val="ListNumber"/>
        <w:spacing w:after="100"/>
      </w:pPr>
      <w:r>
        <w:t>[4] NIST, “Incident Response” project page and supplemental resources. https://csrc.nist.gov/projects/incident-response</w:t>
      </w:r>
    </w:p>
    <w:p>
      <w:pPr>
        <w:pStyle w:val="ListNumber"/>
        <w:spacing w:after="100"/>
      </w:pPr>
      <w:r>
        <w:t>[5] NIST, “Computer Security Incident Handling Guide,” SP 800-61 Rev. 2 (historical reference; superseded by Rev. 3). https://csrc.nist.gov/pubs/sp/800/61/r2/final</w:t>
      </w:r>
    </w:p>
    <w:p>
      <w:pPr>
        <w:pStyle w:val="ListNumber"/>
        <w:spacing w:after="100"/>
      </w:pPr>
      <w:r>
        <w:t>[6] International Organization for Standardization, ISO/IEC 27001, Information Security Management Systems — Requirements. https://www.iso.org/standard/27001</w:t>
      </w:r>
    </w:p>
    <w:p>
      <w:pPr>
        <w:pStyle w:val="ListNumber"/>
        <w:spacing w:after="100"/>
      </w:pPr>
      <w:r>
        <w:t>[7] International Organization for Standardization, ISO/IEC 27035 series, Information Security Incident Management. https://www.iso.org/</w:t>
      </w:r>
    </w:p>
    <w:p>
      <w:pPr>
        <w:pStyle w:val="ListNumber"/>
        <w:spacing w:after="100"/>
      </w:pPr>
      <w:r>
        <w:t>[8] CERT-In, Indian Computer Emergency Response Team, official advisories, directions and reporting resources. https://www.cert-in.org.in/</w:t>
      </w:r>
    </w:p>
    <w:p>
      <w:pPr>
        <w:spacing w:before="200"/>
      </w:pPr>
      <w:r>
        <w:rPr>
          <w:b/>
          <w:color w:val="176B87"/>
        </w:rPr>
        <w:t>End of document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Incident Response Plan  •  AFSAL N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YUVA INTERN  |  CYBER SECURITY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0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30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