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76B87"/>
          <w:sz w:val="36"/>
        </w:rPr>
        <w:t>YUVAINTERN</w:t>
      </w:r>
    </w:p>
    <w:p>
      <w:pPr>
        <w:jc w:val="center"/>
      </w:pPr>
      <w:r>
        <w:rPr>
          <w:b/>
          <w:color w:val="5A646E"/>
          <w:sz w:val="24"/>
        </w:rPr>
        <w:t>CYBER SECURITY ANALYST INTERNSHIP</w:t>
      </w:r>
    </w:p>
    <w:p/>
    <w:p>
      <w:pPr>
        <w:jc w:val="center"/>
      </w:pPr>
      <w:r>
        <w:rPr>
          <w:b/>
          <w:color w:val="12304A"/>
          <w:sz w:val="60"/>
        </w:rPr>
        <w:t>THREAT LANDSCAPE</w:t>
        <w:br/>
        <w:t>ANALYSIS</w:t>
      </w:r>
    </w:p>
    <w:p>
      <w:pPr>
        <w:jc w:val="center"/>
      </w:pPr>
      <w:r>
        <w:rPr>
          <w:i/>
          <w:sz w:val="32"/>
        </w:rPr>
        <w:t>Week 1 Research Report</w:t>
      </w:r>
    </w:p>
    <w:p/>
    <w:p/>
    <w:p>
      <w:pPr>
        <w:jc w:val="center"/>
      </w:pPr>
      <w:r>
        <w:rPr>
          <w:sz w:val="24"/>
        </w:rPr>
        <w:t>Prepared by: AFSAL N</w:t>
      </w:r>
    </w:p>
    <w:p>
      <w:pPr>
        <w:jc w:val="center"/>
      </w:pPr>
      <w:r>
        <w:rPr>
          <w:sz w:val="24"/>
        </w:rPr>
        <w:t>Internship: Cyber Security Analyst</w:t>
      </w:r>
    </w:p>
    <w:p>
      <w:pPr>
        <w:jc w:val="center"/>
      </w:pPr>
      <w:r>
        <w:rPr>
          <w:sz w:val="24"/>
        </w:rPr>
        <w:t>Organization: YuvaIntern</w:t>
      </w:r>
    </w:p>
    <w:p>
      <w:pPr>
        <w:jc w:val="center"/>
      </w:pPr>
      <w:r>
        <w:rPr>
          <w:sz w:val="24"/>
        </w:rPr>
        <w:t>Reporting date: 21 October 2026</w:t>
      </w:r>
    </w:p>
    <w:p>
      <w:pPr>
        <w:jc w:val="center"/>
      </w:pPr>
      <w:r>
        <w:rPr>
          <w:sz w:val="24"/>
        </w:rPr>
        <w:t>Task duration: 30–35 hours</w:t>
      </w:r>
    </w:p>
    <w:p/>
    <w:p/>
    <w:p>
      <w:pPr>
        <w:jc w:val="center"/>
      </w:pPr>
      <w:r>
        <w:rPr>
          <w:color w:val="646E78"/>
          <w:sz w:val="20"/>
        </w:rPr>
        <w:t>Academic and Professional Research Submission</w:t>
      </w:r>
    </w:p>
    <w:p>
      <w:r>
        <w:br w:type="page"/>
      </w:r>
    </w:p>
    <w:p>
      <w:pPr>
        <w:pStyle w:val="Heading1"/>
      </w:pPr>
      <w:r>
        <w:t>Declaration</w:t>
      </w:r>
    </w:p>
    <w:p>
      <w:r>
        <w:t>I, AFSAL N, submit this report titled “Threat Landscape Analysis” as the Week 1 deliverable for the YuvaIntern Cyber Security Analyst internship. The report synthesizes publicly available cybersecurity guidance, threat-intelligence publications, and documented incident analyses to explain current threats, common attack vectors, organizational impacts, and practical risk-reduction measures.</w:t>
      </w:r>
    </w:p>
    <w:p>
      <w:r>
        <w:t>This document is prepared for educational and defensive purposes. It does not provide instructions for unauthorized access, exploitation, malware deployment, or other harmful activity. Statistics and threat observations are attributed to their respective publishers; because datasets, definitions, and reporting periods differ, figures from separate reports should not be directly compared without considering their methodology.</w:t>
      </w:r>
    </w:p>
    <w:p>
      <w:r>
        <w:t>Prepared by: AFSAL N</w:t>
      </w:r>
    </w:p>
    <w:p>
      <w:r>
        <w:t>Date: 21 October 2026</w:t>
      </w:r>
    </w:p>
    <w:p>
      <w:pPr>
        <w:pStyle w:val="Heading1"/>
      </w:pPr>
      <w:r>
        <w:t>Executive Summary</w:t>
      </w:r>
    </w:p>
    <w:p>
      <w:r>
        <w:t>Cybersecurity risk is shaped by the interaction of threat actors, exposed technology, human decisions, third-party dependencies, and an organization’s ability to detect and recover from incidents. The 2026 threat picture reinforces a practical message: established controls remain essential even as attackers adopt automation and generative AI. Vulnerability exploitation, credential abuse, social engineering, ransomware, data theft, distributed denial-of-service (DDoS), and supply-chain compromise continue to create material risks.</w:t>
      </w:r>
    </w:p>
    <w:p>
      <w:r>
        <w:t>ENISA’s 2026 Threat Landscape, based on incidents observed during 2025, reports that ransomware remains among the most immediately impactful threats, public administration is the most targeted sector in its dataset, and social engineering and exploitation of known and zero-day vulnerabilities remain important intrusion pathways [1, 2]. Verizon’s 2026 Data Breach Investigations Report (DBIR) similarly identifies exploitation of vulnerabilities as a leading initial-access route and discusses the accelerating use of AI and mobile-centric social engineering [3, 4]. CISA’s Known Exploited Vulnerabilities (KEV) Catalog provides a practical way to prioritize vulnerabilities for which exploitation has been observed in the wild [5].</w:t>
      </w:r>
    </w:p>
    <w:p>
      <w:r>
        <w:t>The report examines eight threat categories and their attack paths, maps common attack vectors to impacts, and reviews documented incidents including WannaCry, SolarWinds, and the Change Healthcare ransomware disruption. It recommends a risk-based security program built around asset visibility, prompt patching, phishing-resistant multi-factor authentication, least privilege, secure backups, endpoint and identity monitoring, supplier assurance, incident-response exercises, and measurable governance.</w:t>
      </w:r>
    </w:p>
    <w:p>
      <w:r>
        <w:t>The central conclusion is that no single product can eliminate cyber risk. Resilience depends on layered preventive controls, early detection, practiced response, and recovery capabilities that are tested before an incident occurs.</w:t>
      </w:r>
    </w:p>
    <w:p>
      <w:pPr>
        <w:pStyle w:val="Heading1"/>
      </w:pPr>
      <w:r>
        <w:t>Table of Contents</w:t>
      </w:r>
    </w:p>
    <w:p>
      <w:r>
        <w:t>1. Introduction and Scope</w:t>
      </w:r>
    </w:p>
    <w:p>
      <w:r>
        <w:t>2. Methodology and Limitations</w:t>
      </w:r>
    </w:p>
    <w:p>
      <w:r>
        <w:t>3. Threat Landscape Overview</w:t>
      </w:r>
    </w:p>
    <w:p>
      <w:r>
        <w:t>4. Major Cyber Threat Categories</w:t>
      </w:r>
    </w:p>
    <w:p>
      <w:r>
        <w:t>5. Common Attack Vectors and Attack Chain</w:t>
      </w:r>
    </w:p>
    <w:p>
      <w:r>
        <w:t>6. Sector Exposure and Organizational Impact</w:t>
      </w:r>
    </w:p>
    <w:p>
      <w:r>
        <w:t>7. Documented Case Studies</w:t>
      </w:r>
    </w:p>
    <w:p>
      <w:r>
        <w:t>8. Risk Assessment and Prioritization</w:t>
      </w:r>
    </w:p>
    <w:p>
      <w:r>
        <w:t>9. Mitigation and Security Roadmap</w:t>
      </w:r>
    </w:p>
    <w:p>
      <w:r>
        <w:t>10. Incident Response and Recovery</w:t>
      </w:r>
    </w:p>
    <w:p>
      <w:r>
        <w:t>11. Metrics and Evaluation</w:t>
      </w:r>
    </w:p>
    <w:p>
      <w:r>
        <w:t>12. Conclusion</w:t>
      </w:r>
    </w:p>
    <w:p>
      <w:r>
        <w:t>Appendix A: Threat Register</w:t>
      </w:r>
    </w:p>
    <w:p>
      <w:r>
        <w:t>Appendix B: Glossary</w:t>
      </w:r>
    </w:p>
    <w:p>
      <w:r>
        <w:t>References</w:t>
      </w:r>
    </w:p>
    <w:p>
      <w:r>
        <w:br w:type="page"/>
      </w:r>
    </w:p>
    <w:p>
      <w:pPr>
        <w:pStyle w:val="Heading1"/>
      </w:pPr>
      <w:r>
        <w:t>1. Introduction and Scope</w:t>
      </w:r>
    </w:p>
    <w:p>
      <w:pPr>
        <w:pStyle w:val="Heading2"/>
      </w:pPr>
      <w:r>
        <w:t>1.1 Background</w:t>
      </w:r>
    </w:p>
    <w:p>
      <w:r>
        <w:t>Organizations rely on cloud platforms, business applications, mobile devices, remote access, identity providers, managed service providers, and interconnected supply chains. This dependence improves efficiency but also increases the number of assets, identities, interfaces, and external relationships that must be protected. A weakness in one exposed system or supplier may create a path into otherwise well-defended environments.</w:t>
      </w:r>
    </w:p>
    <w:p>
      <w:r>
        <w:t>The cyber threat landscape describes the actors, motives, capabilities, techniques, vulnerabilities, and operational conditions that influence the likelihood and consequences of cyber incidents. It is dynamic: criminal groups adjust to defensive improvements, geopolitical events can trigger disruptive activity, and new technology creates both security opportunities and new attack surfaces.</w:t>
      </w:r>
    </w:p>
    <w:p>
      <w:pPr>
        <w:pStyle w:val="Heading2"/>
      </w:pPr>
      <w:r>
        <w:t>1.2 Objectives</w:t>
      </w:r>
    </w:p>
    <w:p>
      <w:pPr>
        <w:pStyle w:val="ListBullet"/>
      </w:pPr>
      <w:r>
        <w:t>Identify major cyber threats relevant to organizations in 2026 using credible public reporting.</w:t>
      </w:r>
    </w:p>
    <w:p>
      <w:pPr>
        <w:pStyle w:val="ListBullet"/>
      </w:pPr>
      <w:r>
        <w:t>Explain common initial-access vectors and how intrusions can progress.</w:t>
      </w:r>
    </w:p>
    <w:p>
      <w:pPr>
        <w:pStyle w:val="ListBullet"/>
      </w:pPr>
      <w:r>
        <w:t>Assess likely effects on confidentiality, integrity, availability, finances, operations, and trust.</w:t>
      </w:r>
    </w:p>
    <w:p>
      <w:pPr>
        <w:pStyle w:val="ListBullet"/>
      </w:pPr>
      <w:r>
        <w:t>Use documented incidents to derive practical defensive lessons.</w:t>
      </w:r>
    </w:p>
    <w:p>
      <w:pPr>
        <w:pStyle w:val="ListBullet"/>
      </w:pPr>
      <w:r>
        <w:t>Recommend prioritized, actionable controls and a measurable improvement roadmap.</w:t>
      </w:r>
    </w:p>
    <w:p>
      <w:pPr>
        <w:pStyle w:val="Heading2"/>
      </w:pPr>
      <w:r>
        <w:t>1.3 Scope</w:t>
      </w:r>
    </w:p>
    <w:p>
      <w:r>
        <w:t>The report covers ransomware and extortion, phishing and social engineering, credential compromise, vulnerability exploitation, supply-chain risk, cloud and identity misconfiguration, DDoS and hacktivism, data theft, and AI-enabled abuse. It considers organizations of different sizes, with attention to public services, healthcare, finance, manufacturing, transport, and digital service providers. The report emphasizes defensive analysis rather than offensive testing.</w:t>
      </w:r>
    </w:p>
    <w:p>
      <w:pPr>
        <w:pStyle w:val="Heading2"/>
      </w:pPr>
      <w:r>
        <w:t>1.4 Key terms</w:t>
      </w:r>
    </w:p>
    <w:p>
      <w:r>
        <w:t>A threat is a potential cause of harm; a vulnerability is a weakness that could be exploited; a threat actor is an individual or group conducting malicious activity; an attack vector is the route or method used to gain access or cause harm; risk combines likelihood and impact in a particular context. A security incident is an event that actually or imminently jeopardizes confidentiality, integrity, or availability.</w:t>
      </w:r>
    </w:p>
    <w:p>
      <w:r>
        <w:br w:type="page"/>
      </w:r>
    </w:p>
    <w:p>
      <w:pPr>
        <w:pStyle w:val="Heading1"/>
      </w:pPr>
      <w:r>
        <w:t>2. Methodology and Limitations</w:t>
      </w:r>
    </w:p>
    <w:p>
      <w:pPr>
        <w:pStyle w:val="Heading2"/>
      </w:pPr>
      <w:r>
        <w:t>2.1 Research method</w:t>
      </w:r>
    </w:p>
    <w:p>
      <w:r>
        <w:t>This report uses secondary research from recognized public sources: ENISA’s annual threat-landscape publication and accompanying release, Verizon’s 2026 DBIR, CISA’s KEV Catalog and advisories, and established incident reports. Sources were selected for authority, relevance, transparent reporting, and practical defensive value. Published dates and observation periods are noted where available.</w:t>
      </w:r>
    </w:p>
    <w:p>
      <w:pPr>
        <w:pStyle w:val="ListNumber"/>
      </w:pPr>
      <w:r>
        <w:t>Define the research question and scope: current threats, attack vectors, impacts, and defensive priorities.</w:t>
      </w:r>
    </w:p>
    <w:p>
      <w:pPr>
        <w:pStyle w:val="ListNumber"/>
      </w:pPr>
      <w:r>
        <w:t>Collect public threat reports and authoritative guidance, prioritizing government agencies, cybersecurity bodies, and primary incident reporting.</w:t>
      </w:r>
    </w:p>
    <w:p>
      <w:pPr>
        <w:pStyle w:val="ListNumber"/>
      </w:pPr>
      <w:r>
        <w:t>Group observations into threat categories and identify recurring patterns.</w:t>
      </w:r>
    </w:p>
    <w:p>
      <w:pPr>
        <w:pStyle w:val="ListNumber"/>
      </w:pPr>
      <w:r>
        <w:t>Compare each threat with likely organizational exposure and consequences.</w:t>
      </w:r>
    </w:p>
    <w:p>
      <w:pPr>
        <w:pStyle w:val="ListNumber"/>
      </w:pPr>
      <w:r>
        <w:t>Derive controls using defense-in-depth, least privilege, risk-based remediation, and incident-response principles.</w:t>
      </w:r>
    </w:p>
    <w:p>
      <w:pPr>
        <w:pStyle w:val="ListNumber"/>
      </w:pPr>
      <w:r>
        <w:t>Record references so that the reader can verify source claims and investigate updates.</w:t>
      </w:r>
    </w:p>
    <w:p>
      <w:pPr>
        <w:pStyle w:val="Heading2"/>
      </w:pPr>
      <w:r>
        <w:t>2.2 Evidence and date handling</w:t>
      </w:r>
    </w:p>
    <w:p>
      <w:r>
        <w:t>This report is dated 21 October 2026. The ENISA 2026 Threat Landscape analyzes events from 1 January through 31 December 2025 [1, 2]. Verizon’s 2026 DBIR covers a large collection of real-world incidents and confirmed breaches; its published report should be consulted for the exact dataset definitions and sampling details [3]. CISA’s KEV Catalog is a continuously updated resource, so entries and due dates may change after this report is prepared [5].</w:t>
      </w:r>
    </w:p>
    <w:p>
      <w:pPr>
        <w:pStyle w:val="Heading2"/>
      </w:pPr>
      <w:r>
        <w:t>2.3 Limitations</w:t>
      </w:r>
    </w:p>
    <w:p>
      <w:pPr>
        <w:pStyle w:val="ListBullet"/>
      </w:pPr>
      <w:r>
        <w:t>Public incident reporting is incomplete: many attacks are never disclosed, and disclosed cases may lack technical detail.</w:t>
      </w:r>
    </w:p>
    <w:p>
      <w:pPr>
        <w:pStyle w:val="ListBullet"/>
      </w:pPr>
      <w:r>
        <w:t>Different reports use different definitions, time windows, samples, and denominators; statistics should not be treated as interchangeable.</w:t>
      </w:r>
    </w:p>
    <w:p>
      <w:pPr>
        <w:pStyle w:val="ListBullet"/>
      </w:pPr>
      <w:r>
        <w:t>Regional findings do not automatically represent every country or industry. ENISA’s dataset is particularly relevant to the European threat environment, while global reports offer broader but still imperfect coverage.</w:t>
      </w:r>
    </w:p>
    <w:p>
      <w:pPr>
        <w:pStyle w:val="ListBullet"/>
      </w:pPr>
      <w:r>
        <w:t>Threat actors change tactics rapidly. A point-in-time report should be supplemented by current advisories, asset inventories, and sector-specific intelligence.</w:t>
      </w:r>
    </w:p>
    <w:p>
      <w:pPr>
        <w:pStyle w:val="ListBullet"/>
      </w:pPr>
      <w:r>
        <w:t>Risk ratings in this report are qualitative and illustrative; each organization should calibrate them to its own assets, controls, threat exposure, and risk appetite.</w:t>
      </w:r>
    </w:p>
    <w:p>
      <w:pPr>
        <w:pStyle w:val="Heading2"/>
      </w:pPr>
      <w:r>
        <w:t>2.4 Ethical considerations</w:t>
      </w:r>
    </w:p>
    <w:p>
      <w:r>
        <w:t>All recommendations are intended for authorized defensive use. Security testing should be performed only with written authorization, defined scope, and safe handling of evidence. Sensitive incident data should be minimized, protected, and shared only with people who need it.</w:t>
      </w:r>
    </w:p>
    <w:p>
      <w:r>
        <w:br w:type="page"/>
      </w:r>
    </w:p>
    <w:p>
      <w:pPr>
        <w:pStyle w:val="Heading1"/>
      </w:pPr>
      <w:r>
        <w:t>3. Threat Landscape Overview</w:t>
      </w:r>
    </w:p>
    <w:p>
      <w:pPr>
        <w:pStyle w:val="Heading2"/>
      </w:pPr>
      <w:r>
        <w:t>3.1 Major signals in 2026 reporting</w:t>
      </w:r>
    </w:p>
    <w:p>
      <w:r>
        <w:t>Recent reporting highlights continuity as well as change. Ransomware remains disruptive; attackers continue to exploit vulnerable internet-facing systems; credential theft and social engineering remain effective; and dependencies on suppliers and external platforms can amplify incidents. AI can help defenders with triage and analysis, but it can also help adversaries scale reconnaissance, craft persuasive lures, translate messages, and develop or adapt tools.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b/>
                <w:color w:val="FFFFFF"/>
                <w:sz w:val="18"/>
              </w:rPr>
              <w:t>Signal</w:t>
            </w:r>
          </w:p>
        </w:tc>
        <w:tc>
          <w:tcPr>
            <w:tcW w:type="dxa" w:w="3312"/>
            <w:vAlign w:val="center"/>
            <w:shd w:fill="12304A"/>
          </w:tcPr>
          <w:p>
            <w:pPr>
              <w:spacing w:after="20"/>
            </w:pPr>
            <w:r/>
            <w:r>
              <w:rPr>
                <w:b/>
                <w:color w:val="FFFFFF"/>
                <w:sz w:val="18"/>
              </w:rPr>
              <w:t>Evidence from public reporting</w:t>
            </w:r>
          </w:p>
        </w:tc>
        <w:tc>
          <w:tcPr>
            <w:tcW w:type="dxa" w:w="3312"/>
            <w:vAlign w:val="center"/>
            <w:shd w:fill="12304A"/>
          </w:tcPr>
          <w:p>
            <w:pPr>
              <w:spacing w:after="20"/>
            </w:pPr>
            <w:r/>
            <w:r>
              <w:rPr>
                <w:b/>
                <w:color w:val="FFFFFF"/>
                <w:sz w:val="18"/>
              </w:rPr>
              <w:t>Defensive implication</w:t>
            </w:r>
          </w:p>
        </w:tc>
      </w:tr>
      <w:tr>
        <w:tc>
          <w:tcPr>
            <w:tcW w:type="dxa" w:w="3312"/>
            <w:vAlign w:val="center"/>
          </w:tcPr>
          <w:p>
            <w:pPr>
              <w:spacing w:after="20"/>
            </w:pPr>
            <w:r/>
            <w:r>
              <w:rPr>
                <w:b w:val="0"/>
                <w:sz w:val="17"/>
              </w:rPr>
              <w:t>Ransomware and extortion</w:t>
            </w:r>
          </w:p>
        </w:tc>
        <w:tc>
          <w:tcPr>
            <w:tcW w:type="dxa" w:w="3312"/>
            <w:vAlign w:val="center"/>
          </w:tcPr>
          <w:p>
            <w:pPr>
              <w:spacing w:after="20"/>
            </w:pPr>
            <w:r/>
            <w:r>
              <w:rPr>
                <w:b w:val="0"/>
                <w:sz w:val="17"/>
              </w:rPr>
              <w:t>ENISA identifies ransomware as a highly impactful threat; Verizon continues to analyze ransomware and system-intrusion patterns [1–3].</w:t>
            </w:r>
          </w:p>
        </w:tc>
        <w:tc>
          <w:tcPr>
            <w:tcW w:type="dxa" w:w="3312"/>
            <w:vAlign w:val="center"/>
          </w:tcPr>
          <w:p>
            <w:pPr>
              <w:spacing w:after="20"/>
            </w:pPr>
            <w:r/>
            <w:r>
              <w:rPr>
                <w:b w:val="0"/>
                <w:sz w:val="17"/>
              </w:rPr>
              <w:t>Protect identity and endpoints, segment critical systems, maintain offline/immutable backups, and rehearse recovery.</w:t>
            </w:r>
          </w:p>
        </w:tc>
      </w:tr>
      <w:tr>
        <w:tc>
          <w:tcPr>
            <w:tcW w:type="dxa" w:w="3312"/>
            <w:vAlign w:val="center"/>
            <w:shd w:fill="EEF4F7"/>
          </w:tcPr>
          <w:p>
            <w:pPr>
              <w:spacing w:after="20"/>
            </w:pPr>
            <w:r/>
            <w:r>
              <w:rPr>
                <w:b w:val="0"/>
                <w:sz w:val="17"/>
              </w:rPr>
              <w:t>Vulnerability exploitation</w:t>
            </w:r>
          </w:p>
        </w:tc>
        <w:tc>
          <w:tcPr>
            <w:tcW w:type="dxa" w:w="3312"/>
            <w:vAlign w:val="center"/>
            <w:shd w:fill="EEF4F7"/>
          </w:tcPr>
          <w:p>
            <w:pPr>
              <w:spacing w:after="20"/>
            </w:pPr>
            <w:r/>
            <w:r>
              <w:rPr>
                <w:b w:val="0"/>
                <w:sz w:val="17"/>
              </w:rPr>
              <w:t>ENISA reports exploitation of N-day and zero-day vulnerabilities as a prevalent intrusion vector; Verizon’s 2026 DBIR identifies vulnerability exploitation as a leading entry point [2–4].</w:t>
            </w:r>
          </w:p>
        </w:tc>
        <w:tc>
          <w:tcPr>
            <w:tcW w:type="dxa" w:w="3312"/>
            <w:vAlign w:val="center"/>
            <w:shd w:fill="EEF4F7"/>
          </w:tcPr>
          <w:p>
            <w:pPr>
              <w:spacing w:after="20"/>
            </w:pPr>
            <w:r/>
            <w:r>
              <w:rPr>
                <w:b w:val="0"/>
                <w:sz w:val="17"/>
              </w:rPr>
              <w:t>Maintain an accurate asset inventory and prioritize exploited vulnerabilities, especially on internet-facing systems.</w:t>
            </w:r>
          </w:p>
        </w:tc>
      </w:tr>
      <w:tr>
        <w:tc>
          <w:tcPr>
            <w:tcW w:type="dxa" w:w="3312"/>
            <w:vAlign w:val="center"/>
          </w:tcPr>
          <w:p>
            <w:pPr>
              <w:spacing w:after="20"/>
            </w:pPr>
            <w:r/>
            <w:r>
              <w:rPr>
                <w:b w:val="0"/>
                <w:sz w:val="17"/>
              </w:rPr>
              <w:t>Social engineering</w:t>
            </w:r>
          </w:p>
        </w:tc>
        <w:tc>
          <w:tcPr>
            <w:tcW w:type="dxa" w:w="3312"/>
            <w:vAlign w:val="center"/>
          </w:tcPr>
          <w:p>
            <w:pPr>
              <w:spacing w:after="20"/>
            </w:pPr>
            <w:r/>
            <w:r>
              <w:rPr>
                <w:b w:val="0"/>
                <w:sz w:val="17"/>
              </w:rPr>
              <w:t>ENISA describes phishing and service-based ecosystems; Verizon discusses mobile-centric and voice-based techniques [2–4].</w:t>
            </w:r>
          </w:p>
        </w:tc>
        <w:tc>
          <w:tcPr>
            <w:tcW w:type="dxa" w:w="3312"/>
            <w:vAlign w:val="center"/>
          </w:tcPr>
          <w:p>
            <w:pPr>
              <w:spacing w:after="20"/>
            </w:pPr>
            <w:r/>
            <w:r>
              <w:rPr>
                <w:b w:val="0"/>
                <w:sz w:val="17"/>
              </w:rPr>
              <w:t>Use phishing-resistant MFA, verification for payment or account changes, and regular role-based exercises.</w:t>
            </w:r>
          </w:p>
        </w:tc>
      </w:tr>
      <w:tr>
        <w:tc>
          <w:tcPr>
            <w:tcW w:type="dxa" w:w="3312"/>
            <w:vAlign w:val="center"/>
            <w:shd w:fill="EEF4F7"/>
          </w:tcPr>
          <w:p>
            <w:pPr>
              <w:spacing w:after="20"/>
            </w:pPr>
            <w:r/>
            <w:r>
              <w:rPr>
                <w:b w:val="0"/>
                <w:sz w:val="17"/>
              </w:rPr>
              <w:t>Third-party dependencies</w:t>
            </w:r>
          </w:p>
        </w:tc>
        <w:tc>
          <w:tcPr>
            <w:tcW w:type="dxa" w:w="3312"/>
            <w:vAlign w:val="center"/>
            <w:shd w:fill="EEF4F7"/>
          </w:tcPr>
          <w:p>
            <w:pPr>
              <w:spacing w:after="20"/>
            </w:pPr>
            <w:r/>
            <w:r>
              <w:rPr>
                <w:b w:val="0"/>
                <w:sz w:val="17"/>
              </w:rPr>
              <w:t>Verizon highlights third-party involvement and the need for visibility into suppliers [3, 4].</w:t>
            </w:r>
          </w:p>
        </w:tc>
        <w:tc>
          <w:tcPr>
            <w:tcW w:type="dxa" w:w="3312"/>
            <w:vAlign w:val="center"/>
            <w:shd w:fill="EEF4F7"/>
          </w:tcPr>
          <w:p>
            <w:pPr>
              <w:spacing w:after="20"/>
            </w:pPr>
            <w:r/>
            <w:r>
              <w:rPr>
                <w:b w:val="0"/>
                <w:sz w:val="17"/>
              </w:rPr>
              <w:t>Assess supplier access, contractual security expectations, software provenance, and continuity dependencies.</w:t>
            </w:r>
          </w:p>
        </w:tc>
      </w:tr>
      <w:tr>
        <w:tc>
          <w:tcPr>
            <w:tcW w:type="dxa" w:w="3312"/>
            <w:vAlign w:val="center"/>
          </w:tcPr>
          <w:p>
            <w:pPr>
              <w:spacing w:after="20"/>
            </w:pPr>
            <w:r/>
            <w:r>
              <w:rPr>
                <w:b w:val="0"/>
                <w:sz w:val="17"/>
              </w:rPr>
              <w:t>AI-enabled abuse</w:t>
            </w:r>
          </w:p>
        </w:tc>
        <w:tc>
          <w:tcPr>
            <w:tcW w:type="dxa" w:w="3312"/>
            <w:vAlign w:val="center"/>
          </w:tcPr>
          <w:p>
            <w:pPr>
              <w:spacing w:after="20"/>
            </w:pPr>
            <w:r/>
            <w:r>
              <w:rPr>
                <w:b w:val="0"/>
                <w:sz w:val="17"/>
              </w:rPr>
              <w:t>ENISA and Verizon describe growing use of AI to support malicious activity [2–4].</w:t>
            </w:r>
          </w:p>
        </w:tc>
        <w:tc>
          <w:tcPr>
            <w:tcW w:type="dxa" w:w="3312"/>
            <w:vAlign w:val="center"/>
          </w:tcPr>
          <w:p>
            <w:pPr>
              <w:spacing w:after="20"/>
            </w:pPr>
            <w:r/>
            <w:r>
              <w:rPr>
                <w:b w:val="0"/>
                <w:sz w:val="17"/>
              </w:rPr>
              <w:t>Train staff to verify unusual requests; govern AI tools and prevent sensitive-data leakage.</w:t>
            </w:r>
          </w:p>
        </w:tc>
      </w:tr>
    </w:tbl>
    <w:p/>
    <w:p>
      <w:pPr>
        <w:pStyle w:val="Heading2"/>
      </w:pPr>
      <w:r>
        <w:t>3.2 Threat actors and motives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304A"/>
          </w:tcPr>
          <w:p>
            <w:pPr>
              <w:spacing w:after="20"/>
            </w:pPr>
            <w:r/>
            <w:r>
              <w:rPr>
                <w:b/>
                <w:color w:val="FFFFFF"/>
                <w:sz w:val="18"/>
              </w:rPr>
              <w:t>Actor category</w:t>
            </w:r>
          </w:p>
        </w:tc>
        <w:tc>
          <w:tcPr>
            <w:tcW w:type="dxa" w:w="2484"/>
            <w:vAlign w:val="center"/>
            <w:shd w:fill="12304A"/>
          </w:tcPr>
          <w:p>
            <w:pPr>
              <w:spacing w:after="20"/>
            </w:pPr>
            <w:r/>
            <w:r>
              <w:rPr>
                <w:b/>
                <w:color w:val="FFFFFF"/>
                <w:sz w:val="18"/>
              </w:rPr>
              <w:t>Typical motive</w:t>
            </w:r>
          </w:p>
        </w:tc>
        <w:tc>
          <w:tcPr>
            <w:tcW w:type="dxa" w:w="2484"/>
            <w:vAlign w:val="center"/>
            <w:shd w:fill="12304A"/>
          </w:tcPr>
          <w:p>
            <w:pPr>
              <w:spacing w:after="20"/>
            </w:pPr>
            <w:r/>
            <w:r>
              <w:rPr>
                <w:b/>
                <w:color w:val="FFFFFF"/>
                <w:sz w:val="18"/>
              </w:rPr>
              <w:t>Common behaviors</w:t>
            </w:r>
          </w:p>
        </w:tc>
        <w:tc>
          <w:tcPr>
            <w:tcW w:type="dxa" w:w="2484"/>
            <w:vAlign w:val="center"/>
            <w:shd w:fill="12304A"/>
          </w:tcPr>
          <w:p>
            <w:pPr>
              <w:spacing w:after="20"/>
            </w:pPr>
            <w:r/>
            <w:r>
              <w:rPr>
                <w:b/>
                <w:color w:val="FFFFFF"/>
                <w:sz w:val="18"/>
              </w:rPr>
              <w:t>Potential targets</w:t>
            </w:r>
          </w:p>
        </w:tc>
      </w:tr>
      <w:tr>
        <w:tc>
          <w:tcPr>
            <w:tcW w:type="dxa" w:w="2484"/>
            <w:vAlign w:val="center"/>
          </w:tcPr>
          <w:p>
            <w:pPr>
              <w:spacing w:after="20"/>
            </w:pPr>
            <w:r/>
            <w:r>
              <w:rPr>
                <w:b w:val="0"/>
                <w:sz w:val="17"/>
              </w:rPr>
              <w:t>Cybercriminal groups</w:t>
            </w:r>
          </w:p>
        </w:tc>
        <w:tc>
          <w:tcPr>
            <w:tcW w:type="dxa" w:w="2484"/>
            <w:vAlign w:val="center"/>
          </w:tcPr>
          <w:p>
            <w:pPr>
              <w:spacing w:after="20"/>
            </w:pPr>
            <w:r/>
            <w:r>
              <w:rPr>
                <w:b w:val="0"/>
                <w:sz w:val="17"/>
              </w:rPr>
              <w:t>Financial gain</w:t>
            </w:r>
          </w:p>
        </w:tc>
        <w:tc>
          <w:tcPr>
            <w:tcW w:type="dxa" w:w="2484"/>
            <w:vAlign w:val="center"/>
          </w:tcPr>
          <w:p>
            <w:pPr>
              <w:spacing w:after="20"/>
            </w:pPr>
            <w:r/>
            <w:r>
              <w:rPr>
                <w:b w:val="0"/>
                <w:sz w:val="17"/>
              </w:rPr>
              <w:t>Ransomware, data theft, extortion, fraud, credential sales</w:t>
            </w:r>
          </w:p>
        </w:tc>
        <w:tc>
          <w:tcPr>
            <w:tcW w:type="dxa" w:w="2484"/>
            <w:vAlign w:val="center"/>
          </w:tcPr>
          <w:p>
            <w:pPr>
              <w:spacing w:after="20"/>
            </w:pPr>
            <w:r/>
            <w:r>
              <w:rPr>
                <w:b w:val="0"/>
                <w:sz w:val="17"/>
              </w:rPr>
              <w:t>Businesses, healthcare, education, public services</w:t>
            </w:r>
          </w:p>
        </w:tc>
      </w:tr>
      <w:tr>
        <w:tc>
          <w:tcPr>
            <w:tcW w:type="dxa" w:w="2484"/>
            <w:vAlign w:val="center"/>
            <w:shd w:fill="EEF4F7"/>
          </w:tcPr>
          <w:p>
            <w:pPr>
              <w:spacing w:after="20"/>
            </w:pPr>
            <w:r/>
            <w:r>
              <w:rPr>
                <w:b w:val="0"/>
                <w:sz w:val="17"/>
              </w:rPr>
              <w:t>State-linked operators</w:t>
            </w:r>
          </w:p>
        </w:tc>
        <w:tc>
          <w:tcPr>
            <w:tcW w:type="dxa" w:w="2484"/>
            <w:vAlign w:val="center"/>
            <w:shd w:fill="EEF4F7"/>
          </w:tcPr>
          <w:p>
            <w:pPr>
              <w:spacing w:after="20"/>
            </w:pPr>
            <w:r/>
            <w:r>
              <w:rPr>
                <w:b w:val="0"/>
                <w:sz w:val="17"/>
              </w:rPr>
              <w:t>Espionage, strategic advantage, disruption</w:t>
            </w:r>
          </w:p>
        </w:tc>
        <w:tc>
          <w:tcPr>
            <w:tcW w:type="dxa" w:w="2484"/>
            <w:vAlign w:val="center"/>
            <w:shd w:fill="EEF4F7"/>
          </w:tcPr>
          <w:p>
            <w:pPr>
              <w:spacing w:after="20"/>
            </w:pPr>
            <w:r/>
            <w:r>
              <w:rPr>
                <w:b w:val="0"/>
                <w:sz w:val="17"/>
              </w:rPr>
              <w:t>Stealthy access, credential abuse, persistence, targeted phishing</w:t>
            </w:r>
          </w:p>
        </w:tc>
        <w:tc>
          <w:tcPr>
            <w:tcW w:type="dxa" w:w="2484"/>
            <w:vAlign w:val="center"/>
            <w:shd w:fill="EEF4F7"/>
          </w:tcPr>
          <w:p>
            <w:pPr>
              <w:spacing w:after="20"/>
            </w:pPr>
            <w:r/>
            <w:r>
              <w:rPr>
                <w:b w:val="0"/>
                <w:sz w:val="17"/>
              </w:rPr>
              <w:t>Government, defense, critical infrastructure, technology</w:t>
            </w:r>
          </w:p>
        </w:tc>
      </w:tr>
      <w:tr>
        <w:tc>
          <w:tcPr>
            <w:tcW w:type="dxa" w:w="2484"/>
            <w:vAlign w:val="center"/>
          </w:tcPr>
          <w:p>
            <w:pPr>
              <w:spacing w:after="20"/>
            </w:pPr>
            <w:r/>
            <w:r>
              <w:rPr>
                <w:b w:val="0"/>
                <w:sz w:val="17"/>
              </w:rPr>
              <w:t>Hacktivists</w:t>
            </w:r>
          </w:p>
        </w:tc>
        <w:tc>
          <w:tcPr>
            <w:tcW w:type="dxa" w:w="2484"/>
            <w:vAlign w:val="center"/>
          </w:tcPr>
          <w:p>
            <w:pPr>
              <w:spacing w:after="20"/>
            </w:pPr>
            <w:r/>
            <w:r>
              <w:rPr>
                <w:b w:val="0"/>
                <w:sz w:val="17"/>
              </w:rPr>
              <w:t>Political or ideological expression</w:t>
            </w:r>
          </w:p>
        </w:tc>
        <w:tc>
          <w:tcPr>
            <w:tcW w:type="dxa" w:w="2484"/>
            <w:vAlign w:val="center"/>
          </w:tcPr>
          <w:p>
            <w:pPr>
              <w:spacing w:after="20"/>
            </w:pPr>
            <w:r/>
            <w:r>
              <w:rPr>
                <w:b w:val="0"/>
                <w:sz w:val="17"/>
              </w:rPr>
              <w:t>DDoS, website defacement, information operations</w:t>
            </w:r>
          </w:p>
        </w:tc>
        <w:tc>
          <w:tcPr>
            <w:tcW w:type="dxa" w:w="2484"/>
            <w:vAlign w:val="center"/>
          </w:tcPr>
          <w:p>
            <w:pPr>
              <w:spacing w:after="20"/>
            </w:pPr>
            <w:r/>
            <w:r>
              <w:rPr>
                <w:b w:val="0"/>
                <w:sz w:val="17"/>
              </w:rPr>
              <w:t>Public agencies, visible brands, politically salient services</w:t>
            </w:r>
          </w:p>
        </w:tc>
      </w:tr>
      <w:tr>
        <w:tc>
          <w:tcPr>
            <w:tcW w:type="dxa" w:w="2484"/>
            <w:vAlign w:val="center"/>
            <w:shd w:fill="EEF4F7"/>
          </w:tcPr>
          <w:p>
            <w:pPr>
              <w:spacing w:after="20"/>
            </w:pPr>
            <w:r/>
            <w:r>
              <w:rPr>
                <w:b w:val="0"/>
                <w:sz w:val="17"/>
              </w:rPr>
              <w:t>Insiders</w:t>
            </w:r>
          </w:p>
        </w:tc>
        <w:tc>
          <w:tcPr>
            <w:tcW w:type="dxa" w:w="2484"/>
            <w:vAlign w:val="center"/>
            <w:shd w:fill="EEF4F7"/>
          </w:tcPr>
          <w:p>
            <w:pPr>
              <w:spacing w:after="20"/>
            </w:pPr>
            <w:r/>
            <w:r>
              <w:rPr>
                <w:b w:val="0"/>
                <w:sz w:val="17"/>
              </w:rPr>
              <w:t>Grievance, financial gain, coercion, negligence</w:t>
            </w:r>
          </w:p>
        </w:tc>
        <w:tc>
          <w:tcPr>
            <w:tcW w:type="dxa" w:w="2484"/>
            <w:vAlign w:val="center"/>
            <w:shd w:fill="EEF4F7"/>
          </w:tcPr>
          <w:p>
            <w:pPr>
              <w:spacing w:after="20"/>
            </w:pPr>
            <w:r/>
            <w:r>
              <w:rPr>
                <w:b w:val="0"/>
                <w:sz w:val="17"/>
              </w:rPr>
              <w:t>Unauthorized data access, misuse of privileges, accidental exposure</w:t>
            </w:r>
          </w:p>
        </w:tc>
        <w:tc>
          <w:tcPr>
            <w:tcW w:type="dxa" w:w="2484"/>
            <w:vAlign w:val="center"/>
            <w:shd w:fill="EEF4F7"/>
          </w:tcPr>
          <w:p>
            <w:pPr>
              <w:spacing w:after="20"/>
            </w:pPr>
            <w:r/>
            <w:r>
              <w:rPr>
                <w:b w:val="0"/>
                <w:sz w:val="17"/>
              </w:rPr>
              <w:t>Employers, customers, business partners</w:t>
            </w:r>
          </w:p>
        </w:tc>
      </w:tr>
      <w:tr>
        <w:tc>
          <w:tcPr>
            <w:tcW w:type="dxa" w:w="2484"/>
            <w:vAlign w:val="center"/>
          </w:tcPr>
          <w:p>
            <w:pPr>
              <w:spacing w:after="20"/>
            </w:pPr>
            <w:r/>
            <w:r>
              <w:rPr>
                <w:b w:val="0"/>
                <w:sz w:val="17"/>
              </w:rPr>
              <w:t>Opportunistic attackers</w:t>
            </w:r>
          </w:p>
        </w:tc>
        <w:tc>
          <w:tcPr>
            <w:tcW w:type="dxa" w:w="2484"/>
            <w:vAlign w:val="center"/>
          </w:tcPr>
          <w:p>
            <w:pPr>
              <w:spacing w:after="20"/>
            </w:pPr>
            <w:r/>
            <w:r>
              <w:rPr>
                <w:b w:val="0"/>
                <w:sz w:val="17"/>
              </w:rPr>
              <w:t>Varied, often low-cost gain</w:t>
            </w:r>
          </w:p>
        </w:tc>
        <w:tc>
          <w:tcPr>
            <w:tcW w:type="dxa" w:w="2484"/>
            <w:vAlign w:val="center"/>
          </w:tcPr>
          <w:p>
            <w:pPr>
              <w:spacing w:after="20"/>
            </w:pPr>
            <w:r/>
            <w:r>
              <w:rPr>
                <w:b w:val="0"/>
                <w:sz w:val="17"/>
              </w:rPr>
              <w:t>Scanning, exploiting known flaws, password spraying</w:t>
            </w:r>
          </w:p>
        </w:tc>
        <w:tc>
          <w:tcPr>
            <w:tcW w:type="dxa" w:w="2484"/>
            <w:vAlign w:val="center"/>
          </w:tcPr>
          <w:p>
            <w:pPr>
              <w:spacing w:after="20"/>
            </w:pPr>
            <w:r/>
            <w:r>
              <w:rPr>
                <w:b w:val="0"/>
                <w:sz w:val="17"/>
              </w:rPr>
              <w:t>Exposed and poorly maintained systems</w:t>
            </w:r>
          </w:p>
        </w:tc>
      </w:tr>
    </w:tbl>
    <w:p/>
    <w:p>
      <w:pPr>
        <w:pStyle w:val="Heading2"/>
      </w:pPr>
      <w:r>
        <w:t>3.3 Why risk is interconnected</w:t>
      </w:r>
    </w:p>
    <w:p>
      <w:r>
        <w:t>An incident rarely stays confined to one device. A stolen employee identity may expose email; email access may enable password resets; a compromised administrator account may expose cloud storage; and a supplier’s remote access may bridge several customers. The most important analytical question is therefore not only “What threat exists?” but also “Which business service can be reached through this path, and what happens if it is compromised?”</w:t>
      </w:r>
    </w:p>
    <w:p>
      <w:r>
        <w:br w:type="page"/>
      </w:r>
    </w:p>
    <w:p>
      <w:pPr>
        <w:pStyle w:val="Heading1"/>
      </w:pPr>
      <w:r>
        <w:t>4. Major Cyber Threat Categories</w:t>
      </w:r>
    </w:p>
    <w:p>
      <w:pPr>
        <w:pStyle w:val="Heading2"/>
      </w:pPr>
      <w:r>
        <w:t>4.1 Ransomware and multi-extortion</w:t>
      </w:r>
    </w:p>
    <w:p>
      <w:r>
        <w:t>Ransomware is malicious activity designed to deny access to data or systems, commonly by encrypting files or disrupting operations. Modern incidents may combine encryption with theft, leak threats, harassment, or attacks against business partners. Some operators rely on affiliates and rented infrastructure, lowering the barrier to entry. Initial access can come from stolen credentials, exposed remote services, phishing, or exploitation of unpatched software.</w:t>
      </w:r>
    </w:p>
    <w:p>
      <w:r>
        <w:t>Business consequences include production downtime, unavailable clinical or customer systems, recovery costs, legal obligations, lost revenue, and reduced trust. Paying a ransom does not guarantee data recovery or deletion of stolen information. Defensive priorities include strong identity controls, endpoint detection, segmentation, secure backups isolated from normal administrator accounts, and a tested recovery process.</w:t>
      </w:r>
    </w:p>
    <w:p>
      <w:pPr>
        <w:pStyle w:val="Heading2"/>
      </w:pPr>
      <w:r>
        <w:t>4.2 Phishing and social engineering</w:t>
      </w:r>
    </w:p>
    <w:p>
      <w:r>
        <w:t>Phishing manipulates people into revealing credentials, opening malicious content, approving sign-in prompts, or transferring money. Attacks may arrive through email, text messages, collaboration platforms, phone calls, QR codes, or fake support interactions. AI-generated text, voice, and imagery can make impersonation more convincing, but the underlying tactic remains the exploitation of trust and urgency.</w:t>
      </w:r>
    </w:p>
    <w:p>
      <w:r>
        <w:t>Controls should make verification easy: use phishing-resistant MFA where feasible; provide a known route to report suspicious messages; require out-of-band confirmation for bank-detail changes and sensitive approvals; and avoid punishing employees for promptly reporting mistakes. Training should focus on realistic decision-making rather than only spotting spelling errors.</w:t>
      </w:r>
    </w:p>
    <w:p>
      <w:pPr>
        <w:pStyle w:val="Heading2"/>
      </w:pPr>
      <w:r>
        <w:t>4.3 Credential theft and account takeover</w:t>
      </w:r>
    </w:p>
    <w:p>
      <w:r>
        <w:t>Credentials are valuable because a legitimate login can blend into normal activity. Password reuse, infostealer malware, token theft, consent phishing, weak recovery procedures, and MFA fatigue can all help attackers gain access. Compromised identities may be used to read email, steal files, alter payment instructions, create new accounts, or move laterally.</w:t>
      </w:r>
    </w:p>
    <w:p>
      <w:r>
        <w:t>Mitigation includes unique passwords stored in an approved password manager, MFA, conditional access, device compliance, short-lived sessions where appropriate, privileged access management, monitoring for unusual sign-in patterns, and rapid revocation of sessions and tokens after suspected compromise. Service accounts should have narrowly scoped permissions and managed secrets.</w:t>
      </w:r>
    </w:p>
    <w:p>
      <w:pPr>
        <w:pStyle w:val="Heading2"/>
      </w:pPr>
      <w:r>
        <w:t>4.4 Exploitation of known and zero-day vulnerabilities</w:t>
      </w:r>
    </w:p>
    <w:p>
      <w:r>
        <w:t>A vulnerability is a flaw in software, hardware, configuration, or design. Attackers scan for exposed services and target systems that remain unpatched. A zero-day is exploited before a fix is available or before defenders can reasonably deploy it; an N-day vulnerability has a known flaw or fix but may remain exploitable where remediation is delayed. Internet-facing appliances, remote-access gateways, content-management platforms, and edge devices deserve particular attention.</w:t>
      </w:r>
    </w:p>
    <w:p>
      <w:r>
        <w:t>CISA’s KEV Catalog records vulnerabilities with evidence of exploitation in the wild and is a valuable input to remediation prioritization [5]. Teams should combine KEV status with exposure, asset criticality, exploitability, compensating controls, and business impact. A patching program must verify installation and investigate potential compromise where an asset was exposed before remediation.</w:t>
      </w:r>
    </w:p>
    <w:p>
      <w:pPr>
        <w:pStyle w:val="Heading2"/>
      </w:pPr>
      <w:r>
        <w:t>4.5 Supply-chain and third-party compromise</w:t>
      </w:r>
    </w:p>
    <w:p>
      <w:r>
        <w:t>Organizations inherit risk from software vendors, cloud providers, managed service providers, contractors, and libraries used in applications. A supplier may have broad access or may distribute a compromised update to many customers. The risk is not limited to malicious code: a supplier outage or a compromised identity system can interrupt dependent services.</w:t>
      </w:r>
    </w:p>
    <w:p>
      <w:r>
        <w:t>Controls include supplier due diligence, contractual incident-notification requirements, inventory of critical dependencies, least-privilege vendor access, time-limited remote sessions, software component inventories, signed releases, change monitoring, and contingency plans. High-impact suppliers should be reviewed throughout the relationship, not only during procurement.</w:t>
      </w:r>
    </w:p>
    <w:p>
      <w:pPr>
        <w:pStyle w:val="Heading2"/>
      </w:pPr>
      <w:r>
        <w:t>4.6 Cloud and identity misconfiguration</w:t>
      </w:r>
    </w:p>
    <w:p>
      <w:r>
        <w:t>Cloud incidents can result from publicly exposed storage, excessive permissions, insecure API keys, poorly protected management consoles, or weak identity federation. Responsibility is shared: cloud providers secure parts of the underlying service, while customers remain responsible for configuration, identity, data, and workload security according to the service model.</w:t>
      </w:r>
    </w:p>
    <w:p>
      <w:r>
        <w:t>Organizations should establish secure configuration baselines, continuously detect drift, remove unused identities and keys, separate administrative accounts, encrypt sensitive data, log management actions, and test access boundaries. Infrastructure-as-code reviews can prevent insecure settings from repeatedly entering production.</w:t>
      </w:r>
    </w:p>
    <w:p>
      <w:pPr>
        <w:pStyle w:val="Heading2"/>
      </w:pPr>
      <w:r>
        <w:t>4.7 DDoS, hacktivism, and service disruption</w:t>
      </w:r>
    </w:p>
    <w:p>
      <w:r>
        <w:t>Distributed denial-of-service attacks overwhelm a service or its network path with traffic or requests. Hacktivist campaigns may target public-facing websites and services for political visibility. Even where no data is stolen, disruption can damage public trust, impede access to essential information, and consume incident-response capacity.</w:t>
      </w:r>
    </w:p>
    <w:p>
      <w:r>
        <w:t>Mitigations include upstream DDoS protection, content-delivery networks, rate limiting, resilient DNS, capacity planning, service-provider coordination, and rehearsed communications. Critical organizations should define which services must remain available and what degraded mode is acceptable during an attack.</w:t>
      </w:r>
    </w:p>
    <w:p>
      <w:pPr>
        <w:pStyle w:val="Heading2"/>
      </w:pPr>
      <w:r>
        <w:t>4.8 AI-enabled threats and data leakage</w:t>
      </w:r>
    </w:p>
    <w:p>
      <w:r>
        <w:t>AI can support defensive analysis, but it can also help attackers create personalized lures, automate research, translate content, generate plausible impersonations, or accelerate parts of malware development. Separately, employees may paste confidential information into unapproved AI tools or connect tools to data sources with excessive permissions. These risks should be managed without assuming that every AI-assisted event is sophisticated or successful.</w:t>
      </w:r>
    </w:p>
    <w:p>
      <w:r>
        <w:t>Recommended controls include an approved-use policy, data classification, access controls for AI-connected applications, review of third-party data handling, logging, human approval for consequential actions, and training that teaches employees to verify identity and source independently of how polished a message appears.</w:t>
      </w:r>
    </w:p>
    <w:p>
      <w:r>
        <w:br w:type="page"/>
      </w:r>
    </w:p>
    <w:p>
      <w:pPr>
        <w:pStyle w:val="Heading1"/>
      </w:pPr>
      <w:r>
        <w:t>5. Common Attack Vectors and Attack Chain</w:t>
      </w:r>
    </w:p>
    <w:p>
      <w:pPr>
        <w:pStyle w:val="Heading2"/>
      </w:pPr>
      <w:r>
        <w:t>5.1 Common initial-access vectors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304A"/>
          </w:tcPr>
          <w:p>
            <w:pPr>
              <w:spacing w:after="20"/>
            </w:pPr>
            <w:r/>
            <w:r>
              <w:rPr>
                <w:b/>
                <w:color w:val="FFFFFF"/>
                <w:sz w:val="18"/>
              </w:rPr>
              <w:t>Attack vector</w:t>
            </w:r>
          </w:p>
        </w:tc>
        <w:tc>
          <w:tcPr>
            <w:tcW w:type="dxa" w:w="2484"/>
            <w:vAlign w:val="center"/>
            <w:shd w:fill="12304A"/>
          </w:tcPr>
          <w:p>
            <w:pPr>
              <w:spacing w:after="20"/>
            </w:pPr>
            <w:r/>
            <w:r>
              <w:rPr>
                <w:b/>
                <w:color w:val="FFFFFF"/>
                <w:sz w:val="18"/>
              </w:rPr>
              <w:t>How it commonly works</w:t>
            </w:r>
          </w:p>
        </w:tc>
        <w:tc>
          <w:tcPr>
            <w:tcW w:type="dxa" w:w="2484"/>
            <w:vAlign w:val="center"/>
            <w:shd w:fill="12304A"/>
          </w:tcPr>
          <w:p>
            <w:pPr>
              <w:spacing w:after="20"/>
            </w:pPr>
            <w:r/>
            <w:r>
              <w:rPr>
                <w:b/>
                <w:color w:val="FFFFFF"/>
                <w:sz w:val="18"/>
              </w:rPr>
              <w:t>Warning signs</w:t>
            </w:r>
          </w:p>
        </w:tc>
        <w:tc>
          <w:tcPr>
            <w:tcW w:type="dxa" w:w="2484"/>
            <w:vAlign w:val="center"/>
            <w:shd w:fill="12304A"/>
          </w:tcPr>
          <w:p>
            <w:pPr>
              <w:spacing w:after="20"/>
            </w:pPr>
            <w:r/>
            <w:r>
              <w:rPr>
                <w:b/>
                <w:color w:val="FFFFFF"/>
                <w:sz w:val="18"/>
              </w:rPr>
              <w:t>Priority defenses</w:t>
            </w:r>
          </w:p>
        </w:tc>
      </w:tr>
      <w:tr>
        <w:tc>
          <w:tcPr>
            <w:tcW w:type="dxa" w:w="2484"/>
            <w:vAlign w:val="center"/>
          </w:tcPr>
          <w:p>
            <w:pPr>
              <w:spacing w:after="20"/>
            </w:pPr>
            <w:r/>
            <w:r>
              <w:rPr>
                <w:b w:val="0"/>
                <w:sz w:val="17"/>
              </w:rPr>
              <w:t>Phishing / impersonation</w:t>
            </w:r>
          </w:p>
        </w:tc>
        <w:tc>
          <w:tcPr>
            <w:tcW w:type="dxa" w:w="2484"/>
            <w:vAlign w:val="center"/>
          </w:tcPr>
          <w:p>
            <w:pPr>
              <w:spacing w:after="20"/>
            </w:pPr>
            <w:r/>
            <w:r>
              <w:rPr>
                <w:b w:val="0"/>
                <w:sz w:val="17"/>
              </w:rPr>
              <w:t>Victim is persuaded to disclose a password, approve a request, open a file, or transfer funds.</w:t>
            </w:r>
          </w:p>
        </w:tc>
        <w:tc>
          <w:tcPr>
            <w:tcW w:type="dxa" w:w="2484"/>
            <w:vAlign w:val="center"/>
          </w:tcPr>
          <w:p>
            <w:pPr>
              <w:spacing w:after="20"/>
            </w:pPr>
            <w:r/>
            <w:r>
              <w:rPr>
                <w:b w:val="0"/>
                <w:sz w:val="17"/>
              </w:rPr>
              <w:t>Unexpected urgency, unusual sender, new payment details, atypical login prompts.</w:t>
            </w:r>
          </w:p>
        </w:tc>
        <w:tc>
          <w:tcPr>
            <w:tcW w:type="dxa" w:w="2484"/>
            <w:vAlign w:val="center"/>
          </w:tcPr>
          <w:p>
            <w:pPr>
              <w:spacing w:after="20"/>
            </w:pPr>
            <w:r/>
            <w:r>
              <w:rPr>
                <w:b w:val="0"/>
                <w:sz w:val="17"/>
              </w:rPr>
              <w:t>Phishing-resistant MFA, reporting workflow, payment verification, mail protections.</w:t>
            </w:r>
          </w:p>
        </w:tc>
      </w:tr>
      <w:tr>
        <w:tc>
          <w:tcPr>
            <w:tcW w:type="dxa" w:w="2484"/>
            <w:vAlign w:val="center"/>
            <w:shd w:fill="EEF4F7"/>
          </w:tcPr>
          <w:p>
            <w:pPr>
              <w:spacing w:after="20"/>
            </w:pPr>
            <w:r/>
            <w:r>
              <w:rPr>
                <w:b w:val="0"/>
                <w:sz w:val="17"/>
              </w:rPr>
              <w:t>Exposed vulnerable service</w:t>
            </w:r>
          </w:p>
        </w:tc>
        <w:tc>
          <w:tcPr>
            <w:tcW w:type="dxa" w:w="2484"/>
            <w:vAlign w:val="center"/>
            <w:shd w:fill="EEF4F7"/>
          </w:tcPr>
          <w:p>
            <w:pPr>
              <w:spacing w:after="20"/>
            </w:pPr>
            <w:r/>
            <w:r>
              <w:rPr>
                <w:b w:val="0"/>
                <w:sz w:val="17"/>
              </w:rPr>
              <w:t>Attacker exploits an unpatched internet-facing application or appliance.</w:t>
            </w:r>
          </w:p>
        </w:tc>
        <w:tc>
          <w:tcPr>
            <w:tcW w:type="dxa" w:w="2484"/>
            <w:vAlign w:val="center"/>
            <w:shd w:fill="EEF4F7"/>
          </w:tcPr>
          <w:p>
            <w:pPr>
              <w:spacing w:after="20"/>
            </w:pPr>
            <w:r/>
            <w:r>
              <w:rPr>
                <w:b w:val="0"/>
                <w:sz w:val="17"/>
              </w:rPr>
              <w:t>Unexpected process execution, anomalous requests, new accounts, unexplained crashes.</w:t>
            </w:r>
          </w:p>
        </w:tc>
        <w:tc>
          <w:tcPr>
            <w:tcW w:type="dxa" w:w="2484"/>
            <w:vAlign w:val="center"/>
            <w:shd w:fill="EEF4F7"/>
          </w:tcPr>
          <w:p>
            <w:pPr>
              <w:spacing w:after="20"/>
            </w:pPr>
            <w:r/>
            <w:r>
              <w:rPr>
                <w:b w:val="0"/>
                <w:sz w:val="17"/>
              </w:rPr>
              <w:t>Asset inventory, KEV-based patching, exposure reduction, WAF/IPS where appropriate.</w:t>
            </w:r>
          </w:p>
        </w:tc>
      </w:tr>
      <w:tr>
        <w:tc>
          <w:tcPr>
            <w:tcW w:type="dxa" w:w="2484"/>
            <w:vAlign w:val="center"/>
          </w:tcPr>
          <w:p>
            <w:pPr>
              <w:spacing w:after="20"/>
            </w:pPr>
            <w:r/>
            <w:r>
              <w:rPr>
                <w:b w:val="0"/>
                <w:sz w:val="17"/>
              </w:rPr>
              <w:t>Stolen credentials or tokens</w:t>
            </w:r>
          </w:p>
        </w:tc>
        <w:tc>
          <w:tcPr>
            <w:tcW w:type="dxa" w:w="2484"/>
            <w:vAlign w:val="center"/>
          </w:tcPr>
          <w:p>
            <w:pPr>
              <w:spacing w:after="20"/>
            </w:pPr>
            <w:r/>
            <w:r>
              <w:rPr>
                <w:b w:val="0"/>
                <w:sz w:val="17"/>
              </w:rPr>
              <w:t>An attacker reuses leaked credentials or steals an active session/token.</w:t>
            </w:r>
          </w:p>
        </w:tc>
        <w:tc>
          <w:tcPr>
            <w:tcW w:type="dxa" w:w="2484"/>
            <w:vAlign w:val="center"/>
          </w:tcPr>
          <w:p>
            <w:pPr>
              <w:spacing w:after="20"/>
            </w:pPr>
            <w:r/>
            <w:r>
              <w:rPr>
                <w:b w:val="0"/>
                <w:sz w:val="17"/>
              </w:rPr>
              <w:t>Impossible travel, unfamiliar device, abnormal access time, unusual mailbox rules.</w:t>
            </w:r>
          </w:p>
        </w:tc>
        <w:tc>
          <w:tcPr>
            <w:tcW w:type="dxa" w:w="2484"/>
            <w:vAlign w:val="center"/>
          </w:tcPr>
          <w:p>
            <w:pPr>
              <w:spacing w:after="20"/>
            </w:pPr>
            <w:r/>
            <w:r>
              <w:rPr>
                <w:b w:val="0"/>
                <w:sz w:val="17"/>
              </w:rPr>
              <w:t>MFA, conditional access, session revocation, identity monitoring.</w:t>
            </w:r>
          </w:p>
        </w:tc>
      </w:tr>
      <w:tr>
        <w:tc>
          <w:tcPr>
            <w:tcW w:type="dxa" w:w="2484"/>
            <w:vAlign w:val="center"/>
            <w:shd w:fill="EEF4F7"/>
          </w:tcPr>
          <w:p>
            <w:pPr>
              <w:spacing w:after="20"/>
            </w:pPr>
            <w:r/>
            <w:r>
              <w:rPr>
                <w:b w:val="0"/>
                <w:sz w:val="17"/>
              </w:rPr>
              <w:t>Remote access abuse</w:t>
            </w:r>
          </w:p>
        </w:tc>
        <w:tc>
          <w:tcPr>
            <w:tcW w:type="dxa" w:w="2484"/>
            <w:vAlign w:val="center"/>
            <w:shd w:fill="EEF4F7"/>
          </w:tcPr>
          <w:p>
            <w:pPr>
              <w:spacing w:after="20"/>
            </w:pPr>
            <w:r/>
            <w:r>
              <w:rPr>
                <w:b w:val="0"/>
                <w:sz w:val="17"/>
              </w:rPr>
              <w:t>Weak or compromised VPN/RDP/remote-management access is used to enter the environment.</w:t>
            </w:r>
          </w:p>
        </w:tc>
        <w:tc>
          <w:tcPr>
            <w:tcW w:type="dxa" w:w="2484"/>
            <w:vAlign w:val="center"/>
            <w:shd w:fill="EEF4F7"/>
          </w:tcPr>
          <w:p>
            <w:pPr>
              <w:spacing w:after="20"/>
            </w:pPr>
            <w:r/>
            <w:r>
              <w:rPr>
                <w:b w:val="0"/>
                <w:sz w:val="17"/>
              </w:rPr>
              <w:t>Repeated failed logins, access from unusual locations, unmanaged device use.</w:t>
            </w:r>
          </w:p>
        </w:tc>
        <w:tc>
          <w:tcPr>
            <w:tcW w:type="dxa" w:w="2484"/>
            <w:vAlign w:val="center"/>
            <w:shd w:fill="EEF4F7"/>
          </w:tcPr>
          <w:p>
            <w:pPr>
              <w:spacing w:after="20"/>
            </w:pPr>
            <w:r/>
            <w:r>
              <w:rPr>
                <w:b w:val="0"/>
                <w:sz w:val="17"/>
              </w:rPr>
              <w:t>MFA, device posture checks, restricted access, centralized logging.</w:t>
            </w:r>
          </w:p>
        </w:tc>
      </w:tr>
      <w:tr>
        <w:tc>
          <w:tcPr>
            <w:tcW w:type="dxa" w:w="2484"/>
            <w:vAlign w:val="center"/>
          </w:tcPr>
          <w:p>
            <w:pPr>
              <w:spacing w:after="20"/>
            </w:pPr>
            <w:r/>
            <w:r>
              <w:rPr>
                <w:b w:val="0"/>
                <w:sz w:val="17"/>
              </w:rPr>
              <w:t>Supplier compromise</w:t>
            </w:r>
          </w:p>
        </w:tc>
        <w:tc>
          <w:tcPr>
            <w:tcW w:type="dxa" w:w="2484"/>
            <w:vAlign w:val="center"/>
          </w:tcPr>
          <w:p>
            <w:pPr>
              <w:spacing w:after="20"/>
            </w:pPr>
            <w:r/>
            <w:r>
              <w:rPr>
                <w:b w:val="0"/>
                <w:sz w:val="17"/>
              </w:rPr>
              <w:t>Trusted vendor account, software, or service is abused to reach customers.</w:t>
            </w:r>
          </w:p>
        </w:tc>
        <w:tc>
          <w:tcPr>
            <w:tcW w:type="dxa" w:w="2484"/>
            <w:vAlign w:val="center"/>
          </w:tcPr>
          <w:p>
            <w:pPr>
              <w:spacing w:after="20"/>
            </w:pPr>
            <w:r/>
            <w:r>
              <w:rPr>
                <w:b w:val="0"/>
                <w:sz w:val="17"/>
              </w:rPr>
              <w:t>Unexpected supplier changes, unusual vendor access, suspicious update behavior.</w:t>
            </w:r>
          </w:p>
        </w:tc>
        <w:tc>
          <w:tcPr>
            <w:tcW w:type="dxa" w:w="2484"/>
            <w:vAlign w:val="center"/>
          </w:tcPr>
          <w:p>
            <w:pPr>
              <w:spacing w:after="20"/>
            </w:pPr>
            <w:r/>
            <w:r>
              <w:rPr>
                <w:b w:val="0"/>
                <w:sz w:val="17"/>
              </w:rPr>
              <w:t>Supplier assessment, scoped access, signed updates, change monitoring.</w:t>
            </w:r>
          </w:p>
        </w:tc>
      </w:tr>
      <w:tr>
        <w:tc>
          <w:tcPr>
            <w:tcW w:type="dxa" w:w="2484"/>
            <w:vAlign w:val="center"/>
            <w:shd w:fill="EEF4F7"/>
          </w:tcPr>
          <w:p>
            <w:pPr>
              <w:spacing w:after="20"/>
            </w:pPr>
            <w:r/>
            <w:r>
              <w:rPr>
                <w:b w:val="0"/>
                <w:sz w:val="17"/>
              </w:rPr>
              <w:t>Cloud misconfiguration</w:t>
            </w:r>
          </w:p>
        </w:tc>
        <w:tc>
          <w:tcPr>
            <w:tcW w:type="dxa" w:w="2484"/>
            <w:vAlign w:val="center"/>
            <w:shd w:fill="EEF4F7"/>
          </w:tcPr>
          <w:p>
            <w:pPr>
              <w:spacing w:after="20"/>
            </w:pPr>
            <w:r/>
            <w:r>
              <w:rPr>
                <w:b w:val="0"/>
                <w:sz w:val="17"/>
              </w:rPr>
              <w:t>Storage, APIs, secrets, or identities are exposed more broadly than intended.</w:t>
            </w:r>
          </w:p>
        </w:tc>
        <w:tc>
          <w:tcPr>
            <w:tcW w:type="dxa" w:w="2484"/>
            <w:vAlign w:val="center"/>
            <w:shd w:fill="EEF4F7"/>
          </w:tcPr>
          <w:p>
            <w:pPr>
              <w:spacing w:after="20"/>
            </w:pPr>
            <w:r/>
            <w:r>
              <w:rPr>
                <w:b w:val="0"/>
                <w:sz w:val="17"/>
              </w:rPr>
              <w:t>Public resource alerts, unusual API calls, unrecognized keys.</w:t>
            </w:r>
          </w:p>
        </w:tc>
        <w:tc>
          <w:tcPr>
            <w:tcW w:type="dxa" w:w="2484"/>
            <w:vAlign w:val="center"/>
            <w:shd w:fill="EEF4F7"/>
          </w:tcPr>
          <w:p>
            <w:pPr>
              <w:spacing w:after="20"/>
            </w:pPr>
            <w:r/>
            <w:r>
              <w:rPr>
                <w:b w:val="0"/>
                <w:sz w:val="17"/>
              </w:rPr>
              <w:t>Secure baselines, least privilege, secret management, configuration monitoring.</w:t>
            </w:r>
          </w:p>
        </w:tc>
      </w:tr>
      <w:tr>
        <w:tc>
          <w:tcPr>
            <w:tcW w:type="dxa" w:w="2484"/>
            <w:vAlign w:val="center"/>
          </w:tcPr>
          <w:p>
            <w:pPr>
              <w:spacing w:after="20"/>
            </w:pPr>
            <w:r/>
            <w:r>
              <w:rPr>
                <w:b w:val="0"/>
                <w:sz w:val="17"/>
              </w:rPr>
              <w:t>Insider misuse or error</w:t>
            </w:r>
          </w:p>
        </w:tc>
        <w:tc>
          <w:tcPr>
            <w:tcW w:type="dxa" w:w="2484"/>
            <w:vAlign w:val="center"/>
          </w:tcPr>
          <w:p>
            <w:pPr>
              <w:spacing w:after="20"/>
            </w:pPr>
            <w:r/>
            <w:r>
              <w:rPr>
                <w:b w:val="0"/>
                <w:sz w:val="17"/>
              </w:rPr>
              <w:t>A legitimate user accesses or shares data improperly, deliberately or accidentally.</w:t>
            </w:r>
          </w:p>
        </w:tc>
        <w:tc>
          <w:tcPr>
            <w:tcW w:type="dxa" w:w="2484"/>
            <w:vAlign w:val="center"/>
          </w:tcPr>
          <w:p>
            <w:pPr>
              <w:spacing w:after="20"/>
            </w:pPr>
            <w:r/>
            <w:r>
              <w:rPr>
                <w:b w:val="0"/>
                <w:sz w:val="17"/>
              </w:rPr>
              <w:t>Bulk downloads, unusual file sharing, policy exceptions.</w:t>
            </w:r>
          </w:p>
        </w:tc>
        <w:tc>
          <w:tcPr>
            <w:tcW w:type="dxa" w:w="2484"/>
            <w:vAlign w:val="center"/>
          </w:tcPr>
          <w:p>
            <w:pPr>
              <w:spacing w:after="20"/>
            </w:pPr>
            <w:r/>
            <w:r>
              <w:rPr>
                <w:b w:val="0"/>
                <w:sz w:val="17"/>
              </w:rPr>
              <w:t>Least privilege, data-loss prevention, clear procedures, audit trails.</w:t>
            </w:r>
          </w:p>
        </w:tc>
      </w:tr>
    </w:tbl>
    <w:p/>
    <w:p>
      <w:pPr>
        <w:pStyle w:val="Heading2"/>
      </w:pPr>
      <w:r>
        <w:t>5.2 Typical intrusion lifecycle</w:t>
      </w:r>
    </w:p>
    <w:p>
      <w:r>
        <w:t>A useful defensive model is to break an intrusion into stages. Real incidents may skip, repeat, or reorder stages, so the model is a guide for detection rather than a rigid sequence.</w:t>
      </w:r>
    </w:p>
    <w:p>
      <w:pPr>
        <w:pStyle w:val="ListNumber"/>
      </w:pPr>
      <w:r>
        <w:t>Reconnaissance: identify exposed assets, staff, suppliers, technologies, or business processes.</w:t>
      </w:r>
    </w:p>
    <w:p>
      <w:pPr>
        <w:pStyle w:val="ListNumber"/>
      </w:pPr>
      <w:r>
        <w:t>Initial access: exploit a vulnerability, use stolen credentials, abuse remote access, or deceive a user.</w:t>
      </w:r>
    </w:p>
    <w:p>
      <w:pPr>
        <w:pStyle w:val="ListNumber"/>
      </w:pPr>
      <w:r>
        <w:t>Execution and persistence: run unauthorized code or establish a way to return after a reboot or password change.</w:t>
      </w:r>
    </w:p>
    <w:p>
      <w:pPr>
        <w:pStyle w:val="ListNumber"/>
      </w:pPr>
      <w:r>
        <w:t>Privilege escalation and discovery: seek higher permissions and map systems, identities, and valuable data.</w:t>
      </w:r>
    </w:p>
    <w:p>
      <w:pPr>
        <w:pStyle w:val="ListNumber"/>
      </w:pPr>
      <w:r>
        <w:t>Lateral movement: use credentials, management tools, or trust relationships to reach additional systems.</w:t>
      </w:r>
    </w:p>
    <w:p>
      <w:pPr>
        <w:pStyle w:val="ListNumber"/>
      </w:pPr>
      <w:r>
        <w:t>Collection and exfiltration: gather and transfer sensitive data, sometimes before encryption or disruption.</w:t>
      </w:r>
    </w:p>
    <w:p>
      <w:pPr>
        <w:pStyle w:val="ListNumber"/>
      </w:pPr>
      <w:r>
        <w:t>Impact: encrypt files, alter records, disrupt services, extort victims, or misuse stolen information.</w:t>
      </w:r>
    </w:p>
    <w:p>
      <w:pPr>
        <w:pStyle w:val="Heading2"/>
      </w:pPr>
      <w:r>
        <w:t>5.3 Defensive opportunities at each stage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b/>
                <w:color w:val="FFFFFF"/>
                <w:sz w:val="18"/>
              </w:rPr>
              <w:t>Stage</w:t>
            </w:r>
          </w:p>
        </w:tc>
        <w:tc>
          <w:tcPr>
            <w:tcW w:type="dxa" w:w="4968"/>
            <w:vAlign w:val="center"/>
            <w:shd w:fill="12304A"/>
          </w:tcPr>
          <w:p>
            <w:pPr>
              <w:spacing w:after="20"/>
            </w:pPr>
            <w:r/>
            <w:r>
              <w:rPr>
                <w:b/>
                <w:color w:val="FFFFFF"/>
                <w:sz w:val="18"/>
              </w:rPr>
              <w:t>Detection / prevention opportunities</w:t>
            </w:r>
          </w:p>
        </w:tc>
      </w:tr>
      <w:tr>
        <w:tc>
          <w:tcPr>
            <w:tcW w:type="dxa" w:w="4968"/>
            <w:vAlign w:val="center"/>
          </w:tcPr>
          <w:p>
            <w:pPr>
              <w:spacing w:after="20"/>
            </w:pPr>
            <w:r/>
            <w:r>
              <w:rPr>
                <w:b w:val="0"/>
                <w:sz w:val="17"/>
              </w:rPr>
              <w:t>Reconnaissance</w:t>
            </w:r>
          </w:p>
        </w:tc>
        <w:tc>
          <w:tcPr>
            <w:tcW w:type="dxa" w:w="4968"/>
            <w:vAlign w:val="center"/>
          </w:tcPr>
          <w:p>
            <w:pPr>
              <w:spacing w:after="20"/>
            </w:pPr>
            <w:r/>
            <w:r>
              <w:rPr>
                <w:b w:val="0"/>
                <w:sz w:val="17"/>
              </w:rPr>
              <w:t>External attack-surface monitoring; remove unnecessary public services; protect staff information.</w:t>
            </w:r>
          </w:p>
        </w:tc>
      </w:tr>
      <w:tr>
        <w:tc>
          <w:tcPr>
            <w:tcW w:type="dxa" w:w="4968"/>
            <w:vAlign w:val="center"/>
            <w:shd w:fill="EEF4F7"/>
          </w:tcPr>
          <w:p>
            <w:pPr>
              <w:spacing w:after="20"/>
            </w:pPr>
            <w:r/>
            <w:r>
              <w:rPr>
                <w:b w:val="0"/>
                <w:sz w:val="17"/>
              </w:rPr>
              <w:t>Initial access</w:t>
            </w:r>
          </w:p>
        </w:tc>
        <w:tc>
          <w:tcPr>
            <w:tcW w:type="dxa" w:w="4968"/>
            <w:vAlign w:val="center"/>
            <w:shd w:fill="EEF4F7"/>
          </w:tcPr>
          <w:p>
            <w:pPr>
              <w:spacing w:after="20"/>
            </w:pPr>
            <w:r/>
            <w:r>
              <w:rPr>
                <w:b w:val="0"/>
                <w:sz w:val="17"/>
              </w:rPr>
              <w:t>MFA; patch exposed assets; email and web filtering; secure remote access.</w:t>
            </w:r>
          </w:p>
        </w:tc>
      </w:tr>
      <w:tr>
        <w:tc>
          <w:tcPr>
            <w:tcW w:type="dxa" w:w="4968"/>
            <w:vAlign w:val="center"/>
          </w:tcPr>
          <w:p>
            <w:pPr>
              <w:spacing w:after="20"/>
            </w:pPr>
            <w:r/>
            <w:r>
              <w:rPr>
                <w:b w:val="0"/>
                <w:sz w:val="17"/>
              </w:rPr>
              <w:t>Execution / persistence</w:t>
            </w:r>
          </w:p>
        </w:tc>
        <w:tc>
          <w:tcPr>
            <w:tcW w:type="dxa" w:w="4968"/>
            <w:vAlign w:val="center"/>
          </w:tcPr>
          <w:p>
            <w:pPr>
              <w:spacing w:after="20"/>
            </w:pPr>
            <w:r/>
            <w:r>
              <w:rPr>
                <w:b w:val="0"/>
                <w:sz w:val="17"/>
              </w:rPr>
              <w:t>Endpoint detection and response; application control; script and macro restrictions; centralized logs.</w:t>
            </w:r>
          </w:p>
        </w:tc>
      </w:tr>
      <w:tr>
        <w:tc>
          <w:tcPr>
            <w:tcW w:type="dxa" w:w="4968"/>
            <w:vAlign w:val="center"/>
            <w:shd w:fill="EEF4F7"/>
          </w:tcPr>
          <w:p>
            <w:pPr>
              <w:spacing w:after="20"/>
            </w:pPr>
            <w:r/>
            <w:r>
              <w:rPr>
                <w:b w:val="0"/>
                <w:sz w:val="17"/>
              </w:rPr>
              <w:t>Privilege / discovery</w:t>
            </w:r>
          </w:p>
        </w:tc>
        <w:tc>
          <w:tcPr>
            <w:tcW w:type="dxa" w:w="4968"/>
            <w:vAlign w:val="center"/>
            <w:shd w:fill="EEF4F7"/>
          </w:tcPr>
          <w:p>
            <w:pPr>
              <w:spacing w:after="20"/>
            </w:pPr>
            <w:r/>
            <w:r>
              <w:rPr>
                <w:b w:val="0"/>
                <w:sz w:val="17"/>
              </w:rPr>
              <w:t>Least privilege; privileged access management; alert on unusual administrative actions.</w:t>
            </w:r>
          </w:p>
        </w:tc>
      </w:tr>
      <w:tr>
        <w:tc>
          <w:tcPr>
            <w:tcW w:type="dxa" w:w="4968"/>
            <w:vAlign w:val="center"/>
          </w:tcPr>
          <w:p>
            <w:pPr>
              <w:spacing w:after="20"/>
            </w:pPr>
            <w:r/>
            <w:r>
              <w:rPr>
                <w:b w:val="0"/>
                <w:sz w:val="17"/>
              </w:rPr>
              <w:t>Lateral movement</w:t>
            </w:r>
          </w:p>
        </w:tc>
        <w:tc>
          <w:tcPr>
            <w:tcW w:type="dxa" w:w="4968"/>
            <w:vAlign w:val="center"/>
          </w:tcPr>
          <w:p>
            <w:pPr>
              <w:spacing w:after="20"/>
            </w:pPr>
            <w:r/>
            <w:r>
              <w:rPr>
                <w:b w:val="0"/>
                <w:sz w:val="17"/>
              </w:rPr>
              <w:t>Network segmentation; unique local admin credentials; restrict remote-management protocols.</w:t>
            </w:r>
          </w:p>
        </w:tc>
      </w:tr>
      <w:tr>
        <w:tc>
          <w:tcPr>
            <w:tcW w:type="dxa" w:w="4968"/>
            <w:vAlign w:val="center"/>
            <w:shd w:fill="EEF4F7"/>
          </w:tcPr>
          <w:p>
            <w:pPr>
              <w:spacing w:after="20"/>
            </w:pPr>
            <w:r/>
            <w:r>
              <w:rPr>
                <w:b w:val="0"/>
                <w:sz w:val="17"/>
              </w:rPr>
              <w:t>Collection / exfiltration</w:t>
            </w:r>
          </w:p>
        </w:tc>
        <w:tc>
          <w:tcPr>
            <w:tcW w:type="dxa" w:w="4968"/>
            <w:vAlign w:val="center"/>
            <w:shd w:fill="EEF4F7"/>
          </w:tcPr>
          <w:p>
            <w:pPr>
              <w:spacing w:after="20"/>
            </w:pPr>
            <w:r/>
            <w:r>
              <w:rPr>
                <w:b w:val="0"/>
                <w:sz w:val="17"/>
              </w:rPr>
              <w:t>Data classification; egress monitoring; DLP; unusual bulk-download alerts.</w:t>
            </w:r>
          </w:p>
        </w:tc>
      </w:tr>
      <w:tr>
        <w:tc>
          <w:tcPr>
            <w:tcW w:type="dxa" w:w="4968"/>
            <w:vAlign w:val="center"/>
          </w:tcPr>
          <w:p>
            <w:pPr>
              <w:spacing w:after="20"/>
            </w:pPr>
            <w:r/>
            <w:r>
              <w:rPr>
                <w:b w:val="0"/>
                <w:sz w:val="17"/>
              </w:rPr>
              <w:t>Impact / recovery</w:t>
            </w:r>
          </w:p>
        </w:tc>
        <w:tc>
          <w:tcPr>
            <w:tcW w:type="dxa" w:w="4968"/>
            <w:vAlign w:val="center"/>
          </w:tcPr>
          <w:p>
            <w:pPr>
              <w:spacing w:after="20"/>
            </w:pPr>
            <w:r/>
            <w:r>
              <w:rPr>
                <w:b w:val="0"/>
                <w:sz w:val="17"/>
              </w:rPr>
              <w:t>Immutable or offline backups; isolation procedures; crisis communications; tested restoration.</w:t>
            </w:r>
          </w:p>
        </w:tc>
      </w:tr>
    </w:tbl>
    <w:p/>
    <w:p>
      <w:pPr>
        <w:pStyle w:val="Heading2"/>
      </w:pPr>
      <w:r>
        <w:t>5.4 Indicators and evidence handling</w:t>
      </w:r>
    </w:p>
    <w:p>
      <w:r>
        <w:t>Indicators of compromise (IOCs) can include suspicious file hashes, domains, IP addresses, authentication patterns, endpoint alerts, and unusual changes to systems. An IOC is not proof by itself: legitimate services may share infrastructure, and attackers may change indicators quickly. Analysts should correlate multiple signals, preserve timestamps and logs, document actions, and avoid altering evidence unnecessarily.</w:t>
      </w:r>
    </w:p>
    <w:p>
      <w:r>
        <w:br w:type="page"/>
      </w:r>
    </w:p>
    <w:p>
      <w:pPr>
        <w:pStyle w:val="Heading1"/>
      </w:pPr>
      <w:r>
        <w:t>6. Sector Exposure and Organizational Impact</w:t>
      </w:r>
    </w:p>
    <w:p>
      <w:pPr>
        <w:pStyle w:val="Heading2"/>
      </w:pPr>
      <w:r>
        <w:t>6.1 Sector-specific exposure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304A"/>
          </w:tcPr>
          <w:p>
            <w:pPr>
              <w:spacing w:after="20"/>
            </w:pPr>
            <w:r/>
            <w:r>
              <w:rPr>
                <w:b/>
                <w:color w:val="FFFFFF"/>
                <w:sz w:val="18"/>
              </w:rPr>
              <w:t>Sector</w:t>
            </w:r>
          </w:p>
        </w:tc>
        <w:tc>
          <w:tcPr>
            <w:tcW w:type="dxa" w:w="2484"/>
            <w:vAlign w:val="center"/>
            <w:shd w:fill="12304A"/>
          </w:tcPr>
          <w:p>
            <w:pPr>
              <w:spacing w:after="20"/>
            </w:pPr>
            <w:r/>
            <w:r>
              <w:rPr>
                <w:b/>
                <w:color w:val="FFFFFF"/>
                <w:sz w:val="18"/>
              </w:rPr>
              <w:t>Assets and dependencies</w:t>
            </w:r>
          </w:p>
        </w:tc>
        <w:tc>
          <w:tcPr>
            <w:tcW w:type="dxa" w:w="2484"/>
            <w:vAlign w:val="center"/>
            <w:shd w:fill="12304A"/>
          </w:tcPr>
          <w:p>
            <w:pPr>
              <w:spacing w:after="20"/>
            </w:pPr>
            <w:r/>
            <w:r>
              <w:rPr>
                <w:b/>
                <w:color w:val="FFFFFF"/>
                <w:sz w:val="18"/>
              </w:rPr>
              <w:t>Potential impact</w:t>
            </w:r>
          </w:p>
        </w:tc>
        <w:tc>
          <w:tcPr>
            <w:tcW w:type="dxa" w:w="2484"/>
            <w:vAlign w:val="center"/>
            <w:shd w:fill="12304A"/>
          </w:tcPr>
          <w:p>
            <w:pPr>
              <w:spacing w:after="20"/>
            </w:pPr>
            <w:r/>
            <w:r>
              <w:rPr>
                <w:b/>
                <w:color w:val="FFFFFF"/>
                <w:sz w:val="18"/>
              </w:rPr>
              <w:t>Defensive emphasis</w:t>
            </w:r>
          </w:p>
        </w:tc>
      </w:tr>
      <w:tr>
        <w:tc>
          <w:tcPr>
            <w:tcW w:type="dxa" w:w="2484"/>
            <w:vAlign w:val="center"/>
          </w:tcPr>
          <w:p>
            <w:pPr>
              <w:spacing w:after="20"/>
            </w:pPr>
            <w:r/>
            <w:r>
              <w:rPr>
                <w:b w:val="0"/>
                <w:sz w:val="17"/>
              </w:rPr>
              <w:t>Healthcare</w:t>
            </w:r>
          </w:p>
        </w:tc>
        <w:tc>
          <w:tcPr>
            <w:tcW w:type="dxa" w:w="2484"/>
            <w:vAlign w:val="center"/>
          </w:tcPr>
          <w:p>
            <w:pPr>
              <w:spacing w:after="20"/>
            </w:pPr>
            <w:r/>
            <w:r>
              <w:rPr>
                <w:b w:val="0"/>
                <w:sz w:val="17"/>
              </w:rPr>
              <w:t>Electronic records, clinical devices, scheduling, labs, pharmacy, suppliers.</w:t>
            </w:r>
          </w:p>
        </w:tc>
        <w:tc>
          <w:tcPr>
            <w:tcW w:type="dxa" w:w="2484"/>
            <w:vAlign w:val="center"/>
          </w:tcPr>
          <w:p>
            <w:pPr>
              <w:spacing w:after="20"/>
            </w:pPr>
            <w:r/>
            <w:r>
              <w:rPr>
                <w:b w:val="0"/>
                <w:sz w:val="17"/>
              </w:rPr>
              <w:t>Patient-care delays, privacy harm, service diversion, financial and regulatory impact.</w:t>
            </w:r>
          </w:p>
        </w:tc>
        <w:tc>
          <w:tcPr>
            <w:tcW w:type="dxa" w:w="2484"/>
            <w:vAlign w:val="center"/>
          </w:tcPr>
          <w:p>
            <w:pPr>
              <w:spacing w:after="20"/>
            </w:pPr>
            <w:r/>
            <w:r>
              <w:rPr>
                <w:b w:val="0"/>
                <w:sz w:val="17"/>
              </w:rPr>
              <w:t>Resilient clinical workflows, segmented networks, tested downtime procedures, supplier controls.</w:t>
            </w:r>
          </w:p>
        </w:tc>
      </w:tr>
      <w:tr>
        <w:tc>
          <w:tcPr>
            <w:tcW w:type="dxa" w:w="2484"/>
            <w:vAlign w:val="center"/>
            <w:shd w:fill="EEF4F7"/>
          </w:tcPr>
          <w:p>
            <w:pPr>
              <w:spacing w:after="20"/>
            </w:pPr>
            <w:r/>
            <w:r>
              <w:rPr>
                <w:b w:val="0"/>
                <w:sz w:val="17"/>
              </w:rPr>
              <w:t>Finance</w:t>
            </w:r>
          </w:p>
        </w:tc>
        <w:tc>
          <w:tcPr>
            <w:tcW w:type="dxa" w:w="2484"/>
            <w:vAlign w:val="center"/>
            <w:shd w:fill="EEF4F7"/>
          </w:tcPr>
          <w:p>
            <w:pPr>
              <w:spacing w:after="20"/>
            </w:pPr>
            <w:r/>
            <w:r>
              <w:rPr>
                <w:b w:val="0"/>
                <w:sz w:val="17"/>
              </w:rPr>
              <w:t>Payment systems, identity platforms, customer data, trading and fraud systems.</w:t>
            </w:r>
          </w:p>
        </w:tc>
        <w:tc>
          <w:tcPr>
            <w:tcW w:type="dxa" w:w="2484"/>
            <w:vAlign w:val="center"/>
            <w:shd w:fill="EEF4F7"/>
          </w:tcPr>
          <w:p>
            <w:pPr>
              <w:spacing w:after="20"/>
            </w:pPr>
            <w:r/>
            <w:r>
              <w:rPr>
                <w:b w:val="0"/>
                <w:sz w:val="17"/>
              </w:rPr>
              <w:t>Fraud, account takeover, regulatory scrutiny, loss of confidence.</w:t>
            </w:r>
          </w:p>
        </w:tc>
        <w:tc>
          <w:tcPr>
            <w:tcW w:type="dxa" w:w="2484"/>
            <w:vAlign w:val="center"/>
            <w:shd w:fill="EEF4F7"/>
          </w:tcPr>
          <w:p>
            <w:pPr>
              <w:spacing w:after="20"/>
            </w:pPr>
            <w:r/>
            <w:r>
              <w:rPr>
                <w:b w:val="0"/>
                <w:sz w:val="17"/>
              </w:rPr>
              <w:t>Strong identity assurance, transaction monitoring, segregation of duties, tested recovery.</w:t>
            </w:r>
          </w:p>
        </w:tc>
      </w:tr>
      <w:tr>
        <w:tc>
          <w:tcPr>
            <w:tcW w:type="dxa" w:w="2484"/>
            <w:vAlign w:val="center"/>
          </w:tcPr>
          <w:p>
            <w:pPr>
              <w:spacing w:after="20"/>
            </w:pPr>
            <w:r/>
            <w:r>
              <w:rPr>
                <w:b w:val="0"/>
                <w:sz w:val="17"/>
              </w:rPr>
              <w:t>Public administration</w:t>
            </w:r>
          </w:p>
        </w:tc>
        <w:tc>
          <w:tcPr>
            <w:tcW w:type="dxa" w:w="2484"/>
            <w:vAlign w:val="center"/>
          </w:tcPr>
          <w:p>
            <w:pPr>
              <w:spacing w:after="20"/>
            </w:pPr>
            <w:r/>
            <w:r>
              <w:rPr>
                <w:b w:val="0"/>
                <w:sz w:val="17"/>
              </w:rPr>
              <w:t>Citizen portals, identity records, public communications, legacy systems.</w:t>
            </w:r>
          </w:p>
        </w:tc>
        <w:tc>
          <w:tcPr>
            <w:tcW w:type="dxa" w:w="2484"/>
            <w:vAlign w:val="center"/>
          </w:tcPr>
          <w:p>
            <w:pPr>
              <w:spacing w:after="20"/>
            </w:pPr>
            <w:r/>
            <w:r>
              <w:rPr>
                <w:b w:val="0"/>
                <w:sz w:val="17"/>
              </w:rPr>
              <w:t>Service interruption, data exposure, loss of public trust, political disruption.</w:t>
            </w:r>
          </w:p>
        </w:tc>
        <w:tc>
          <w:tcPr>
            <w:tcW w:type="dxa" w:w="2484"/>
            <w:vAlign w:val="center"/>
          </w:tcPr>
          <w:p>
            <w:pPr>
              <w:spacing w:after="20"/>
            </w:pPr>
            <w:r/>
            <w:r>
              <w:rPr>
                <w:b w:val="0"/>
                <w:sz w:val="17"/>
              </w:rPr>
              <w:t>Asset modernization, DDoS protection, identity security, continuity planning.</w:t>
            </w:r>
          </w:p>
        </w:tc>
      </w:tr>
      <w:tr>
        <w:tc>
          <w:tcPr>
            <w:tcW w:type="dxa" w:w="2484"/>
            <w:vAlign w:val="center"/>
            <w:shd w:fill="EEF4F7"/>
          </w:tcPr>
          <w:p>
            <w:pPr>
              <w:spacing w:after="20"/>
            </w:pPr>
            <w:r/>
            <w:r>
              <w:rPr>
                <w:b w:val="0"/>
                <w:sz w:val="17"/>
              </w:rPr>
              <w:t>Manufacturing</w:t>
            </w:r>
          </w:p>
        </w:tc>
        <w:tc>
          <w:tcPr>
            <w:tcW w:type="dxa" w:w="2484"/>
            <w:vAlign w:val="center"/>
            <w:shd w:fill="EEF4F7"/>
          </w:tcPr>
          <w:p>
            <w:pPr>
              <w:spacing w:after="20"/>
            </w:pPr>
            <w:r/>
            <w:r>
              <w:rPr>
                <w:b w:val="0"/>
                <w:sz w:val="17"/>
              </w:rPr>
              <w:t>Operational technology, industrial control, engineering systems, suppliers.</w:t>
            </w:r>
          </w:p>
        </w:tc>
        <w:tc>
          <w:tcPr>
            <w:tcW w:type="dxa" w:w="2484"/>
            <w:vAlign w:val="center"/>
            <w:shd w:fill="EEF4F7"/>
          </w:tcPr>
          <w:p>
            <w:pPr>
              <w:spacing w:after="20"/>
            </w:pPr>
            <w:r/>
            <w:r>
              <w:rPr>
                <w:b w:val="0"/>
                <w:sz w:val="17"/>
              </w:rPr>
              <w:t>Production stoppage, safety implications, damaged equipment, delivery delays.</w:t>
            </w:r>
          </w:p>
        </w:tc>
        <w:tc>
          <w:tcPr>
            <w:tcW w:type="dxa" w:w="2484"/>
            <w:vAlign w:val="center"/>
            <w:shd w:fill="EEF4F7"/>
          </w:tcPr>
          <w:p>
            <w:pPr>
              <w:spacing w:after="20"/>
            </w:pPr>
            <w:r/>
            <w:r>
              <w:rPr>
                <w:b w:val="0"/>
                <w:sz w:val="17"/>
              </w:rPr>
              <w:t>IT/OT segmentation, change control, offline recovery, vendor remote-access governance.</w:t>
            </w:r>
          </w:p>
        </w:tc>
      </w:tr>
      <w:tr>
        <w:tc>
          <w:tcPr>
            <w:tcW w:type="dxa" w:w="2484"/>
            <w:vAlign w:val="center"/>
          </w:tcPr>
          <w:p>
            <w:pPr>
              <w:spacing w:after="20"/>
            </w:pPr>
            <w:r/>
            <w:r>
              <w:rPr>
                <w:b w:val="0"/>
                <w:sz w:val="17"/>
              </w:rPr>
              <w:t>Education</w:t>
            </w:r>
          </w:p>
        </w:tc>
        <w:tc>
          <w:tcPr>
            <w:tcW w:type="dxa" w:w="2484"/>
            <w:vAlign w:val="center"/>
          </w:tcPr>
          <w:p>
            <w:pPr>
              <w:spacing w:after="20"/>
            </w:pPr>
            <w:r/>
            <w:r>
              <w:rPr>
                <w:b w:val="0"/>
                <w:sz w:val="17"/>
              </w:rPr>
              <w:t>Student records, learning platforms, research data, distributed endpoints.</w:t>
            </w:r>
          </w:p>
        </w:tc>
        <w:tc>
          <w:tcPr>
            <w:tcW w:type="dxa" w:w="2484"/>
            <w:vAlign w:val="center"/>
          </w:tcPr>
          <w:p>
            <w:pPr>
              <w:spacing w:after="20"/>
            </w:pPr>
            <w:r/>
            <w:r>
              <w:rPr>
                <w:b w:val="0"/>
                <w:sz w:val="17"/>
              </w:rPr>
              <w:t>Teaching disruption, privacy loss, research theft, recovery costs.</w:t>
            </w:r>
          </w:p>
        </w:tc>
        <w:tc>
          <w:tcPr>
            <w:tcW w:type="dxa" w:w="2484"/>
            <w:vAlign w:val="center"/>
          </w:tcPr>
          <w:p>
            <w:pPr>
              <w:spacing w:after="20"/>
            </w:pPr>
            <w:r/>
            <w:r>
              <w:rPr>
                <w:b w:val="0"/>
                <w:sz w:val="17"/>
              </w:rPr>
              <w:t>Identity hygiene, endpoint management, backups, awareness and access governance.</w:t>
            </w:r>
          </w:p>
        </w:tc>
      </w:tr>
      <w:tr>
        <w:tc>
          <w:tcPr>
            <w:tcW w:type="dxa" w:w="2484"/>
            <w:vAlign w:val="center"/>
            <w:shd w:fill="EEF4F7"/>
          </w:tcPr>
          <w:p>
            <w:pPr>
              <w:spacing w:after="20"/>
            </w:pPr>
            <w:r/>
            <w:r>
              <w:rPr>
                <w:b w:val="0"/>
                <w:sz w:val="17"/>
              </w:rPr>
              <w:t>Small businesses</w:t>
            </w:r>
          </w:p>
        </w:tc>
        <w:tc>
          <w:tcPr>
            <w:tcW w:type="dxa" w:w="2484"/>
            <w:vAlign w:val="center"/>
            <w:shd w:fill="EEF4F7"/>
          </w:tcPr>
          <w:p>
            <w:pPr>
              <w:spacing w:after="20"/>
            </w:pPr>
            <w:r/>
            <w:r>
              <w:rPr>
                <w:b w:val="0"/>
                <w:sz w:val="17"/>
              </w:rPr>
              <w:t>Email, accounting, e-commerce, cloud apps, outsourced IT.</w:t>
            </w:r>
          </w:p>
        </w:tc>
        <w:tc>
          <w:tcPr>
            <w:tcW w:type="dxa" w:w="2484"/>
            <w:vAlign w:val="center"/>
            <w:shd w:fill="EEF4F7"/>
          </w:tcPr>
          <w:p>
            <w:pPr>
              <w:spacing w:after="20"/>
            </w:pPr>
            <w:r/>
            <w:r>
              <w:rPr>
                <w:b w:val="0"/>
                <w:sz w:val="17"/>
              </w:rPr>
              <w:t>Cash-flow shock, customer loss, operational interruption.</w:t>
            </w:r>
          </w:p>
        </w:tc>
        <w:tc>
          <w:tcPr>
            <w:tcW w:type="dxa" w:w="2484"/>
            <w:vAlign w:val="center"/>
            <w:shd w:fill="EEF4F7"/>
          </w:tcPr>
          <w:p>
            <w:pPr>
              <w:spacing w:after="20"/>
            </w:pPr>
            <w:r/>
            <w:r>
              <w:rPr>
                <w:b w:val="0"/>
                <w:sz w:val="17"/>
              </w:rPr>
              <w:t>MFA, patching, backups, secure defaults, trusted managed support.</w:t>
            </w:r>
          </w:p>
        </w:tc>
      </w:tr>
    </w:tbl>
    <w:p/>
    <w:p>
      <w:pPr>
        <w:pStyle w:val="Heading2"/>
      </w:pPr>
      <w:r>
        <w:t>6.2 Types of organizational impact</w:t>
      </w:r>
    </w:p>
    <w:p>
      <w:pPr>
        <w:pStyle w:val="ListBullet"/>
      </w:pPr>
      <w:r>
        <w:t>Confidentiality: personal data, trade secrets, intellectual property, or regulated records are exposed.</w:t>
      </w:r>
    </w:p>
    <w:p>
      <w:pPr>
        <w:pStyle w:val="ListBullet"/>
      </w:pPr>
      <w:r>
        <w:t>Integrity: records, financial instructions, software, or operational settings are altered without authorization.</w:t>
      </w:r>
    </w:p>
    <w:p>
      <w:pPr>
        <w:pStyle w:val="ListBullet"/>
      </w:pPr>
      <w:r>
        <w:t>Availability: systems or services become unavailable, affecting customers, employees, patients, or citizens.</w:t>
      </w:r>
    </w:p>
    <w:p>
      <w:pPr>
        <w:pStyle w:val="ListBullet"/>
      </w:pPr>
      <w:r>
        <w:t>Financial: response and restoration costs, lost sales, fraud, legal fees, insurance deductibles, and contractual penalties.</w:t>
      </w:r>
    </w:p>
    <w:p>
      <w:pPr>
        <w:pStyle w:val="ListBullet"/>
      </w:pPr>
      <w:r>
        <w:t>Operational: missed deadlines, interrupted production, manual workarounds, and reduced productivity.</w:t>
      </w:r>
    </w:p>
    <w:p>
      <w:pPr>
        <w:pStyle w:val="ListBullet"/>
      </w:pPr>
      <w:r>
        <w:t>Legal and regulatory: notification duties, investigations, litigation, contractual disputes, and potential enforcement.</w:t>
      </w:r>
    </w:p>
    <w:p>
      <w:pPr>
        <w:pStyle w:val="ListBullet"/>
      </w:pPr>
      <w:r>
        <w:t>Reputational: loss of customer confidence, supplier concern, and increased scrutiny from partners.</w:t>
      </w:r>
    </w:p>
    <w:p>
      <w:pPr>
        <w:pStyle w:val="ListBullet"/>
      </w:pPr>
      <w:r>
        <w:t>Safety and public welfare: disruption of healthcare, utilities, transport, or industrial systems can create physical consequences.</w:t>
      </w:r>
    </w:p>
    <w:p>
      <w:pPr>
        <w:pStyle w:val="Heading2"/>
      </w:pPr>
      <w:r>
        <w:t>6.3 Risk is contextual</w:t>
      </w:r>
    </w:p>
    <w:p>
      <w:r>
        <w:t>A vulnerability with a high technical severity may be a lower business priority if it is isolated and has strong compensating controls, while a moderate weakness on a critical public-facing system may require urgent attention. Risk assessment should consider asset value, exposure, exploit evidence, attacker capability, existing safeguards, potential blast radius, and recovery time. Organizations should explicitly identify critical services and the maximum tolerable downtime for each.</w:t>
      </w:r>
    </w:p>
    <w:p>
      <w:pPr>
        <w:pStyle w:val="Heading2"/>
      </w:pPr>
      <w:r>
        <w:t>6.4 Business impact analysis</w:t>
      </w:r>
    </w:p>
    <w:p>
      <w:r>
        <w:t>A business impact analysis (BIA) identifies essential processes, the resources they depend on, the consequences of interruption, and recovery requirements. Useful outputs include recovery time objectives (RTOs), recovery point objectives (RPOs), dependency maps, alternate operating procedures, and named decision-makers. These outputs allow security teams to prioritize controls based on business outcomes rather than technical severity alone.</w:t>
      </w:r>
    </w:p>
    <w:p>
      <w:r>
        <w:br w:type="page"/>
      </w:r>
    </w:p>
    <w:p>
      <w:pPr>
        <w:pStyle w:val="Heading1"/>
      </w:pPr>
      <w:r>
        <w:t>7. Documented Case Studies</w:t>
      </w:r>
    </w:p>
    <w:p>
      <w:pPr>
        <w:pStyle w:val="Heading2"/>
      </w:pPr>
      <w:r>
        <w:t>7.1 Case study A: WannaCry ransomware (2017)</w:t>
      </w:r>
    </w:p>
    <w:p>
      <w:r>
        <w:t>WannaCry spread widely in May 2017 and disrupted organizations across many countries. Public advisories from national cybersecurity authorities described ransomware behavior and exploitation of a Windows SMB vulnerability associated with the EternalBlue exploit. Systems that had not applied available security updates were particularly exposed. The incident affected multiple sectors, including healthcare, and demonstrated how a rapidly spreading worm-like component can magnify a local weakness into a broad operational crisis.</w:t>
      </w:r>
    </w:p>
    <w:p>
      <w:r>
        <w:t>Threat path: unpatched vulnerable systems → rapid propagation across reachable systems → file encryption and service disruption. The incident illustrates that patch availability alone is not sufficient; organizations need inventory, deployment verification, segmentation, and recovery readiness.</w:t>
      </w:r>
    </w:p>
    <w:p>
      <w:r>
        <w:rPr>
          <w:b/>
        </w:rPr>
        <w:t>Lessons learned:</w:t>
      </w:r>
      <w:r/>
    </w:p>
    <w:p>
      <w:pPr>
        <w:pStyle w:val="ListBullet"/>
      </w:pPr>
      <w:r>
        <w:t>Maintain a reliable inventory of endpoints and servers, including systems that are difficult to patch.</w:t>
      </w:r>
    </w:p>
    <w:p>
      <w:pPr>
        <w:pStyle w:val="ListBullet"/>
      </w:pPr>
      <w:r>
        <w:t>Prioritize security updates for remotely exploitable vulnerabilities and validate that deployment succeeded.</w:t>
      </w:r>
    </w:p>
    <w:p>
      <w:pPr>
        <w:pStyle w:val="ListBullet"/>
      </w:pPr>
      <w:r>
        <w:t>Disable unnecessary legacy protocols and restrict east-west network connectivity.</w:t>
      </w:r>
    </w:p>
    <w:p>
      <w:pPr>
        <w:pStyle w:val="ListBullet"/>
      </w:pPr>
      <w:r>
        <w:t>Keep backups isolated from ordinary domain credentials and test restoration of critical services.</w:t>
      </w:r>
    </w:p>
    <w:p>
      <w:pPr>
        <w:pStyle w:val="ListBullet"/>
      </w:pPr>
      <w:r>
        <w:t>Prepare communications and continuity procedures for high-demand services such as healthcare.</w:t>
      </w:r>
    </w:p>
    <w:p>
      <w:pPr>
        <w:pStyle w:val="Heading2"/>
      </w:pPr>
      <w:r>
        <w:t>7.2 Case study B: SolarWinds software supply-chain compromise (2020)</w:t>
      </w:r>
    </w:p>
    <w:p>
      <w:r>
        <w:t>The SolarWinds incident involved malicious code inserted into updates of the Orion software platform, which were then distributed to customers. Because the update channel was trusted, the compromise challenged the assumption that software obtained from a legitimate vendor is automatically safe. Public investigations by U.S. government bodies described the campaign as a sophisticated supply-chain intrusion with broad potential reach.</w:t>
      </w:r>
    </w:p>
    <w:p>
      <w:r>
        <w:t>Threat path: compromise of a software build/distribution process → trojanized trusted update → installation within customer environments → follow-on activity against selected victims. The case illustrates that perimeter security and conventional user training cannot fully address a trusted software update that has itself been compromised.</w:t>
      </w:r>
    </w:p>
    <w:p>
      <w:r>
        <w:t>Lessons learned:</w:t>
      </w:r>
    </w:p>
    <w:p>
      <w:pPr>
        <w:pStyle w:val="ListBullet"/>
      </w:pPr>
      <w:r>
        <w:t>Treat critical suppliers and software updates as part of the organization’s attack surface.</w:t>
      </w:r>
    </w:p>
    <w:p>
      <w:pPr>
        <w:pStyle w:val="ListBullet"/>
      </w:pPr>
      <w:r>
        <w:t>Use least privilege and limit what management tools can access across the network.</w:t>
      </w:r>
    </w:p>
    <w:p>
      <w:pPr>
        <w:pStyle w:val="ListBullet"/>
      </w:pPr>
      <w:r>
        <w:t>Monitor unusual behavior by trusted applications and service accounts, not only unknown binaries.</w:t>
      </w:r>
    </w:p>
    <w:p>
      <w:pPr>
        <w:pStyle w:val="ListBullet"/>
      </w:pPr>
      <w:r>
        <w:t>Maintain software bills of materials and supplier assurance where feasible, while recognizing that inventories alone do not prevent compromise.</w:t>
      </w:r>
    </w:p>
    <w:p>
      <w:pPr>
        <w:pStyle w:val="ListBullet"/>
      </w:pPr>
      <w:r>
        <w:t>Prepare a process for isolating a trusted product, revoking credentials, and assessing downstream dependencies.</w:t>
      </w:r>
    </w:p>
    <w:p>
      <w:pPr>
        <w:pStyle w:val="Heading2"/>
      </w:pPr>
      <w:r>
        <w:t>7.3 Case study C: Change Healthcare ransomware disruption (2024)</w:t>
      </w:r>
    </w:p>
    <w:p>
      <w:r>
        <w:t>The 2024 Change Healthcare cyberattack caused major disruption across U.S. healthcare payment and pharmacy-related services. Public testimony and company statements described ransomware and widespread operational consequences for healthcare providers, pharmacies, and related organizations. The incident showed how a technology provider that sits at the center of many workflows can become a systemic dependency: an incident at one company can interrupt services far beyond its own facilities.</w:t>
      </w:r>
    </w:p>
    <w:p>
      <w:r>
        <w:t>Threat path: unauthorized access to a critical service provider → compromise and disruption → downstream organizations experience transaction and workflow interruptions. Public reporting has discussed the role of compromised credentials and the absence of multi-factor authentication on a particular remote-access point; readers should consult primary testimony and official updates for precise context.</w:t>
      </w:r>
    </w:p>
    <w:p>
      <w:r>
        <w:t>Lessons learned:</w:t>
      </w:r>
    </w:p>
    <w:p>
      <w:pPr>
        <w:pStyle w:val="ListBullet"/>
      </w:pPr>
      <w:r>
        <w:t>Enforce MFA on all remote access, especially systems that connect to sensitive or high-impact services.</w:t>
      </w:r>
    </w:p>
    <w:p>
      <w:pPr>
        <w:pStyle w:val="ListBullet"/>
      </w:pPr>
      <w:r>
        <w:t>Map operational dependencies on vendors and define alternative workflows for essential functions.</w:t>
      </w:r>
    </w:p>
    <w:p>
      <w:pPr>
        <w:pStyle w:val="ListBullet"/>
      </w:pPr>
      <w:r>
        <w:t>Use network segmentation and limit access paths from remote access into sensitive environments.</w:t>
      </w:r>
    </w:p>
    <w:p>
      <w:pPr>
        <w:pStyle w:val="ListBullet"/>
      </w:pPr>
      <w:r>
        <w:t>Test incident communication with customers, suppliers, regulators, and public authorities.</w:t>
      </w:r>
    </w:p>
    <w:p>
      <w:pPr>
        <w:pStyle w:val="ListBullet"/>
      </w:pPr>
      <w:r>
        <w:t>Include third-party outages in business continuity and disaster-recovery exercises.</w:t>
      </w:r>
    </w:p>
    <w:p>
      <w:pPr>
        <w:pStyle w:val="Heading2"/>
      </w:pPr>
      <w:r>
        <w:t>7.4 Cross-case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2304A"/>
          </w:tcPr>
          <w:p>
            <w:pPr>
              <w:spacing w:after="20"/>
            </w:pPr>
            <w:r/>
            <w:r>
              <w:rPr>
                <w:b/>
                <w:color w:val="FFFFFF"/>
                <w:sz w:val="18"/>
              </w:rPr>
              <w:t>Case</w:t>
            </w:r>
          </w:p>
        </w:tc>
        <w:tc>
          <w:tcPr>
            <w:tcW w:type="dxa" w:w="2484"/>
            <w:vAlign w:val="center"/>
            <w:shd w:fill="12304A"/>
          </w:tcPr>
          <w:p>
            <w:pPr>
              <w:spacing w:after="20"/>
            </w:pPr>
            <w:r/>
            <w:r>
              <w:rPr>
                <w:b/>
                <w:color w:val="FFFFFF"/>
                <w:sz w:val="18"/>
              </w:rPr>
              <w:t>Primary weakness or condition</w:t>
            </w:r>
          </w:p>
        </w:tc>
        <w:tc>
          <w:tcPr>
            <w:tcW w:type="dxa" w:w="2484"/>
            <w:vAlign w:val="center"/>
            <w:shd w:fill="12304A"/>
          </w:tcPr>
          <w:p>
            <w:pPr>
              <w:spacing w:after="20"/>
            </w:pPr>
            <w:r/>
            <w:r>
              <w:rPr>
                <w:b/>
                <w:color w:val="FFFFFF"/>
                <w:sz w:val="18"/>
              </w:rPr>
              <w:t>Impact pattern</w:t>
            </w:r>
          </w:p>
        </w:tc>
        <w:tc>
          <w:tcPr>
            <w:tcW w:type="dxa" w:w="2484"/>
            <w:vAlign w:val="center"/>
            <w:shd w:fill="12304A"/>
          </w:tcPr>
          <w:p>
            <w:pPr>
              <w:spacing w:after="20"/>
            </w:pPr>
            <w:r/>
            <w:r>
              <w:rPr>
                <w:b/>
                <w:color w:val="FFFFFF"/>
                <w:sz w:val="18"/>
              </w:rPr>
              <w:t>Transferable lesson</w:t>
            </w:r>
          </w:p>
        </w:tc>
      </w:tr>
      <w:tr>
        <w:tc>
          <w:tcPr>
            <w:tcW w:type="dxa" w:w="2484"/>
            <w:vAlign w:val="center"/>
          </w:tcPr>
          <w:p>
            <w:pPr>
              <w:spacing w:after="20"/>
            </w:pPr>
            <w:r/>
            <w:r>
              <w:rPr>
                <w:b w:val="0"/>
                <w:sz w:val="17"/>
              </w:rPr>
              <w:t>WannaCry</w:t>
            </w:r>
          </w:p>
        </w:tc>
        <w:tc>
          <w:tcPr>
            <w:tcW w:type="dxa" w:w="2484"/>
            <w:vAlign w:val="center"/>
          </w:tcPr>
          <w:p>
            <w:pPr>
              <w:spacing w:after="20"/>
            </w:pPr>
            <w:r/>
            <w:r>
              <w:rPr>
                <w:b w:val="0"/>
                <w:sz w:val="17"/>
              </w:rPr>
              <w:t>Unpatched vulnerability and broad network reach</w:t>
            </w:r>
          </w:p>
        </w:tc>
        <w:tc>
          <w:tcPr>
            <w:tcW w:type="dxa" w:w="2484"/>
            <w:vAlign w:val="center"/>
          </w:tcPr>
          <w:p>
            <w:pPr>
              <w:spacing w:after="20"/>
            </w:pPr>
            <w:r/>
            <w:r>
              <w:rPr>
                <w:b w:val="0"/>
                <w:sz w:val="17"/>
              </w:rPr>
              <w:t>Rapid spread and service disruption</w:t>
            </w:r>
          </w:p>
        </w:tc>
        <w:tc>
          <w:tcPr>
            <w:tcW w:type="dxa" w:w="2484"/>
            <w:vAlign w:val="center"/>
          </w:tcPr>
          <w:p>
            <w:pPr>
              <w:spacing w:after="20"/>
            </w:pPr>
            <w:r/>
            <w:r>
              <w:rPr>
                <w:b w:val="0"/>
                <w:sz w:val="17"/>
              </w:rPr>
              <w:t>Patch, segment, back up, and verify recovery.</w:t>
            </w:r>
          </w:p>
        </w:tc>
      </w:tr>
      <w:tr>
        <w:tc>
          <w:tcPr>
            <w:tcW w:type="dxa" w:w="2484"/>
            <w:vAlign w:val="center"/>
            <w:shd w:fill="EEF4F7"/>
          </w:tcPr>
          <w:p>
            <w:pPr>
              <w:spacing w:after="20"/>
            </w:pPr>
            <w:r/>
            <w:r>
              <w:rPr>
                <w:b w:val="0"/>
                <w:sz w:val="17"/>
              </w:rPr>
              <w:t>SolarWinds</w:t>
            </w:r>
          </w:p>
        </w:tc>
        <w:tc>
          <w:tcPr>
            <w:tcW w:type="dxa" w:w="2484"/>
            <w:vAlign w:val="center"/>
            <w:shd w:fill="EEF4F7"/>
          </w:tcPr>
          <w:p>
            <w:pPr>
              <w:spacing w:after="20"/>
            </w:pPr>
            <w:r/>
            <w:r>
              <w:rPr>
                <w:b w:val="0"/>
                <w:sz w:val="17"/>
              </w:rPr>
              <w:t>Trusted software distribution channel compromised</w:t>
            </w:r>
          </w:p>
        </w:tc>
        <w:tc>
          <w:tcPr>
            <w:tcW w:type="dxa" w:w="2484"/>
            <w:vAlign w:val="center"/>
            <w:shd w:fill="EEF4F7"/>
          </w:tcPr>
          <w:p>
            <w:pPr>
              <w:spacing w:after="20"/>
            </w:pPr>
            <w:r/>
            <w:r>
              <w:rPr>
                <w:b w:val="0"/>
                <w:sz w:val="17"/>
              </w:rPr>
              <w:t>Potential access across many downstream customers</w:t>
            </w:r>
          </w:p>
        </w:tc>
        <w:tc>
          <w:tcPr>
            <w:tcW w:type="dxa" w:w="2484"/>
            <w:vAlign w:val="center"/>
            <w:shd w:fill="EEF4F7"/>
          </w:tcPr>
          <w:p>
            <w:pPr>
              <w:spacing w:after="20"/>
            </w:pPr>
            <w:r/>
            <w:r>
              <w:rPr>
                <w:b w:val="0"/>
                <w:sz w:val="17"/>
              </w:rPr>
              <w:t>Monitor trusted software and reduce supplier privileges.</w:t>
            </w:r>
          </w:p>
        </w:tc>
      </w:tr>
      <w:tr>
        <w:tc>
          <w:tcPr>
            <w:tcW w:type="dxa" w:w="2484"/>
            <w:vAlign w:val="center"/>
          </w:tcPr>
          <w:p>
            <w:pPr>
              <w:spacing w:after="20"/>
            </w:pPr>
            <w:r/>
            <w:r>
              <w:rPr>
                <w:b w:val="0"/>
                <w:sz w:val="17"/>
              </w:rPr>
              <w:t>Change Healthcare</w:t>
            </w:r>
          </w:p>
        </w:tc>
        <w:tc>
          <w:tcPr>
            <w:tcW w:type="dxa" w:w="2484"/>
            <w:vAlign w:val="center"/>
          </w:tcPr>
          <w:p>
            <w:pPr>
              <w:spacing w:after="20"/>
            </w:pPr>
            <w:r/>
            <w:r>
              <w:rPr>
                <w:b w:val="0"/>
                <w:sz w:val="17"/>
              </w:rPr>
              <w:t>Compromise of a critical healthcare service provider</w:t>
            </w:r>
          </w:p>
        </w:tc>
        <w:tc>
          <w:tcPr>
            <w:tcW w:type="dxa" w:w="2484"/>
            <w:vAlign w:val="center"/>
          </w:tcPr>
          <w:p>
            <w:pPr>
              <w:spacing w:after="20"/>
            </w:pPr>
            <w:r/>
            <w:r>
              <w:rPr>
                <w:b w:val="0"/>
                <w:sz w:val="17"/>
              </w:rPr>
              <w:t>Wide downstream workflow disruption</w:t>
            </w:r>
          </w:p>
        </w:tc>
        <w:tc>
          <w:tcPr>
            <w:tcW w:type="dxa" w:w="2484"/>
            <w:vAlign w:val="center"/>
          </w:tcPr>
          <w:p>
            <w:pPr>
              <w:spacing w:after="20"/>
            </w:pPr>
            <w:r/>
            <w:r>
              <w:rPr>
                <w:b w:val="0"/>
                <w:sz w:val="17"/>
              </w:rPr>
              <w:t>Protect remote access and plan for dependency failure.</w:t>
            </w:r>
          </w:p>
        </w:tc>
      </w:tr>
    </w:tbl>
    <w:p/>
    <w:p>
      <w:pPr>
        <w:pStyle w:val="Heading2"/>
      </w:pPr>
      <w:r>
        <w:t>7.5 Case-study limitations</w:t>
      </w:r>
    </w:p>
    <w:p>
      <w:r>
        <w:t>These cases differ in era, technical details, scale, and disclosure context. They are included to demonstrate recurring risk patterns, not to claim that all current incidents follow the same sequence. An organization should use current advisories and its own architecture to determine which lessons are most applicable.</w:t>
      </w:r>
    </w:p>
    <w:p>
      <w:r>
        <w:br w:type="page"/>
      </w:r>
    </w:p>
    <w:p>
      <w:pPr>
        <w:pStyle w:val="Heading1"/>
      </w:pPr>
      <w:r>
        <w:t>8. Risk Assessment and Prioritization</w:t>
      </w:r>
    </w:p>
    <w:p>
      <w:pPr>
        <w:pStyle w:val="Heading2"/>
      </w:pPr>
      <w:r>
        <w:t>8.1 Qualitative risk model</w:t>
      </w:r>
    </w:p>
    <w:p>
      <w:r>
        <w:t>A simple qualitative model combines likelihood and impact. Likelihood can be estimated from exposure, evidence of active exploitation, attacker interest, control maturity, and historical events. Impact can be estimated from service criticality, data sensitivity, potential downtime, safety implications, legal duties, and recovery cost. The model should support decisions, not create false precision.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2304A"/>
          </w:tcPr>
          <w:p>
            <w:pPr>
              <w:spacing w:after="20"/>
            </w:pPr>
            <w:r/>
            <w:r>
              <w:rPr>
                <w:b/>
                <w:color w:val="FFFFFF"/>
                <w:sz w:val="18"/>
              </w:rPr>
              <w:t>Likelihood \ Impact</w:t>
            </w:r>
          </w:p>
        </w:tc>
        <w:tc>
          <w:tcPr>
            <w:tcW w:type="dxa" w:w="1987"/>
            <w:vAlign w:val="center"/>
            <w:shd w:fill="12304A"/>
          </w:tcPr>
          <w:p>
            <w:pPr>
              <w:spacing w:after="20"/>
            </w:pPr>
            <w:r/>
            <w:r>
              <w:rPr>
                <w:b/>
                <w:color w:val="FFFFFF"/>
                <w:sz w:val="18"/>
              </w:rPr>
              <w:t>Low impact</w:t>
            </w:r>
          </w:p>
        </w:tc>
        <w:tc>
          <w:tcPr>
            <w:tcW w:type="dxa" w:w="1987"/>
            <w:vAlign w:val="center"/>
            <w:shd w:fill="12304A"/>
          </w:tcPr>
          <w:p>
            <w:pPr>
              <w:spacing w:after="20"/>
            </w:pPr>
            <w:r/>
            <w:r>
              <w:rPr>
                <w:b/>
                <w:color w:val="FFFFFF"/>
                <w:sz w:val="18"/>
              </w:rPr>
              <w:t>Moderate impact</w:t>
            </w:r>
          </w:p>
        </w:tc>
        <w:tc>
          <w:tcPr>
            <w:tcW w:type="dxa" w:w="1987"/>
            <w:vAlign w:val="center"/>
            <w:shd w:fill="12304A"/>
          </w:tcPr>
          <w:p>
            <w:pPr>
              <w:spacing w:after="20"/>
            </w:pPr>
            <w:r/>
            <w:r>
              <w:rPr>
                <w:b/>
                <w:color w:val="FFFFFF"/>
                <w:sz w:val="18"/>
              </w:rPr>
              <w:t>High impact</w:t>
            </w:r>
          </w:p>
        </w:tc>
        <w:tc>
          <w:tcPr>
            <w:tcW w:type="dxa" w:w="1987"/>
            <w:vAlign w:val="center"/>
            <w:shd w:fill="12304A"/>
          </w:tcPr>
          <w:p>
            <w:pPr>
              <w:spacing w:after="20"/>
            </w:pPr>
            <w:r/>
            <w:r>
              <w:rPr>
                <w:b/>
                <w:color w:val="FFFFFF"/>
                <w:sz w:val="18"/>
              </w:rPr>
              <w:t>Critical impact</w:t>
            </w:r>
          </w:p>
        </w:tc>
      </w:tr>
      <w:tr>
        <w:tc>
          <w:tcPr>
            <w:tcW w:type="dxa" w:w="1987"/>
            <w:vAlign w:val="center"/>
          </w:tcPr>
          <w:p>
            <w:pPr>
              <w:spacing w:after="20"/>
            </w:pPr>
            <w:r/>
            <w:r>
              <w:rPr>
                <w:b w:val="0"/>
                <w:sz w:val="17"/>
              </w:rPr>
              <w:t>Low</w:t>
            </w:r>
          </w:p>
        </w:tc>
        <w:tc>
          <w:tcPr>
            <w:tcW w:type="dxa" w:w="1987"/>
            <w:vAlign w:val="center"/>
          </w:tcPr>
          <w:p>
            <w:pPr>
              <w:spacing w:after="20"/>
            </w:pPr>
            <w:r/>
            <w:r>
              <w:rPr>
                <w:b w:val="0"/>
                <w:sz w:val="17"/>
              </w:rPr>
              <w:t>Low</w:t>
            </w:r>
          </w:p>
        </w:tc>
        <w:tc>
          <w:tcPr>
            <w:tcW w:type="dxa" w:w="1987"/>
            <w:vAlign w:val="center"/>
          </w:tcPr>
          <w:p>
            <w:pPr>
              <w:spacing w:after="20"/>
            </w:pPr>
            <w:r/>
            <w:r>
              <w:rPr>
                <w:b w:val="0"/>
                <w:sz w:val="17"/>
              </w:rPr>
              <w:t>Low</w:t>
            </w:r>
          </w:p>
        </w:tc>
        <w:tc>
          <w:tcPr>
            <w:tcW w:type="dxa" w:w="1987"/>
            <w:vAlign w:val="center"/>
          </w:tcPr>
          <w:p>
            <w:pPr>
              <w:spacing w:after="20"/>
            </w:pPr>
            <w:r/>
            <w:r>
              <w:rPr>
                <w:b w:val="0"/>
                <w:sz w:val="17"/>
              </w:rPr>
              <w:t>Moderate</w:t>
            </w:r>
          </w:p>
        </w:tc>
        <w:tc>
          <w:tcPr>
            <w:tcW w:type="dxa" w:w="1987"/>
            <w:vAlign w:val="center"/>
          </w:tcPr>
          <w:p>
            <w:pPr>
              <w:spacing w:after="20"/>
            </w:pPr>
            <w:r/>
            <w:r>
              <w:rPr>
                <w:b w:val="0"/>
                <w:sz w:val="17"/>
              </w:rPr>
              <w:t>High</w:t>
            </w:r>
          </w:p>
        </w:tc>
      </w:tr>
      <w:tr>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Low</w:t>
            </w:r>
          </w:p>
        </w:tc>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High</w:t>
            </w:r>
          </w:p>
        </w:tc>
        <w:tc>
          <w:tcPr>
            <w:tcW w:type="dxa" w:w="1987"/>
            <w:vAlign w:val="center"/>
            <w:shd w:fill="EEF4F7"/>
          </w:tcPr>
          <w:p>
            <w:pPr>
              <w:spacing w:after="20"/>
            </w:pPr>
            <w:r/>
            <w:r>
              <w:rPr>
                <w:b w:val="0"/>
                <w:sz w:val="17"/>
              </w:rPr>
              <w:t>High</w:t>
            </w:r>
          </w:p>
        </w:tc>
      </w:tr>
      <w:tr>
        <w:tc>
          <w:tcPr>
            <w:tcW w:type="dxa" w:w="1987"/>
            <w:vAlign w:val="center"/>
          </w:tcPr>
          <w:p>
            <w:pPr>
              <w:spacing w:after="20"/>
            </w:pPr>
            <w:r/>
            <w:r>
              <w:rPr>
                <w:b w:val="0"/>
                <w:sz w:val="17"/>
              </w:rPr>
              <w:t>High</w:t>
            </w:r>
          </w:p>
        </w:tc>
        <w:tc>
          <w:tcPr>
            <w:tcW w:type="dxa" w:w="1987"/>
            <w:vAlign w:val="center"/>
          </w:tcPr>
          <w:p>
            <w:pPr>
              <w:spacing w:after="20"/>
            </w:pPr>
            <w:r/>
            <w:r>
              <w:rPr>
                <w:b w:val="0"/>
                <w:sz w:val="17"/>
              </w:rPr>
              <w:t>Moderate</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Critical</w:t>
            </w:r>
          </w:p>
        </w:tc>
      </w:tr>
      <w:tr>
        <w:tc>
          <w:tcPr>
            <w:tcW w:type="dxa" w:w="1987"/>
            <w:vAlign w:val="center"/>
            <w:shd w:fill="EEF4F7"/>
          </w:tcPr>
          <w:p>
            <w:pPr>
              <w:spacing w:after="20"/>
            </w:pPr>
            <w:r/>
            <w:r>
              <w:rPr>
                <w:b w:val="0"/>
                <w:sz w:val="17"/>
              </w:rPr>
              <w:t>Very high</w:t>
            </w:r>
          </w:p>
        </w:tc>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High</w:t>
            </w:r>
          </w:p>
        </w:tc>
        <w:tc>
          <w:tcPr>
            <w:tcW w:type="dxa" w:w="1987"/>
            <w:vAlign w:val="center"/>
            <w:shd w:fill="EEF4F7"/>
          </w:tcPr>
          <w:p>
            <w:pPr>
              <w:spacing w:after="20"/>
            </w:pPr>
            <w:r/>
            <w:r>
              <w:rPr>
                <w:b w:val="0"/>
                <w:sz w:val="17"/>
              </w:rPr>
              <w:t>Critical</w:t>
            </w:r>
          </w:p>
        </w:tc>
        <w:tc>
          <w:tcPr>
            <w:tcW w:type="dxa" w:w="1987"/>
            <w:vAlign w:val="center"/>
            <w:shd w:fill="EEF4F7"/>
          </w:tcPr>
          <w:p>
            <w:pPr>
              <w:spacing w:after="20"/>
            </w:pPr>
            <w:r/>
            <w:r>
              <w:rPr>
                <w:b w:val="0"/>
                <w:sz w:val="17"/>
              </w:rPr>
              <w:t>Critical</w:t>
            </w:r>
          </w:p>
        </w:tc>
      </w:tr>
    </w:tbl>
    <w:p/>
    <w:p>
      <w:pPr>
        <w:pStyle w:val="Heading2"/>
      </w:pPr>
      <w:r>
        <w:t>8.2 Illustrative threat register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2304A"/>
          </w:tcPr>
          <w:p>
            <w:pPr>
              <w:spacing w:after="20"/>
            </w:pPr>
            <w:r/>
            <w:r>
              <w:rPr>
                <w:b/>
                <w:color w:val="FFFFFF"/>
                <w:sz w:val="18"/>
              </w:rPr>
              <w:t>Threat scenario</w:t>
            </w:r>
          </w:p>
        </w:tc>
        <w:tc>
          <w:tcPr>
            <w:tcW w:type="dxa" w:w="1987"/>
            <w:vAlign w:val="center"/>
            <w:shd w:fill="12304A"/>
          </w:tcPr>
          <w:p>
            <w:pPr>
              <w:spacing w:after="20"/>
            </w:pPr>
            <w:r/>
            <w:r>
              <w:rPr>
                <w:b/>
                <w:color w:val="FFFFFF"/>
                <w:sz w:val="18"/>
              </w:rPr>
              <w:t>Likelihood</w:t>
            </w:r>
          </w:p>
        </w:tc>
        <w:tc>
          <w:tcPr>
            <w:tcW w:type="dxa" w:w="1987"/>
            <w:vAlign w:val="center"/>
            <w:shd w:fill="12304A"/>
          </w:tcPr>
          <w:p>
            <w:pPr>
              <w:spacing w:after="20"/>
            </w:pPr>
            <w:r/>
            <w:r>
              <w:rPr>
                <w:b/>
                <w:color w:val="FFFFFF"/>
                <w:sz w:val="18"/>
              </w:rPr>
              <w:t>Impact</w:t>
            </w:r>
          </w:p>
        </w:tc>
        <w:tc>
          <w:tcPr>
            <w:tcW w:type="dxa" w:w="1987"/>
            <w:vAlign w:val="center"/>
            <w:shd w:fill="12304A"/>
          </w:tcPr>
          <w:p>
            <w:pPr>
              <w:spacing w:after="20"/>
            </w:pPr>
            <w:r/>
            <w:r>
              <w:rPr>
                <w:b/>
                <w:color w:val="FFFFFF"/>
                <w:sz w:val="18"/>
              </w:rPr>
              <w:t>Illustrative rating</w:t>
            </w:r>
          </w:p>
        </w:tc>
        <w:tc>
          <w:tcPr>
            <w:tcW w:type="dxa" w:w="1987"/>
            <w:vAlign w:val="center"/>
            <w:shd w:fill="12304A"/>
          </w:tcPr>
          <w:p>
            <w:pPr>
              <w:spacing w:after="20"/>
            </w:pPr>
            <w:r/>
            <w:r>
              <w:rPr>
                <w:b/>
                <w:color w:val="FFFFFF"/>
                <w:sz w:val="18"/>
              </w:rPr>
              <w:t>Priority action</w:t>
            </w:r>
          </w:p>
        </w:tc>
      </w:tr>
      <w:tr>
        <w:tc>
          <w:tcPr>
            <w:tcW w:type="dxa" w:w="1987"/>
            <w:vAlign w:val="center"/>
          </w:tcPr>
          <w:p>
            <w:pPr>
              <w:spacing w:after="20"/>
            </w:pPr>
            <w:r/>
            <w:r>
              <w:rPr>
                <w:b w:val="0"/>
                <w:sz w:val="17"/>
              </w:rPr>
              <w:t>Internet-facing server with known exploited vulnerability</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Critical</w:t>
            </w:r>
          </w:p>
        </w:tc>
        <w:tc>
          <w:tcPr>
            <w:tcW w:type="dxa" w:w="1987"/>
            <w:vAlign w:val="center"/>
          </w:tcPr>
          <w:p>
            <w:pPr>
              <w:spacing w:after="20"/>
            </w:pPr>
            <w:r/>
            <w:r>
              <w:rPr>
                <w:b w:val="0"/>
                <w:sz w:val="17"/>
              </w:rPr>
              <w:t>Confirm exposure; mitigate or patch urgently; check for compromise.</w:t>
            </w:r>
          </w:p>
        </w:tc>
      </w:tr>
      <w:tr>
        <w:tc>
          <w:tcPr>
            <w:tcW w:type="dxa" w:w="1987"/>
            <w:vAlign w:val="center"/>
            <w:shd w:fill="EEF4F7"/>
          </w:tcPr>
          <w:p>
            <w:pPr>
              <w:spacing w:after="20"/>
            </w:pPr>
            <w:r/>
            <w:r>
              <w:rPr>
                <w:b w:val="0"/>
                <w:sz w:val="17"/>
              </w:rPr>
              <w:t>Employee account compromised without MFA</w:t>
            </w:r>
          </w:p>
        </w:tc>
        <w:tc>
          <w:tcPr>
            <w:tcW w:type="dxa" w:w="1987"/>
            <w:vAlign w:val="center"/>
            <w:shd w:fill="EEF4F7"/>
          </w:tcPr>
          <w:p>
            <w:pPr>
              <w:spacing w:after="20"/>
            </w:pPr>
            <w:r/>
            <w:r>
              <w:rPr>
                <w:b w:val="0"/>
                <w:sz w:val="17"/>
              </w:rPr>
              <w:t>High</w:t>
            </w:r>
          </w:p>
        </w:tc>
        <w:tc>
          <w:tcPr>
            <w:tcW w:type="dxa" w:w="1987"/>
            <w:vAlign w:val="center"/>
            <w:shd w:fill="EEF4F7"/>
          </w:tcPr>
          <w:p>
            <w:pPr>
              <w:spacing w:after="20"/>
            </w:pPr>
            <w:r/>
            <w:r>
              <w:rPr>
                <w:b w:val="0"/>
                <w:sz w:val="17"/>
              </w:rPr>
              <w:t>High</w:t>
            </w:r>
          </w:p>
        </w:tc>
        <w:tc>
          <w:tcPr>
            <w:tcW w:type="dxa" w:w="1987"/>
            <w:vAlign w:val="center"/>
            <w:shd w:fill="EEF4F7"/>
          </w:tcPr>
          <w:p>
            <w:pPr>
              <w:spacing w:after="20"/>
            </w:pPr>
            <w:r/>
            <w:r>
              <w:rPr>
                <w:b w:val="0"/>
                <w:sz w:val="17"/>
              </w:rPr>
              <w:t>Critical</w:t>
            </w:r>
          </w:p>
        </w:tc>
        <w:tc>
          <w:tcPr>
            <w:tcW w:type="dxa" w:w="1987"/>
            <w:vAlign w:val="center"/>
            <w:shd w:fill="EEF4F7"/>
          </w:tcPr>
          <w:p>
            <w:pPr>
              <w:spacing w:after="20"/>
            </w:pPr>
            <w:r/>
            <w:r>
              <w:rPr>
                <w:b w:val="0"/>
                <w:sz w:val="17"/>
              </w:rPr>
              <w:t>Enable MFA; revoke risky sessions; review identity logs.</w:t>
            </w:r>
          </w:p>
        </w:tc>
      </w:tr>
      <w:tr>
        <w:tc>
          <w:tcPr>
            <w:tcW w:type="dxa" w:w="1987"/>
            <w:vAlign w:val="center"/>
          </w:tcPr>
          <w:p>
            <w:pPr>
              <w:spacing w:after="20"/>
            </w:pPr>
            <w:r/>
            <w:r>
              <w:rPr>
                <w:b w:val="0"/>
                <w:sz w:val="17"/>
              </w:rPr>
              <w:t>Ransomware reaches shared file systems</w:t>
            </w:r>
          </w:p>
        </w:tc>
        <w:tc>
          <w:tcPr>
            <w:tcW w:type="dxa" w:w="1987"/>
            <w:vAlign w:val="center"/>
          </w:tcPr>
          <w:p>
            <w:pPr>
              <w:spacing w:after="20"/>
            </w:pPr>
            <w:r/>
            <w:r>
              <w:rPr>
                <w:b w:val="0"/>
                <w:sz w:val="17"/>
              </w:rPr>
              <w:t>Moderate–High</w:t>
            </w:r>
          </w:p>
        </w:tc>
        <w:tc>
          <w:tcPr>
            <w:tcW w:type="dxa" w:w="1987"/>
            <w:vAlign w:val="center"/>
          </w:tcPr>
          <w:p>
            <w:pPr>
              <w:spacing w:after="20"/>
            </w:pPr>
            <w:r/>
            <w:r>
              <w:rPr>
                <w:b w:val="0"/>
                <w:sz w:val="17"/>
              </w:rPr>
              <w:t>Critical</w:t>
            </w:r>
          </w:p>
        </w:tc>
        <w:tc>
          <w:tcPr>
            <w:tcW w:type="dxa" w:w="1987"/>
            <w:vAlign w:val="center"/>
          </w:tcPr>
          <w:p>
            <w:pPr>
              <w:spacing w:after="20"/>
            </w:pPr>
            <w:r/>
            <w:r>
              <w:rPr>
                <w:b w:val="0"/>
                <w:sz w:val="17"/>
              </w:rPr>
              <w:t>Critical</w:t>
            </w:r>
          </w:p>
        </w:tc>
        <w:tc>
          <w:tcPr>
            <w:tcW w:type="dxa" w:w="1987"/>
            <w:vAlign w:val="center"/>
          </w:tcPr>
          <w:p>
            <w:pPr>
              <w:spacing w:after="20"/>
            </w:pPr>
            <w:r/>
            <w:r>
              <w:rPr>
                <w:b w:val="0"/>
                <w:sz w:val="17"/>
              </w:rPr>
              <w:t>Segment; isolate backups; test restoration and crisis roles.</w:t>
            </w:r>
          </w:p>
        </w:tc>
      </w:tr>
      <w:tr>
        <w:tc>
          <w:tcPr>
            <w:tcW w:type="dxa" w:w="1987"/>
            <w:vAlign w:val="center"/>
            <w:shd w:fill="EEF4F7"/>
          </w:tcPr>
          <w:p>
            <w:pPr>
              <w:spacing w:after="20"/>
            </w:pPr>
            <w:r/>
            <w:r>
              <w:rPr>
                <w:b w:val="0"/>
                <w:sz w:val="17"/>
              </w:rPr>
              <w:t>Supplier remote access is over-privileged</w:t>
            </w:r>
          </w:p>
        </w:tc>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High</w:t>
            </w:r>
          </w:p>
        </w:tc>
        <w:tc>
          <w:tcPr>
            <w:tcW w:type="dxa" w:w="1987"/>
            <w:vAlign w:val="center"/>
            <w:shd w:fill="EEF4F7"/>
          </w:tcPr>
          <w:p>
            <w:pPr>
              <w:spacing w:after="20"/>
            </w:pPr>
            <w:r/>
            <w:r>
              <w:rPr>
                <w:b w:val="0"/>
                <w:sz w:val="17"/>
              </w:rPr>
              <w:t>High</w:t>
            </w:r>
          </w:p>
        </w:tc>
        <w:tc>
          <w:tcPr>
            <w:tcW w:type="dxa" w:w="1987"/>
            <w:vAlign w:val="center"/>
            <w:shd w:fill="EEF4F7"/>
          </w:tcPr>
          <w:p>
            <w:pPr>
              <w:spacing w:after="20"/>
            </w:pPr>
            <w:r/>
            <w:r>
              <w:rPr>
                <w:b w:val="0"/>
                <w:sz w:val="17"/>
              </w:rPr>
              <w:t>Scope, time-limit, approve, and monitor vendor access.</w:t>
            </w:r>
          </w:p>
        </w:tc>
      </w:tr>
      <w:tr>
        <w:tc>
          <w:tcPr>
            <w:tcW w:type="dxa" w:w="1987"/>
            <w:vAlign w:val="center"/>
          </w:tcPr>
          <w:p>
            <w:pPr>
              <w:spacing w:after="20"/>
            </w:pPr>
            <w:r/>
            <w:r>
              <w:rPr>
                <w:b w:val="0"/>
                <w:sz w:val="17"/>
              </w:rPr>
              <w:t>Public cloud storage accidentally exposed</w:t>
            </w:r>
          </w:p>
        </w:tc>
        <w:tc>
          <w:tcPr>
            <w:tcW w:type="dxa" w:w="1987"/>
            <w:vAlign w:val="center"/>
          </w:tcPr>
          <w:p>
            <w:pPr>
              <w:spacing w:after="20"/>
            </w:pPr>
            <w:r/>
            <w:r>
              <w:rPr>
                <w:b w:val="0"/>
                <w:sz w:val="17"/>
              </w:rPr>
              <w:t>Moderate</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Restrict public access; scan configuration; review access logs.</w:t>
            </w:r>
          </w:p>
        </w:tc>
      </w:tr>
      <w:tr>
        <w:tc>
          <w:tcPr>
            <w:tcW w:type="dxa" w:w="1987"/>
            <w:vAlign w:val="center"/>
            <w:shd w:fill="EEF4F7"/>
          </w:tcPr>
          <w:p>
            <w:pPr>
              <w:spacing w:after="20"/>
            </w:pPr>
            <w:r/>
            <w:r>
              <w:rPr>
                <w:b w:val="0"/>
                <w:sz w:val="17"/>
              </w:rPr>
              <w:t>DDoS disrupts a non-critical public site</w:t>
            </w:r>
          </w:p>
        </w:tc>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Moderate</w:t>
            </w:r>
          </w:p>
        </w:tc>
        <w:tc>
          <w:tcPr>
            <w:tcW w:type="dxa" w:w="1987"/>
            <w:vAlign w:val="center"/>
            <w:shd w:fill="EEF4F7"/>
          </w:tcPr>
          <w:p>
            <w:pPr>
              <w:spacing w:after="20"/>
            </w:pPr>
            <w:r/>
            <w:r>
              <w:rPr>
                <w:b w:val="0"/>
                <w:sz w:val="17"/>
              </w:rPr>
              <w:t>Use provider protections and a communication fallback.</w:t>
            </w:r>
          </w:p>
        </w:tc>
      </w:tr>
      <w:tr>
        <w:tc>
          <w:tcPr>
            <w:tcW w:type="dxa" w:w="1987"/>
            <w:vAlign w:val="center"/>
          </w:tcPr>
          <w:p>
            <w:pPr>
              <w:spacing w:after="20"/>
            </w:pPr>
            <w:r/>
            <w:r>
              <w:rPr>
                <w:b w:val="0"/>
                <w:sz w:val="17"/>
              </w:rPr>
              <w:t>Employee shares sensitive data with unapproved AI tool</w:t>
            </w:r>
          </w:p>
        </w:tc>
        <w:tc>
          <w:tcPr>
            <w:tcW w:type="dxa" w:w="1987"/>
            <w:vAlign w:val="center"/>
          </w:tcPr>
          <w:p>
            <w:pPr>
              <w:spacing w:after="20"/>
            </w:pPr>
            <w:r/>
            <w:r>
              <w:rPr>
                <w:b w:val="0"/>
                <w:sz w:val="17"/>
              </w:rPr>
              <w:t>Moderate</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High</w:t>
            </w:r>
          </w:p>
        </w:tc>
        <w:tc>
          <w:tcPr>
            <w:tcW w:type="dxa" w:w="1987"/>
            <w:vAlign w:val="center"/>
          </w:tcPr>
          <w:p>
            <w:pPr>
              <w:spacing w:after="20"/>
            </w:pPr>
            <w:r/>
            <w:r>
              <w:rPr>
                <w:b w:val="0"/>
                <w:sz w:val="17"/>
              </w:rPr>
              <w:t>Set policy; restrict connectors; train staff; audit usage.</w:t>
            </w:r>
          </w:p>
        </w:tc>
      </w:tr>
    </w:tbl>
    <w:p/>
    <w:p>
      <w:pPr>
        <w:pStyle w:val="Heading2"/>
      </w:pPr>
      <w:r>
        <w:t>8.3 Prioritization rules</w:t>
      </w:r>
    </w:p>
    <w:p>
      <w:pPr>
        <w:pStyle w:val="ListNumber"/>
      </w:pPr>
      <w:r>
        <w:t>Address known exploited vulnerabilities on internet-facing and critical assets first, while checking whether exploitation occurred before patching.</w:t>
      </w:r>
    </w:p>
    <w:p>
      <w:pPr>
        <w:pStyle w:val="ListNumber"/>
      </w:pPr>
      <w:r>
        <w:t>Protect identities with privileged access and remote access using phishing-resistant MFA where practical.</w:t>
      </w:r>
    </w:p>
    <w:p>
      <w:pPr>
        <w:pStyle w:val="ListNumber"/>
      </w:pPr>
      <w:r>
        <w:t>Secure backups and demonstrate that critical systems can be restored within defined objectives.</w:t>
      </w:r>
    </w:p>
    <w:p>
      <w:pPr>
        <w:pStyle w:val="ListNumber"/>
      </w:pPr>
      <w:r>
        <w:t>Reduce exposure: remove unused services, stale accounts, old keys, and unnecessary vendor connections.</w:t>
      </w:r>
    </w:p>
    <w:p>
      <w:pPr>
        <w:pStyle w:val="ListNumber"/>
      </w:pPr>
      <w:r>
        <w:t>Improve visibility into endpoints, identity events, cloud control planes, email, and critical network traffic.</w:t>
      </w:r>
    </w:p>
    <w:p>
      <w:pPr>
        <w:pStyle w:val="ListNumber"/>
      </w:pPr>
      <w:r>
        <w:t>Treat third-party dependencies as operational risks, including supplier outages and compromised updates.</w:t>
      </w:r>
    </w:p>
    <w:p>
      <w:pPr>
        <w:pStyle w:val="ListNumber"/>
      </w:pPr>
      <w:r>
        <w:t>Track exceptions with an owner, expiry date, compensating control, and explicit risk acceptance.</w:t>
      </w:r>
    </w:p>
    <w:p>
      <w:pPr>
        <w:pStyle w:val="Heading2"/>
      </w:pPr>
      <w:r>
        <w:t>8.4 Risk ownership</w:t>
      </w:r>
    </w:p>
    <w:p>
      <w:r>
        <w:t>Security teams provide technical analysis, but business owners understand the operational consequences. A clear governance model assigns each material risk to a named owner, records the treatment decision, sets a deadline, and escalates overdue actions. Risk acceptance should be explicit and time-limited rather than an informal consequence of delayed work.</w:t>
      </w:r>
    </w:p>
    <w:p>
      <w:r>
        <w:br w:type="page"/>
      </w:r>
    </w:p>
    <w:p>
      <w:pPr>
        <w:pStyle w:val="Heading1"/>
      </w:pPr>
      <w:r>
        <w:t>9. Mitigation and Security Roadmap</w:t>
      </w:r>
    </w:p>
    <w:p>
      <w:pPr>
        <w:pStyle w:val="Heading2"/>
      </w:pPr>
      <w:r>
        <w:t>9.1 Foundational controls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b/>
                <w:color w:val="FFFFFF"/>
                <w:sz w:val="18"/>
              </w:rPr>
              <w:t>Control area</w:t>
            </w:r>
          </w:p>
        </w:tc>
        <w:tc>
          <w:tcPr>
            <w:tcW w:type="dxa" w:w="3312"/>
            <w:vAlign w:val="center"/>
            <w:shd w:fill="12304A"/>
          </w:tcPr>
          <w:p>
            <w:pPr>
              <w:spacing w:after="20"/>
            </w:pPr>
            <w:r/>
            <w:r>
              <w:rPr>
                <w:b/>
                <w:color w:val="FFFFFF"/>
                <w:sz w:val="18"/>
              </w:rPr>
              <w:t>Recommended actions</w:t>
            </w:r>
          </w:p>
        </w:tc>
        <w:tc>
          <w:tcPr>
            <w:tcW w:type="dxa" w:w="3312"/>
            <w:vAlign w:val="center"/>
            <w:shd w:fill="12304A"/>
          </w:tcPr>
          <w:p>
            <w:pPr>
              <w:spacing w:after="20"/>
            </w:pPr>
            <w:r/>
            <w:r>
              <w:rPr>
                <w:b/>
                <w:color w:val="FFFFFF"/>
                <w:sz w:val="18"/>
              </w:rPr>
              <w:t>Expected risk reduction</w:t>
            </w:r>
          </w:p>
        </w:tc>
      </w:tr>
      <w:tr>
        <w:tc>
          <w:tcPr>
            <w:tcW w:type="dxa" w:w="3312"/>
            <w:vAlign w:val="center"/>
          </w:tcPr>
          <w:p>
            <w:pPr>
              <w:spacing w:after="20"/>
            </w:pPr>
            <w:r/>
            <w:r>
              <w:rPr>
                <w:b w:val="0"/>
                <w:sz w:val="17"/>
              </w:rPr>
              <w:t>Asset management</w:t>
            </w:r>
          </w:p>
        </w:tc>
        <w:tc>
          <w:tcPr>
            <w:tcW w:type="dxa" w:w="3312"/>
            <w:vAlign w:val="center"/>
          </w:tcPr>
          <w:p>
            <w:pPr>
              <w:spacing w:after="20"/>
            </w:pPr>
            <w:r/>
            <w:r>
              <w:rPr>
                <w:b w:val="0"/>
                <w:sz w:val="17"/>
              </w:rPr>
              <w:t>Maintain current hardware, software, cloud, identity, and external-asset inventories; identify business owners.</w:t>
            </w:r>
          </w:p>
        </w:tc>
        <w:tc>
          <w:tcPr>
            <w:tcW w:type="dxa" w:w="3312"/>
            <w:vAlign w:val="center"/>
          </w:tcPr>
          <w:p>
            <w:pPr>
              <w:spacing w:after="20"/>
            </w:pPr>
            <w:r/>
            <w:r>
              <w:rPr>
                <w:b w:val="0"/>
                <w:sz w:val="17"/>
              </w:rPr>
              <w:t>Reduces blind spots and improves patch prioritization.</w:t>
            </w:r>
          </w:p>
        </w:tc>
      </w:tr>
      <w:tr>
        <w:tc>
          <w:tcPr>
            <w:tcW w:type="dxa" w:w="3312"/>
            <w:vAlign w:val="center"/>
            <w:shd w:fill="EEF4F7"/>
          </w:tcPr>
          <w:p>
            <w:pPr>
              <w:spacing w:after="20"/>
            </w:pPr>
            <w:r/>
            <w:r>
              <w:rPr>
                <w:b w:val="0"/>
                <w:sz w:val="17"/>
              </w:rPr>
              <w:t>Vulnerability management</w:t>
            </w:r>
          </w:p>
        </w:tc>
        <w:tc>
          <w:tcPr>
            <w:tcW w:type="dxa" w:w="3312"/>
            <w:vAlign w:val="center"/>
            <w:shd w:fill="EEF4F7"/>
          </w:tcPr>
          <w:p>
            <w:pPr>
              <w:spacing w:after="20"/>
            </w:pPr>
            <w:r/>
            <w:r>
              <w:rPr>
                <w:b w:val="0"/>
                <w:sz w:val="17"/>
              </w:rPr>
              <w:t>Scan regularly; prioritize CISA KEV entries and exposed critical assets; verify fixes; investigate suspected pre-patch compromise.</w:t>
            </w:r>
          </w:p>
        </w:tc>
        <w:tc>
          <w:tcPr>
            <w:tcW w:type="dxa" w:w="3312"/>
            <w:vAlign w:val="center"/>
            <w:shd w:fill="EEF4F7"/>
          </w:tcPr>
          <w:p>
            <w:pPr>
              <w:spacing w:after="20"/>
            </w:pPr>
            <w:r/>
            <w:r>
              <w:rPr>
                <w:b w:val="0"/>
                <w:sz w:val="17"/>
              </w:rPr>
              <w:t>Reduces opportunities for known-flaw exploitation.</w:t>
            </w:r>
          </w:p>
        </w:tc>
      </w:tr>
      <w:tr>
        <w:tc>
          <w:tcPr>
            <w:tcW w:type="dxa" w:w="3312"/>
            <w:vAlign w:val="center"/>
          </w:tcPr>
          <w:p>
            <w:pPr>
              <w:spacing w:after="20"/>
            </w:pPr>
            <w:r/>
            <w:r>
              <w:rPr>
                <w:b w:val="0"/>
                <w:sz w:val="17"/>
              </w:rPr>
              <w:t>Identity and access</w:t>
            </w:r>
          </w:p>
        </w:tc>
        <w:tc>
          <w:tcPr>
            <w:tcW w:type="dxa" w:w="3312"/>
            <w:vAlign w:val="center"/>
          </w:tcPr>
          <w:p>
            <w:pPr>
              <w:spacing w:after="20"/>
            </w:pPr>
            <w:r/>
            <w:r>
              <w:rPr>
                <w:b w:val="0"/>
                <w:sz w:val="17"/>
              </w:rPr>
              <w:t>MFA; phishing-resistant methods for privileged roles; least privilege; separate admin accounts; managed secrets; periodic access reviews.</w:t>
            </w:r>
          </w:p>
        </w:tc>
        <w:tc>
          <w:tcPr>
            <w:tcW w:type="dxa" w:w="3312"/>
            <w:vAlign w:val="center"/>
          </w:tcPr>
          <w:p>
            <w:pPr>
              <w:spacing w:after="20"/>
            </w:pPr>
            <w:r/>
            <w:r>
              <w:rPr>
                <w:b w:val="0"/>
                <w:sz w:val="17"/>
              </w:rPr>
              <w:t>Reduces account takeover and limits blast radius.</w:t>
            </w:r>
          </w:p>
        </w:tc>
      </w:tr>
      <w:tr>
        <w:tc>
          <w:tcPr>
            <w:tcW w:type="dxa" w:w="3312"/>
            <w:vAlign w:val="center"/>
            <w:shd w:fill="EEF4F7"/>
          </w:tcPr>
          <w:p>
            <w:pPr>
              <w:spacing w:after="20"/>
            </w:pPr>
            <w:r/>
            <w:r>
              <w:rPr>
                <w:b w:val="0"/>
                <w:sz w:val="17"/>
              </w:rPr>
              <w:t>Endpoint security</w:t>
            </w:r>
          </w:p>
        </w:tc>
        <w:tc>
          <w:tcPr>
            <w:tcW w:type="dxa" w:w="3312"/>
            <w:vAlign w:val="center"/>
            <w:shd w:fill="EEF4F7"/>
          </w:tcPr>
          <w:p>
            <w:pPr>
              <w:spacing w:after="20"/>
            </w:pPr>
            <w:r/>
            <w:r>
              <w:rPr>
                <w:b w:val="0"/>
                <w:sz w:val="17"/>
              </w:rPr>
              <w:t>EDR; secure configuration; application control; prompt updates; restrict unnecessary scripts and local admin rights.</w:t>
            </w:r>
          </w:p>
        </w:tc>
        <w:tc>
          <w:tcPr>
            <w:tcW w:type="dxa" w:w="3312"/>
            <w:vAlign w:val="center"/>
            <w:shd w:fill="EEF4F7"/>
          </w:tcPr>
          <w:p>
            <w:pPr>
              <w:spacing w:after="20"/>
            </w:pPr>
            <w:r/>
            <w:r>
              <w:rPr>
                <w:b w:val="0"/>
                <w:sz w:val="17"/>
              </w:rPr>
              <w:t>Improves prevention, detection, and containment.</w:t>
            </w:r>
          </w:p>
        </w:tc>
      </w:tr>
      <w:tr>
        <w:tc>
          <w:tcPr>
            <w:tcW w:type="dxa" w:w="3312"/>
            <w:vAlign w:val="center"/>
          </w:tcPr>
          <w:p>
            <w:pPr>
              <w:spacing w:after="20"/>
            </w:pPr>
            <w:r/>
            <w:r>
              <w:rPr>
                <w:b w:val="0"/>
                <w:sz w:val="17"/>
              </w:rPr>
              <w:t>Email and collaboration</w:t>
            </w:r>
          </w:p>
        </w:tc>
        <w:tc>
          <w:tcPr>
            <w:tcW w:type="dxa" w:w="3312"/>
            <w:vAlign w:val="center"/>
          </w:tcPr>
          <w:p>
            <w:pPr>
              <w:spacing w:after="20"/>
            </w:pPr>
            <w:r/>
            <w:r>
              <w:rPr>
                <w:b w:val="0"/>
                <w:sz w:val="17"/>
              </w:rPr>
              <w:t>DMARC/SPF/DKIM where applicable; anti-phishing controls; external-sender context; safe reporting and verification procedures.</w:t>
            </w:r>
          </w:p>
        </w:tc>
        <w:tc>
          <w:tcPr>
            <w:tcW w:type="dxa" w:w="3312"/>
            <w:vAlign w:val="center"/>
          </w:tcPr>
          <w:p>
            <w:pPr>
              <w:spacing w:after="20"/>
            </w:pPr>
            <w:r/>
            <w:r>
              <w:rPr>
                <w:b w:val="0"/>
                <w:sz w:val="17"/>
              </w:rPr>
              <w:t>Reduces impersonation and malicious-message risk.</w:t>
            </w:r>
          </w:p>
        </w:tc>
      </w:tr>
      <w:tr>
        <w:tc>
          <w:tcPr>
            <w:tcW w:type="dxa" w:w="3312"/>
            <w:vAlign w:val="center"/>
            <w:shd w:fill="EEF4F7"/>
          </w:tcPr>
          <w:p>
            <w:pPr>
              <w:spacing w:after="20"/>
            </w:pPr>
            <w:r/>
            <w:r>
              <w:rPr>
                <w:b w:val="0"/>
                <w:sz w:val="17"/>
              </w:rPr>
              <w:t>Network segmentation</w:t>
            </w:r>
          </w:p>
        </w:tc>
        <w:tc>
          <w:tcPr>
            <w:tcW w:type="dxa" w:w="3312"/>
            <w:vAlign w:val="center"/>
            <w:shd w:fill="EEF4F7"/>
          </w:tcPr>
          <w:p>
            <w:pPr>
              <w:spacing w:after="20"/>
            </w:pPr>
            <w:r/>
            <w:r>
              <w:rPr>
                <w:b w:val="0"/>
                <w:sz w:val="17"/>
              </w:rPr>
              <w:t>Separate user, server, management, backup, and OT environments; restrict administrative pathways.</w:t>
            </w:r>
          </w:p>
        </w:tc>
        <w:tc>
          <w:tcPr>
            <w:tcW w:type="dxa" w:w="3312"/>
            <w:vAlign w:val="center"/>
            <w:shd w:fill="EEF4F7"/>
          </w:tcPr>
          <w:p>
            <w:pPr>
              <w:spacing w:after="20"/>
            </w:pPr>
            <w:r/>
            <w:r>
              <w:rPr>
                <w:b w:val="0"/>
                <w:sz w:val="17"/>
              </w:rPr>
              <w:t>Limits lateral movement and propagation.</w:t>
            </w:r>
          </w:p>
        </w:tc>
      </w:tr>
      <w:tr>
        <w:tc>
          <w:tcPr>
            <w:tcW w:type="dxa" w:w="3312"/>
            <w:vAlign w:val="center"/>
          </w:tcPr>
          <w:p>
            <w:pPr>
              <w:spacing w:after="20"/>
            </w:pPr>
            <w:r/>
            <w:r>
              <w:rPr>
                <w:b w:val="0"/>
                <w:sz w:val="17"/>
              </w:rPr>
              <w:t>Data protection</w:t>
            </w:r>
          </w:p>
        </w:tc>
        <w:tc>
          <w:tcPr>
            <w:tcW w:type="dxa" w:w="3312"/>
            <w:vAlign w:val="center"/>
          </w:tcPr>
          <w:p>
            <w:pPr>
              <w:spacing w:after="20"/>
            </w:pPr>
            <w:r/>
            <w:r>
              <w:rPr>
                <w:b w:val="0"/>
                <w:sz w:val="17"/>
              </w:rPr>
              <w:t>Classify data; encrypt sensitive information; restrict sharing; monitor bulk exports; securely dispose of data.</w:t>
            </w:r>
          </w:p>
        </w:tc>
        <w:tc>
          <w:tcPr>
            <w:tcW w:type="dxa" w:w="3312"/>
            <w:vAlign w:val="center"/>
          </w:tcPr>
          <w:p>
            <w:pPr>
              <w:spacing w:after="20"/>
            </w:pPr>
            <w:r/>
            <w:r>
              <w:rPr>
                <w:b w:val="0"/>
                <w:sz w:val="17"/>
              </w:rPr>
              <w:t>Reduces exposure and supports obligations.</w:t>
            </w:r>
          </w:p>
        </w:tc>
      </w:tr>
      <w:tr>
        <w:tc>
          <w:tcPr>
            <w:tcW w:type="dxa" w:w="3312"/>
            <w:vAlign w:val="center"/>
            <w:shd w:fill="EEF4F7"/>
          </w:tcPr>
          <w:p>
            <w:pPr>
              <w:spacing w:after="20"/>
            </w:pPr>
            <w:r/>
            <w:r>
              <w:rPr>
                <w:b w:val="0"/>
                <w:sz w:val="17"/>
              </w:rPr>
              <w:t>Backup and recovery</w:t>
            </w:r>
          </w:p>
        </w:tc>
        <w:tc>
          <w:tcPr>
            <w:tcW w:type="dxa" w:w="3312"/>
            <w:vAlign w:val="center"/>
            <w:shd w:fill="EEF4F7"/>
          </w:tcPr>
          <w:p>
            <w:pPr>
              <w:spacing w:after="20"/>
            </w:pPr>
            <w:r/>
            <w:r>
              <w:rPr>
                <w:b w:val="0"/>
                <w:sz w:val="17"/>
              </w:rPr>
              <w:t>Maintain offline or immutable copies; separate backup credentials; test restoration; protect backup consoles.</w:t>
            </w:r>
          </w:p>
        </w:tc>
        <w:tc>
          <w:tcPr>
            <w:tcW w:type="dxa" w:w="3312"/>
            <w:vAlign w:val="center"/>
            <w:shd w:fill="EEF4F7"/>
          </w:tcPr>
          <w:p>
            <w:pPr>
              <w:spacing w:after="20"/>
            </w:pPr>
            <w:r/>
            <w:r>
              <w:rPr>
                <w:b w:val="0"/>
                <w:sz w:val="17"/>
              </w:rPr>
              <w:t>Improves recovery from ransomware and destructive incidents.</w:t>
            </w:r>
          </w:p>
        </w:tc>
      </w:tr>
      <w:tr>
        <w:tc>
          <w:tcPr>
            <w:tcW w:type="dxa" w:w="3312"/>
            <w:vAlign w:val="center"/>
          </w:tcPr>
          <w:p>
            <w:pPr>
              <w:spacing w:after="20"/>
            </w:pPr>
            <w:r/>
            <w:r>
              <w:rPr>
                <w:b w:val="0"/>
                <w:sz w:val="17"/>
              </w:rPr>
              <w:t>Cloud security</w:t>
            </w:r>
          </w:p>
        </w:tc>
        <w:tc>
          <w:tcPr>
            <w:tcW w:type="dxa" w:w="3312"/>
            <w:vAlign w:val="center"/>
          </w:tcPr>
          <w:p>
            <w:pPr>
              <w:spacing w:after="20"/>
            </w:pPr>
            <w:r/>
            <w:r>
              <w:rPr>
                <w:b w:val="0"/>
                <w:sz w:val="17"/>
              </w:rPr>
              <w:t>Use secure baselines; least-privilege IAM; key rotation; audit logs; configuration drift alerts.</w:t>
            </w:r>
          </w:p>
        </w:tc>
        <w:tc>
          <w:tcPr>
            <w:tcW w:type="dxa" w:w="3312"/>
            <w:vAlign w:val="center"/>
          </w:tcPr>
          <w:p>
            <w:pPr>
              <w:spacing w:after="20"/>
            </w:pPr>
            <w:r/>
            <w:r>
              <w:rPr>
                <w:b w:val="0"/>
                <w:sz w:val="17"/>
              </w:rPr>
              <w:t>Reduces accidental exposure and identity abuse.</w:t>
            </w:r>
          </w:p>
        </w:tc>
      </w:tr>
      <w:tr>
        <w:tc>
          <w:tcPr>
            <w:tcW w:type="dxa" w:w="3312"/>
            <w:vAlign w:val="center"/>
            <w:shd w:fill="EEF4F7"/>
          </w:tcPr>
          <w:p>
            <w:pPr>
              <w:spacing w:after="20"/>
            </w:pPr>
            <w:r/>
            <w:r>
              <w:rPr>
                <w:b w:val="0"/>
                <w:sz w:val="17"/>
              </w:rPr>
              <w:t>Supplier security</w:t>
            </w:r>
          </w:p>
        </w:tc>
        <w:tc>
          <w:tcPr>
            <w:tcW w:type="dxa" w:w="3312"/>
            <w:vAlign w:val="center"/>
            <w:shd w:fill="EEF4F7"/>
          </w:tcPr>
          <w:p>
            <w:pPr>
              <w:spacing w:after="20"/>
            </w:pPr>
            <w:r/>
            <w:r>
              <w:rPr>
                <w:b w:val="0"/>
                <w:sz w:val="17"/>
              </w:rPr>
              <w:t>Assess critical vendors; scope remote access; require incident notification; monitor dependencies; test alternatives.</w:t>
            </w:r>
          </w:p>
        </w:tc>
        <w:tc>
          <w:tcPr>
            <w:tcW w:type="dxa" w:w="3312"/>
            <w:vAlign w:val="center"/>
            <w:shd w:fill="EEF4F7"/>
          </w:tcPr>
          <w:p>
            <w:pPr>
              <w:spacing w:after="20"/>
            </w:pPr>
            <w:r/>
            <w:r>
              <w:rPr>
                <w:b w:val="0"/>
                <w:sz w:val="17"/>
              </w:rPr>
              <w:t>Reduces inherited and concentration risk.</w:t>
            </w:r>
          </w:p>
        </w:tc>
      </w:tr>
    </w:tbl>
    <w:p/>
    <w:p>
      <w:pPr>
        <w:pStyle w:val="Heading2"/>
      </w:pPr>
      <w:r>
        <w:t>9.2 Recommended 30/60/90-day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b/>
                <w:color w:val="FFFFFF"/>
                <w:sz w:val="18"/>
              </w:rPr>
              <w:t>Period</w:t>
            </w:r>
          </w:p>
        </w:tc>
        <w:tc>
          <w:tcPr>
            <w:tcW w:type="dxa" w:w="3312"/>
            <w:vAlign w:val="center"/>
            <w:shd w:fill="12304A"/>
          </w:tcPr>
          <w:p>
            <w:pPr>
              <w:spacing w:after="20"/>
            </w:pPr>
            <w:r/>
            <w:r>
              <w:rPr>
                <w:b/>
                <w:color w:val="FFFFFF"/>
                <w:sz w:val="18"/>
              </w:rPr>
              <w:t>Priority actions</w:t>
            </w:r>
          </w:p>
        </w:tc>
        <w:tc>
          <w:tcPr>
            <w:tcW w:type="dxa" w:w="3312"/>
            <w:vAlign w:val="center"/>
            <w:shd w:fill="12304A"/>
          </w:tcPr>
          <w:p>
            <w:pPr>
              <w:spacing w:after="20"/>
            </w:pPr>
            <w:r/>
            <w:r>
              <w:rPr>
                <w:b/>
                <w:color w:val="FFFFFF"/>
                <w:sz w:val="18"/>
              </w:rPr>
              <w:t>Evidence of completion</w:t>
            </w:r>
          </w:p>
        </w:tc>
      </w:tr>
      <w:tr>
        <w:tc>
          <w:tcPr>
            <w:tcW w:type="dxa" w:w="3312"/>
            <w:vAlign w:val="center"/>
          </w:tcPr>
          <w:p>
            <w:pPr>
              <w:spacing w:after="20"/>
            </w:pPr>
            <w:r/>
            <w:r>
              <w:rPr>
                <w:b w:val="0"/>
                <w:sz w:val="17"/>
              </w:rPr>
              <w:t>Days 1–30: establish visibility</w:t>
            </w:r>
          </w:p>
        </w:tc>
        <w:tc>
          <w:tcPr>
            <w:tcW w:type="dxa" w:w="3312"/>
            <w:vAlign w:val="center"/>
          </w:tcPr>
          <w:p>
            <w:pPr>
              <w:spacing w:after="20"/>
            </w:pPr>
            <w:r/>
            <w:r>
              <w:rPr>
                <w:b w:val="0"/>
                <w:sz w:val="17"/>
              </w:rPr>
              <w:t>Confirm critical assets and owners; review privileged and remote access; identify KEV-listed exposed systems; verify backup status; define incident contacts.</w:t>
            </w:r>
          </w:p>
        </w:tc>
        <w:tc>
          <w:tcPr>
            <w:tcW w:type="dxa" w:w="3312"/>
            <w:vAlign w:val="center"/>
          </w:tcPr>
          <w:p>
            <w:pPr>
              <w:spacing w:after="20"/>
            </w:pPr>
            <w:r/>
            <w:r>
              <w:rPr>
                <w:b w:val="0"/>
                <w:sz w:val="17"/>
              </w:rPr>
              <w:t>Approved asset register; high-risk remediation list; MFA coverage report; backup test record.</w:t>
            </w:r>
          </w:p>
        </w:tc>
      </w:tr>
      <w:tr>
        <w:tc>
          <w:tcPr>
            <w:tcW w:type="dxa" w:w="3312"/>
            <w:vAlign w:val="center"/>
            <w:shd w:fill="EEF4F7"/>
          </w:tcPr>
          <w:p>
            <w:pPr>
              <w:spacing w:after="20"/>
            </w:pPr>
            <w:r/>
            <w:r>
              <w:rPr>
                <w:b w:val="0"/>
                <w:sz w:val="17"/>
              </w:rPr>
              <w:t>Days 31–60: reduce exposure</w:t>
            </w:r>
          </w:p>
        </w:tc>
        <w:tc>
          <w:tcPr>
            <w:tcW w:type="dxa" w:w="3312"/>
            <w:vAlign w:val="center"/>
            <w:shd w:fill="EEF4F7"/>
          </w:tcPr>
          <w:p>
            <w:pPr>
              <w:spacing w:after="20"/>
            </w:pPr>
            <w:r/>
            <w:r>
              <w:rPr>
                <w:b w:val="0"/>
                <w:sz w:val="17"/>
              </w:rPr>
              <w:t>Remediate priority vulnerabilities; remove stale accounts and keys; enforce MFA; improve endpoint and identity logging; review supplier access; run phishing and reporting exercises.</w:t>
            </w:r>
          </w:p>
        </w:tc>
        <w:tc>
          <w:tcPr>
            <w:tcW w:type="dxa" w:w="3312"/>
            <w:vAlign w:val="center"/>
            <w:shd w:fill="EEF4F7"/>
          </w:tcPr>
          <w:p>
            <w:pPr>
              <w:spacing w:after="20"/>
            </w:pPr>
            <w:r/>
            <w:r>
              <w:rPr>
                <w:b w:val="0"/>
                <w:sz w:val="17"/>
              </w:rPr>
              <w:t>Patch evidence; access-review sign-off; monitoring use cases; supplier review records.</w:t>
            </w:r>
          </w:p>
        </w:tc>
      </w:tr>
      <w:tr>
        <w:tc>
          <w:tcPr>
            <w:tcW w:type="dxa" w:w="3312"/>
            <w:vAlign w:val="center"/>
          </w:tcPr>
          <w:p>
            <w:pPr>
              <w:spacing w:after="20"/>
            </w:pPr>
            <w:r/>
            <w:r>
              <w:rPr>
                <w:b w:val="0"/>
                <w:sz w:val="17"/>
              </w:rPr>
              <w:t>Days 61–90: prove resilience</w:t>
            </w:r>
          </w:p>
        </w:tc>
        <w:tc>
          <w:tcPr>
            <w:tcW w:type="dxa" w:w="3312"/>
            <w:vAlign w:val="center"/>
          </w:tcPr>
          <w:p>
            <w:pPr>
              <w:spacing w:after="20"/>
            </w:pPr>
            <w:r/>
            <w:r>
              <w:rPr>
                <w:b w:val="0"/>
                <w:sz w:val="17"/>
              </w:rPr>
              <w:t>Conduct ransomware tabletop; restore a critical service from backup; test containment procedures; validate recovery objectives; close or formally accept exceptions.</w:t>
            </w:r>
          </w:p>
        </w:tc>
        <w:tc>
          <w:tcPr>
            <w:tcW w:type="dxa" w:w="3312"/>
            <w:vAlign w:val="center"/>
          </w:tcPr>
          <w:p>
            <w:pPr>
              <w:spacing w:after="20"/>
            </w:pPr>
            <w:r/>
            <w:r>
              <w:rPr>
                <w:b w:val="0"/>
                <w:sz w:val="17"/>
              </w:rPr>
              <w:t>Exercise report; measured recovery time; corrective-action tracker; risk-owner approvals.</w:t>
            </w:r>
          </w:p>
        </w:tc>
      </w:tr>
    </w:tbl>
    <w:p/>
    <w:p>
      <w:pPr>
        <w:pStyle w:val="Heading2"/>
      </w:pPr>
      <w:r>
        <w:t>9.3 Practical guidance for smaller organizations</w:t>
      </w:r>
    </w:p>
    <w:p>
      <w:r>
        <w:t>A small organization may not have a dedicated security operations center. It can still make meaningful improvements by enabling MFA on email and financial services, using automatic updates, maintaining at least one offline or immutable backup, limiting administrator accounts, securing the router and remote access, and establishing a written incident contact list. A reputable managed service provider can help, but its access should be scoped, logged, and protected by MFA.</w:t>
      </w:r>
    </w:p>
    <w:p>
      <w:pPr>
        <w:pStyle w:val="Heading2"/>
      </w:pPr>
      <w:r>
        <w:t>9.4 Secure-by-design practices</w:t>
      </w:r>
    </w:p>
    <w:p>
      <w:pPr>
        <w:pStyle w:val="ListBullet"/>
      </w:pPr>
      <w:r>
        <w:t>Make secure defaults the standard for new systems and projects.</w:t>
      </w:r>
    </w:p>
    <w:p>
      <w:pPr>
        <w:pStyle w:val="ListBullet"/>
      </w:pPr>
      <w:r>
        <w:t>Require threat modeling and security review for high-risk changes and public-facing applications.</w:t>
      </w:r>
    </w:p>
    <w:p>
      <w:pPr>
        <w:pStyle w:val="ListBullet"/>
      </w:pPr>
      <w:r>
        <w:t>Use code review, dependency scanning, secrets scanning, and controlled deployment pipelines.</w:t>
      </w:r>
    </w:p>
    <w:p>
      <w:pPr>
        <w:pStyle w:val="ListBullet"/>
      </w:pPr>
      <w:r>
        <w:t>Keep development, test, and production environments appropriately separated.</w:t>
      </w:r>
    </w:p>
    <w:p>
      <w:pPr>
        <w:pStyle w:val="ListBullet"/>
      </w:pPr>
      <w:r>
        <w:t>Document data flows, trust boundaries, and recovery dependencies.</w:t>
      </w:r>
    </w:p>
    <w:p>
      <w:pPr>
        <w:pStyle w:val="ListBullet"/>
      </w:pPr>
      <w:r>
        <w:t>Track vulnerabilities and exceptions to closure; do not rely on one-time compliance checks.</w:t>
      </w:r>
    </w:p>
    <w:p>
      <w:r>
        <w:br w:type="page"/>
      </w:r>
    </w:p>
    <w:p>
      <w:pPr>
        <w:pStyle w:val="Heading1"/>
      </w:pPr>
      <w:r>
        <w:t>10. Incident Response and Recovery</w:t>
      </w:r>
    </w:p>
    <w:p>
      <w:pPr>
        <w:pStyle w:val="Heading2"/>
      </w:pPr>
      <w:r>
        <w:t>10.1 Response lifecycle</w:t>
      </w:r>
    </w:p>
    <w:p>
      <w:r>
        <w:t>An incident-response plan should define who can declare an incident, who has authority to isolate systems, how evidence is preserved, who communicates externally, and how services are restored. The plan should be tested with realistic scenarios, not left as an unpracticed document.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b/>
                <w:color w:val="FFFFFF"/>
                <w:sz w:val="18"/>
              </w:rPr>
              <w:t>Phase</w:t>
            </w:r>
          </w:p>
        </w:tc>
        <w:tc>
          <w:tcPr>
            <w:tcW w:type="dxa" w:w="3312"/>
            <w:vAlign w:val="center"/>
            <w:shd w:fill="12304A"/>
          </w:tcPr>
          <w:p>
            <w:pPr>
              <w:spacing w:after="20"/>
            </w:pPr>
            <w:r/>
            <w:r>
              <w:rPr>
                <w:b/>
                <w:color w:val="FFFFFF"/>
                <w:sz w:val="18"/>
              </w:rPr>
              <w:t>Key actions</w:t>
            </w:r>
          </w:p>
        </w:tc>
        <w:tc>
          <w:tcPr>
            <w:tcW w:type="dxa" w:w="3312"/>
            <w:vAlign w:val="center"/>
            <w:shd w:fill="12304A"/>
          </w:tcPr>
          <w:p>
            <w:pPr>
              <w:spacing w:after="20"/>
            </w:pPr>
            <w:r/>
            <w:r>
              <w:rPr>
                <w:b/>
                <w:color w:val="FFFFFF"/>
                <w:sz w:val="18"/>
              </w:rPr>
              <w:t>Outputs</w:t>
            </w:r>
          </w:p>
        </w:tc>
      </w:tr>
      <w:tr>
        <w:tc>
          <w:tcPr>
            <w:tcW w:type="dxa" w:w="3312"/>
            <w:vAlign w:val="center"/>
          </w:tcPr>
          <w:p>
            <w:pPr>
              <w:spacing w:after="20"/>
            </w:pPr>
            <w:r/>
            <w:r>
              <w:rPr>
                <w:b w:val="0"/>
                <w:sz w:val="17"/>
              </w:rPr>
              <w:t>Preparation</w:t>
            </w:r>
          </w:p>
        </w:tc>
        <w:tc>
          <w:tcPr>
            <w:tcW w:type="dxa" w:w="3312"/>
            <w:vAlign w:val="center"/>
          </w:tcPr>
          <w:p>
            <w:pPr>
              <w:spacing w:after="20"/>
            </w:pPr>
            <w:r/>
            <w:r>
              <w:rPr>
                <w:b w:val="0"/>
                <w:sz w:val="17"/>
              </w:rPr>
              <w:t>Assign roles; maintain contact lists; logging; playbooks; backups; tabletop exercises.</w:t>
            </w:r>
          </w:p>
        </w:tc>
        <w:tc>
          <w:tcPr>
            <w:tcW w:type="dxa" w:w="3312"/>
            <w:vAlign w:val="center"/>
          </w:tcPr>
          <w:p>
            <w:pPr>
              <w:spacing w:after="20"/>
            </w:pPr>
            <w:r/>
            <w:r>
              <w:rPr>
                <w:b w:val="0"/>
                <w:sz w:val="17"/>
              </w:rPr>
              <w:t>Approved plan, trained responders, tested tools.</w:t>
            </w:r>
          </w:p>
        </w:tc>
      </w:tr>
      <w:tr>
        <w:tc>
          <w:tcPr>
            <w:tcW w:type="dxa" w:w="3312"/>
            <w:vAlign w:val="center"/>
            <w:shd w:fill="EEF4F7"/>
          </w:tcPr>
          <w:p>
            <w:pPr>
              <w:spacing w:after="20"/>
            </w:pPr>
            <w:r/>
            <w:r>
              <w:rPr>
                <w:b w:val="0"/>
                <w:sz w:val="17"/>
              </w:rPr>
              <w:t>Detection and analysis</w:t>
            </w:r>
          </w:p>
        </w:tc>
        <w:tc>
          <w:tcPr>
            <w:tcW w:type="dxa" w:w="3312"/>
            <w:vAlign w:val="center"/>
            <w:shd w:fill="EEF4F7"/>
          </w:tcPr>
          <w:p>
            <w:pPr>
              <w:spacing w:after="20"/>
            </w:pPr>
            <w:r/>
            <w:r>
              <w:rPr>
                <w:b w:val="0"/>
                <w:sz w:val="17"/>
              </w:rPr>
              <w:t>Validate alerts; determine scope; preserve evidence; identify affected identities, assets, and data.</w:t>
            </w:r>
          </w:p>
        </w:tc>
        <w:tc>
          <w:tcPr>
            <w:tcW w:type="dxa" w:w="3312"/>
            <w:vAlign w:val="center"/>
            <w:shd w:fill="EEF4F7"/>
          </w:tcPr>
          <w:p>
            <w:pPr>
              <w:spacing w:after="20"/>
            </w:pPr>
            <w:r/>
            <w:r>
              <w:rPr>
                <w:b w:val="0"/>
                <w:sz w:val="17"/>
              </w:rPr>
              <w:t>Incident timeline, severity classification, scope estimate.</w:t>
            </w:r>
          </w:p>
        </w:tc>
      </w:tr>
      <w:tr>
        <w:tc>
          <w:tcPr>
            <w:tcW w:type="dxa" w:w="3312"/>
            <w:vAlign w:val="center"/>
          </w:tcPr>
          <w:p>
            <w:pPr>
              <w:spacing w:after="20"/>
            </w:pPr>
            <w:r/>
            <w:r>
              <w:rPr>
                <w:b w:val="0"/>
                <w:sz w:val="17"/>
              </w:rPr>
              <w:t>Containment</w:t>
            </w:r>
          </w:p>
        </w:tc>
        <w:tc>
          <w:tcPr>
            <w:tcW w:type="dxa" w:w="3312"/>
            <w:vAlign w:val="center"/>
          </w:tcPr>
          <w:p>
            <w:pPr>
              <w:spacing w:after="20"/>
            </w:pPr>
            <w:r/>
            <w:r>
              <w:rPr>
                <w:b w:val="0"/>
                <w:sz w:val="17"/>
              </w:rPr>
              <w:t>Isolate affected endpoints; disable compromised accounts; revoke tokens; block malicious paths; coordinate with providers.</w:t>
            </w:r>
          </w:p>
        </w:tc>
        <w:tc>
          <w:tcPr>
            <w:tcW w:type="dxa" w:w="3312"/>
            <w:vAlign w:val="center"/>
          </w:tcPr>
          <w:p>
            <w:pPr>
              <w:spacing w:after="20"/>
            </w:pPr>
            <w:r/>
            <w:r>
              <w:rPr>
                <w:b w:val="0"/>
                <w:sz w:val="17"/>
              </w:rPr>
              <w:t>Containment record and documented decisions.</w:t>
            </w:r>
          </w:p>
        </w:tc>
      </w:tr>
      <w:tr>
        <w:tc>
          <w:tcPr>
            <w:tcW w:type="dxa" w:w="3312"/>
            <w:vAlign w:val="center"/>
            <w:shd w:fill="EEF4F7"/>
          </w:tcPr>
          <w:p>
            <w:pPr>
              <w:spacing w:after="20"/>
            </w:pPr>
            <w:r/>
            <w:r>
              <w:rPr>
                <w:b w:val="0"/>
                <w:sz w:val="17"/>
              </w:rPr>
              <w:t>Eradication</w:t>
            </w:r>
          </w:p>
        </w:tc>
        <w:tc>
          <w:tcPr>
            <w:tcW w:type="dxa" w:w="3312"/>
            <w:vAlign w:val="center"/>
            <w:shd w:fill="EEF4F7"/>
          </w:tcPr>
          <w:p>
            <w:pPr>
              <w:spacing w:after="20"/>
            </w:pPr>
            <w:r/>
            <w:r>
              <w:rPr>
                <w:b w:val="0"/>
                <w:sz w:val="17"/>
              </w:rPr>
              <w:t>Remove persistence; patch root cause; rotate exposed secrets; rebuild compromised systems where needed.</w:t>
            </w:r>
          </w:p>
        </w:tc>
        <w:tc>
          <w:tcPr>
            <w:tcW w:type="dxa" w:w="3312"/>
            <w:vAlign w:val="center"/>
            <w:shd w:fill="EEF4F7"/>
          </w:tcPr>
          <w:p>
            <w:pPr>
              <w:spacing w:after="20"/>
            </w:pPr>
            <w:r/>
            <w:r>
              <w:rPr>
                <w:b w:val="0"/>
                <w:sz w:val="17"/>
              </w:rPr>
              <w:t>Verified clean state and root-cause record.</w:t>
            </w:r>
          </w:p>
        </w:tc>
      </w:tr>
      <w:tr>
        <w:tc>
          <w:tcPr>
            <w:tcW w:type="dxa" w:w="3312"/>
            <w:vAlign w:val="center"/>
          </w:tcPr>
          <w:p>
            <w:pPr>
              <w:spacing w:after="20"/>
            </w:pPr>
            <w:r/>
            <w:r>
              <w:rPr>
                <w:b w:val="0"/>
                <w:sz w:val="17"/>
              </w:rPr>
              <w:t>Recovery</w:t>
            </w:r>
          </w:p>
        </w:tc>
        <w:tc>
          <w:tcPr>
            <w:tcW w:type="dxa" w:w="3312"/>
            <w:vAlign w:val="center"/>
          </w:tcPr>
          <w:p>
            <w:pPr>
              <w:spacing w:after="20"/>
            </w:pPr>
            <w:r/>
            <w:r>
              <w:rPr>
                <w:b w:val="0"/>
                <w:sz w:val="17"/>
              </w:rPr>
              <w:t>Restore from trusted backups; validate integrity; monitor for recurrence; resume service in stages.</w:t>
            </w:r>
          </w:p>
        </w:tc>
        <w:tc>
          <w:tcPr>
            <w:tcW w:type="dxa" w:w="3312"/>
            <w:vAlign w:val="center"/>
          </w:tcPr>
          <w:p>
            <w:pPr>
              <w:spacing w:after="20"/>
            </w:pPr>
            <w:r/>
            <w:r>
              <w:rPr>
                <w:b w:val="0"/>
                <w:sz w:val="17"/>
              </w:rPr>
              <w:t>Recovery approval and service validation.</w:t>
            </w:r>
          </w:p>
        </w:tc>
      </w:tr>
      <w:tr>
        <w:tc>
          <w:tcPr>
            <w:tcW w:type="dxa" w:w="3312"/>
            <w:vAlign w:val="center"/>
            <w:shd w:fill="EEF4F7"/>
          </w:tcPr>
          <w:p>
            <w:pPr>
              <w:spacing w:after="20"/>
            </w:pPr>
            <w:r/>
            <w:r>
              <w:rPr>
                <w:b w:val="0"/>
                <w:sz w:val="17"/>
              </w:rPr>
              <w:t>Lessons learned</w:t>
            </w:r>
          </w:p>
        </w:tc>
        <w:tc>
          <w:tcPr>
            <w:tcW w:type="dxa" w:w="3312"/>
            <w:vAlign w:val="center"/>
            <w:shd w:fill="EEF4F7"/>
          </w:tcPr>
          <w:p>
            <w:pPr>
              <w:spacing w:after="20"/>
            </w:pPr>
            <w:r/>
            <w:r>
              <w:rPr>
                <w:b w:val="0"/>
                <w:sz w:val="17"/>
              </w:rPr>
              <w:t>Review what worked; identify control gaps; assign corrective actions; update playbooks.</w:t>
            </w:r>
          </w:p>
        </w:tc>
        <w:tc>
          <w:tcPr>
            <w:tcW w:type="dxa" w:w="3312"/>
            <w:vAlign w:val="center"/>
            <w:shd w:fill="EEF4F7"/>
          </w:tcPr>
          <w:p>
            <w:pPr>
              <w:spacing w:after="20"/>
            </w:pPr>
            <w:r/>
            <w:r>
              <w:rPr>
                <w:b w:val="0"/>
                <w:sz w:val="17"/>
              </w:rPr>
              <w:t>After-action report with owners and deadlines.</w:t>
            </w:r>
          </w:p>
        </w:tc>
      </w:tr>
    </w:tbl>
    <w:p/>
    <w:p>
      <w:pPr>
        <w:pStyle w:val="Heading2"/>
      </w:pPr>
      <w:r>
        <w:t>10.2 First-hour checklist</w:t>
      </w:r>
    </w:p>
    <w:p>
      <w:pPr>
        <w:pStyle w:val="ListBullet"/>
      </w:pPr>
      <w:r>
        <w:t>Activate the incident lead and record the time, source, and initial symptoms.</w:t>
      </w:r>
    </w:p>
    <w:p>
      <w:pPr>
        <w:pStyle w:val="ListBullet"/>
      </w:pPr>
      <w:r>
        <w:t>Use trusted channels to coordinate; assume compromised email or collaboration accounts may be monitored.</w:t>
      </w:r>
    </w:p>
    <w:p>
      <w:pPr>
        <w:pStyle w:val="ListBullet"/>
      </w:pPr>
      <w:r>
        <w:t>Preserve relevant logs and evidence; record actions and timestamps.</w:t>
      </w:r>
    </w:p>
    <w:p>
      <w:pPr>
        <w:pStyle w:val="ListBullet"/>
      </w:pPr>
      <w:r>
        <w:t>Contain safely: isolate affected systems or disable accounts when the risk justifies it, while considering operational and safety consequences.</w:t>
      </w:r>
    </w:p>
    <w:p>
      <w:pPr>
        <w:pStyle w:val="ListBullet"/>
      </w:pPr>
      <w:r>
        <w:t>Protect backups and management consoles; prevent attackers from expanding access.</w:t>
      </w:r>
    </w:p>
    <w:p>
      <w:pPr>
        <w:pStyle w:val="ListBullet"/>
      </w:pPr>
      <w:r>
        <w:t>Determine whether personal, regulated, or commercially sensitive data may be involved.</w:t>
      </w:r>
    </w:p>
    <w:p>
      <w:pPr>
        <w:pStyle w:val="ListBullet"/>
      </w:pPr>
      <w:r>
        <w:t>Notify leadership, legal/privacy staff, insurers, service providers, and authorities as required by applicable obligations.</w:t>
      </w:r>
    </w:p>
    <w:p>
      <w:pPr>
        <w:pStyle w:val="ListBullet"/>
      </w:pPr>
      <w:r>
        <w:t>Communicate confirmed facts only; avoid speculation and unauthorized public statements.</w:t>
      </w:r>
    </w:p>
    <w:p>
      <w:pPr>
        <w:pStyle w:val="Heading2"/>
      </w:pPr>
      <w:r>
        <w:t>10.3 Ransomware-specific considerations</w:t>
      </w:r>
    </w:p>
    <w:p>
      <w:r>
        <w:t>Do not immediately wipe affected systems before considering evidence preservation and root-cause analysis. Isolate infected devices, disable compromised credentials, restrict unnecessary network connections, and protect backup infrastructure. Recovery should use known-good systems and verified backups. Leadership should involve legal, law enforcement, insurance, and specialist responders as appropriate. Decisions about ransom demands require legal and regulatory advice and must never be treated as a guaranteed route to recovery.</w:t>
      </w:r>
    </w:p>
    <w:p>
      <w:pPr>
        <w:pStyle w:val="Heading2"/>
      </w:pPr>
      <w:r>
        <w:t>10.4 Recovery objectives</w:t>
      </w:r>
    </w:p>
    <w:p>
      <w:r>
        <w:t>The recovery time objective (RTO) is the target time within which a service should be restored after disruption. The recovery point objective (RPO) is the maximum acceptable amount of data loss measured in time. These objectives should be approved by business owners, tested against actual recovery performance, and updated when systems or dependencies change.</w:t>
      </w:r>
    </w:p>
    <w:p>
      <w:r>
        <w:br w:type="page"/>
      </w:r>
    </w:p>
    <w:p>
      <w:pPr>
        <w:pStyle w:val="Heading1"/>
      </w:pPr>
      <w:r>
        <w:t>11. Metrics and Evaluation</w:t>
      </w:r>
    </w:p>
    <w:p>
      <w:pPr>
        <w:pStyle w:val="Heading2"/>
      </w:pPr>
      <w:r>
        <w:t>11.1 Suggested security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20"/>
            </w:pPr>
            <w:r/>
            <w:r>
              <w:rPr>
                <w:b/>
                <w:color w:val="FFFFFF"/>
                <w:sz w:val="18"/>
              </w:rPr>
              <w:t>Metric</w:t>
            </w:r>
          </w:p>
        </w:tc>
        <w:tc>
          <w:tcPr>
            <w:tcW w:type="dxa" w:w="3312"/>
            <w:vAlign w:val="center"/>
            <w:shd w:fill="12304A"/>
          </w:tcPr>
          <w:p>
            <w:pPr>
              <w:spacing w:after="20"/>
            </w:pPr>
            <w:r/>
            <w:r>
              <w:rPr>
                <w:b/>
                <w:color w:val="FFFFFF"/>
                <w:sz w:val="18"/>
              </w:rPr>
              <w:t>What it measures</w:t>
            </w:r>
          </w:p>
        </w:tc>
        <w:tc>
          <w:tcPr>
            <w:tcW w:type="dxa" w:w="3312"/>
            <w:vAlign w:val="center"/>
            <w:shd w:fill="12304A"/>
          </w:tcPr>
          <w:p>
            <w:pPr>
              <w:spacing w:after="20"/>
            </w:pPr>
            <w:r/>
            <w:r>
              <w:rPr>
                <w:b/>
                <w:color w:val="FFFFFF"/>
                <w:sz w:val="18"/>
              </w:rPr>
              <w:t>Example target-setting approach</w:t>
            </w:r>
          </w:p>
        </w:tc>
      </w:tr>
      <w:tr>
        <w:tc>
          <w:tcPr>
            <w:tcW w:type="dxa" w:w="3312"/>
            <w:vAlign w:val="center"/>
          </w:tcPr>
          <w:p>
            <w:pPr>
              <w:spacing w:after="20"/>
            </w:pPr>
            <w:r/>
            <w:r>
              <w:rPr>
                <w:b w:val="0"/>
                <w:sz w:val="17"/>
              </w:rPr>
              <w:t>Critical asset inventory coverage</w:t>
            </w:r>
          </w:p>
        </w:tc>
        <w:tc>
          <w:tcPr>
            <w:tcW w:type="dxa" w:w="3312"/>
            <w:vAlign w:val="center"/>
          </w:tcPr>
          <w:p>
            <w:pPr>
              <w:spacing w:after="20"/>
            </w:pPr>
            <w:r/>
            <w:r>
              <w:rPr>
                <w:b w:val="0"/>
                <w:sz w:val="17"/>
              </w:rPr>
              <w:t>Percentage of critical assets recorded with an owner and classification.</w:t>
            </w:r>
          </w:p>
        </w:tc>
        <w:tc>
          <w:tcPr>
            <w:tcW w:type="dxa" w:w="3312"/>
            <w:vAlign w:val="center"/>
          </w:tcPr>
          <w:p>
            <w:pPr>
              <w:spacing w:after="20"/>
            </w:pPr>
            <w:r/>
            <w:r>
              <w:rPr>
                <w:b w:val="0"/>
                <w:sz w:val="17"/>
              </w:rPr>
              <w:t>Set a target near complete coverage and investigate unknown assets.</w:t>
            </w:r>
          </w:p>
        </w:tc>
      </w:tr>
      <w:tr>
        <w:tc>
          <w:tcPr>
            <w:tcW w:type="dxa" w:w="3312"/>
            <w:vAlign w:val="center"/>
            <w:shd w:fill="EEF4F7"/>
          </w:tcPr>
          <w:p>
            <w:pPr>
              <w:spacing w:after="20"/>
            </w:pPr>
            <w:r/>
            <w:r>
              <w:rPr>
                <w:b w:val="0"/>
                <w:sz w:val="17"/>
              </w:rPr>
              <w:t>KEV remediation time</w:t>
            </w:r>
          </w:p>
        </w:tc>
        <w:tc>
          <w:tcPr>
            <w:tcW w:type="dxa" w:w="3312"/>
            <w:vAlign w:val="center"/>
            <w:shd w:fill="EEF4F7"/>
          </w:tcPr>
          <w:p>
            <w:pPr>
              <w:spacing w:after="20"/>
            </w:pPr>
            <w:r/>
            <w:r>
              <w:rPr>
                <w:b w:val="0"/>
                <w:sz w:val="17"/>
              </w:rPr>
              <w:t>Elapsed time between identifying an exposed KEV-listed issue and verified mitigation.</w:t>
            </w:r>
          </w:p>
        </w:tc>
        <w:tc>
          <w:tcPr>
            <w:tcW w:type="dxa" w:w="3312"/>
            <w:vAlign w:val="center"/>
            <w:shd w:fill="EEF4F7"/>
          </w:tcPr>
          <w:p>
            <w:pPr>
              <w:spacing w:after="20"/>
            </w:pPr>
            <w:r/>
            <w:r>
              <w:rPr>
                <w:b w:val="0"/>
                <w:sz w:val="17"/>
              </w:rPr>
              <w:t>Define shorter deadlines for internet-facing and critical systems.</w:t>
            </w:r>
          </w:p>
        </w:tc>
      </w:tr>
      <w:tr>
        <w:tc>
          <w:tcPr>
            <w:tcW w:type="dxa" w:w="3312"/>
            <w:vAlign w:val="center"/>
          </w:tcPr>
          <w:p>
            <w:pPr>
              <w:spacing w:after="20"/>
            </w:pPr>
            <w:r/>
            <w:r>
              <w:rPr>
                <w:b w:val="0"/>
                <w:sz w:val="17"/>
              </w:rPr>
              <w:t>MFA coverage</w:t>
            </w:r>
          </w:p>
        </w:tc>
        <w:tc>
          <w:tcPr>
            <w:tcW w:type="dxa" w:w="3312"/>
            <w:vAlign w:val="center"/>
          </w:tcPr>
          <w:p>
            <w:pPr>
              <w:spacing w:after="20"/>
            </w:pPr>
            <w:r/>
            <w:r>
              <w:rPr>
                <w:b w:val="0"/>
                <w:sz w:val="17"/>
              </w:rPr>
              <w:t>Percentage of workforce, privileged, and remote-access accounts protected by MFA.</w:t>
            </w:r>
          </w:p>
        </w:tc>
        <w:tc>
          <w:tcPr>
            <w:tcW w:type="dxa" w:w="3312"/>
            <w:vAlign w:val="center"/>
          </w:tcPr>
          <w:p>
            <w:pPr>
              <w:spacing w:after="20"/>
            </w:pPr>
            <w:r/>
            <w:r>
              <w:rPr>
                <w:b w:val="0"/>
                <w:sz w:val="17"/>
              </w:rPr>
              <w:t>Prioritize privileged and remote-access identities; report exceptions.</w:t>
            </w:r>
          </w:p>
        </w:tc>
      </w:tr>
      <w:tr>
        <w:tc>
          <w:tcPr>
            <w:tcW w:type="dxa" w:w="3312"/>
            <w:vAlign w:val="center"/>
            <w:shd w:fill="EEF4F7"/>
          </w:tcPr>
          <w:p>
            <w:pPr>
              <w:spacing w:after="20"/>
            </w:pPr>
            <w:r/>
            <w:r>
              <w:rPr>
                <w:b w:val="0"/>
                <w:sz w:val="17"/>
              </w:rPr>
              <w:t>Endpoint visibility</w:t>
            </w:r>
          </w:p>
        </w:tc>
        <w:tc>
          <w:tcPr>
            <w:tcW w:type="dxa" w:w="3312"/>
            <w:vAlign w:val="center"/>
            <w:shd w:fill="EEF4F7"/>
          </w:tcPr>
          <w:p>
            <w:pPr>
              <w:spacing w:after="20"/>
            </w:pPr>
            <w:r/>
            <w:r>
              <w:rPr>
                <w:b w:val="0"/>
                <w:sz w:val="17"/>
              </w:rPr>
              <w:t>Percentage of supported endpoints reporting to approved security monitoring.</w:t>
            </w:r>
          </w:p>
        </w:tc>
        <w:tc>
          <w:tcPr>
            <w:tcW w:type="dxa" w:w="3312"/>
            <w:vAlign w:val="center"/>
            <w:shd w:fill="EEF4F7"/>
          </w:tcPr>
          <w:p>
            <w:pPr>
              <w:spacing w:after="20"/>
            </w:pPr>
            <w:r/>
            <w:r>
              <w:rPr>
                <w:b w:val="0"/>
                <w:sz w:val="17"/>
              </w:rPr>
              <w:t>Investigate unmanaged devices and stale sensors.</w:t>
            </w:r>
          </w:p>
        </w:tc>
      </w:tr>
      <w:tr>
        <w:tc>
          <w:tcPr>
            <w:tcW w:type="dxa" w:w="3312"/>
            <w:vAlign w:val="center"/>
          </w:tcPr>
          <w:p>
            <w:pPr>
              <w:spacing w:after="20"/>
            </w:pPr>
            <w:r/>
            <w:r>
              <w:rPr>
                <w:b w:val="0"/>
                <w:sz w:val="17"/>
              </w:rPr>
              <w:t>Backup restoration success</w:t>
            </w:r>
          </w:p>
        </w:tc>
        <w:tc>
          <w:tcPr>
            <w:tcW w:type="dxa" w:w="3312"/>
            <w:vAlign w:val="center"/>
          </w:tcPr>
          <w:p>
            <w:pPr>
              <w:spacing w:after="20"/>
            </w:pPr>
            <w:r/>
            <w:r>
              <w:rPr>
                <w:b w:val="0"/>
                <w:sz w:val="17"/>
              </w:rPr>
              <w:t>Percentage of scheduled restoration tests that meet integrity and timing requirements.</w:t>
            </w:r>
          </w:p>
        </w:tc>
        <w:tc>
          <w:tcPr>
            <w:tcW w:type="dxa" w:w="3312"/>
            <w:vAlign w:val="center"/>
          </w:tcPr>
          <w:p>
            <w:pPr>
              <w:spacing w:after="20"/>
            </w:pPr>
            <w:r/>
            <w:r>
              <w:rPr>
                <w:b w:val="0"/>
                <w:sz w:val="17"/>
              </w:rPr>
              <w:t>Test critical services on a planned cadence.</w:t>
            </w:r>
          </w:p>
        </w:tc>
      </w:tr>
      <w:tr>
        <w:tc>
          <w:tcPr>
            <w:tcW w:type="dxa" w:w="3312"/>
            <w:vAlign w:val="center"/>
            <w:shd w:fill="EEF4F7"/>
          </w:tcPr>
          <w:p>
            <w:pPr>
              <w:spacing w:after="20"/>
            </w:pPr>
            <w:r/>
            <w:r>
              <w:rPr>
                <w:b w:val="0"/>
                <w:sz w:val="17"/>
              </w:rPr>
              <w:t>Mean time to detect (MTTD)</w:t>
            </w:r>
          </w:p>
        </w:tc>
        <w:tc>
          <w:tcPr>
            <w:tcW w:type="dxa" w:w="3312"/>
            <w:vAlign w:val="center"/>
            <w:shd w:fill="EEF4F7"/>
          </w:tcPr>
          <w:p>
            <w:pPr>
              <w:spacing w:after="20"/>
            </w:pPr>
            <w:r/>
            <w:r>
              <w:rPr>
                <w:b w:val="0"/>
                <w:sz w:val="17"/>
              </w:rPr>
              <w:t>Average time from incident start to detection.</w:t>
            </w:r>
          </w:p>
        </w:tc>
        <w:tc>
          <w:tcPr>
            <w:tcW w:type="dxa" w:w="3312"/>
            <w:vAlign w:val="center"/>
            <w:shd w:fill="EEF4F7"/>
          </w:tcPr>
          <w:p>
            <w:pPr>
              <w:spacing w:after="20"/>
            </w:pPr>
            <w:r/>
            <w:r>
              <w:rPr>
                <w:b w:val="0"/>
                <w:sz w:val="17"/>
              </w:rPr>
              <w:t>Track trends by incident type; improve telemetry and alert quality.</w:t>
            </w:r>
          </w:p>
        </w:tc>
      </w:tr>
      <w:tr>
        <w:tc>
          <w:tcPr>
            <w:tcW w:type="dxa" w:w="3312"/>
            <w:vAlign w:val="center"/>
          </w:tcPr>
          <w:p>
            <w:pPr>
              <w:spacing w:after="20"/>
            </w:pPr>
            <w:r/>
            <w:r>
              <w:rPr>
                <w:b w:val="0"/>
                <w:sz w:val="17"/>
              </w:rPr>
              <w:t>Mean time to contain (MTTC)</w:t>
            </w:r>
          </w:p>
        </w:tc>
        <w:tc>
          <w:tcPr>
            <w:tcW w:type="dxa" w:w="3312"/>
            <w:vAlign w:val="center"/>
          </w:tcPr>
          <w:p>
            <w:pPr>
              <w:spacing w:after="20"/>
            </w:pPr>
            <w:r/>
            <w:r>
              <w:rPr>
                <w:b w:val="0"/>
                <w:sz w:val="17"/>
              </w:rPr>
              <w:t>Average time from detection to containment.</w:t>
            </w:r>
          </w:p>
        </w:tc>
        <w:tc>
          <w:tcPr>
            <w:tcW w:type="dxa" w:w="3312"/>
            <w:vAlign w:val="center"/>
          </w:tcPr>
          <w:p>
            <w:pPr>
              <w:spacing w:after="20"/>
            </w:pPr>
            <w:r/>
            <w:r>
              <w:rPr>
                <w:b w:val="0"/>
                <w:sz w:val="17"/>
              </w:rPr>
              <w:t>Practice playbooks and measure decision delays.</w:t>
            </w:r>
          </w:p>
        </w:tc>
      </w:tr>
      <w:tr>
        <w:tc>
          <w:tcPr>
            <w:tcW w:type="dxa" w:w="3312"/>
            <w:vAlign w:val="center"/>
            <w:shd w:fill="EEF4F7"/>
          </w:tcPr>
          <w:p>
            <w:pPr>
              <w:spacing w:after="20"/>
            </w:pPr>
            <w:r/>
            <w:r>
              <w:rPr>
                <w:b w:val="0"/>
                <w:sz w:val="17"/>
              </w:rPr>
              <w:t>Supplier access review</w:t>
            </w:r>
          </w:p>
        </w:tc>
        <w:tc>
          <w:tcPr>
            <w:tcW w:type="dxa" w:w="3312"/>
            <w:vAlign w:val="center"/>
            <w:shd w:fill="EEF4F7"/>
          </w:tcPr>
          <w:p>
            <w:pPr>
              <w:spacing w:after="20"/>
            </w:pPr>
            <w:r/>
            <w:r>
              <w:rPr>
                <w:b w:val="0"/>
                <w:sz w:val="17"/>
              </w:rPr>
              <w:t>Percentage of critical suppliers reviewed and access-checked within the required period.</w:t>
            </w:r>
          </w:p>
        </w:tc>
        <w:tc>
          <w:tcPr>
            <w:tcW w:type="dxa" w:w="3312"/>
            <w:vAlign w:val="center"/>
            <w:shd w:fill="EEF4F7"/>
          </w:tcPr>
          <w:p>
            <w:pPr>
              <w:spacing w:after="20"/>
            </w:pPr>
            <w:r/>
            <w:r>
              <w:rPr>
                <w:b w:val="0"/>
                <w:sz w:val="17"/>
              </w:rPr>
              <w:t>Set a risk-based review schedule and close expired access.</w:t>
            </w:r>
          </w:p>
        </w:tc>
      </w:tr>
      <w:tr>
        <w:tc>
          <w:tcPr>
            <w:tcW w:type="dxa" w:w="3312"/>
            <w:vAlign w:val="center"/>
          </w:tcPr>
          <w:p>
            <w:pPr>
              <w:spacing w:after="20"/>
            </w:pPr>
            <w:r/>
            <w:r>
              <w:rPr>
                <w:b w:val="0"/>
                <w:sz w:val="17"/>
              </w:rPr>
              <w:t>Phishing report rate</w:t>
            </w:r>
          </w:p>
        </w:tc>
        <w:tc>
          <w:tcPr>
            <w:tcW w:type="dxa" w:w="3312"/>
            <w:vAlign w:val="center"/>
          </w:tcPr>
          <w:p>
            <w:pPr>
              <w:spacing w:after="20"/>
            </w:pPr>
            <w:r/>
            <w:r>
              <w:rPr>
                <w:b w:val="0"/>
                <w:sz w:val="17"/>
              </w:rPr>
              <w:t>Proportion of simulated or real suspicious messages reported through the approved channel.</w:t>
            </w:r>
          </w:p>
        </w:tc>
        <w:tc>
          <w:tcPr>
            <w:tcW w:type="dxa" w:w="3312"/>
            <w:vAlign w:val="center"/>
          </w:tcPr>
          <w:p>
            <w:pPr>
              <w:spacing w:after="20"/>
            </w:pPr>
            <w:r/>
            <w:r>
              <w:rPr>
                <w:b w:val="0"/>
                <w:sz w:val="17"/>
              </w:rPr>
              <w:t>Measure improvement without shaming individuals.</w:t>
            </w:r>
          </w:p>
        </w:tc>
      </w:tr>
      <w:tr>
        <w:tc>
          <w:tcPr>
            <w:tcW w:type="dxa" w:w="3312"/>
            <w:vAlign w:val="center"/>
            <w:shd w:fill="EEF4F7"/>
          </w:tcPr>
          <w:p>
            <w:pPr>
              <w:spacing w:after="20"/>
            </w:pPr>
            <w:r/>
            <w:r>
              <w:rPr>
                <w:b w:val="0"/>
                <w:sz w:val="17"/>
              </w:rPr>
              <w:t>Overdue high-risk actions</w:t>
            </w:r>
          </w:p>
        </w:tc>
        <w:tc>
          <w:tcPr>
            <w:tcW w:type="dxa" w:w="3312"/>
            <w:vAlign w:val="center"/>
            <w:shd w:fill="EEF4F7"/>
          </w:tcPr>
          <w:p>
            <w:pPr>
              <w:spacing w:after="20"/>
            </w:pPr>
            <w:r/>
            <w:r>
              <w:rPr>
                <w:b w:val="0"/>
                <w:sz w:val="17"/>
              </w:rPr>
              <w:t>Count and age of unresolved high-priority remediation items.</w:t>
            </w:r>
          </w:p>
        </w:tc>
        <w:tc>
          <w:tcPr>
            <w:tcW w:type="dxa" w:w="3312"/>
            <w:vAlign w:val="center"/>
            <w:shd w:fill="EEF4F7"/>
          </w:tcPr>
          <w:p>
            <w:pPr>
              <w:spacing w:after="20"/>
            </w:pPr>
            <w:r/>
            <w:r>
              <w:rPr>
                <w:b w:val="0"/>
                <w:sz w:val="17"/>
              </w:rPr>
              <w:t>Assign owners and escalate expired risk exceptions.</w:t>
            </w:r>
          </w:p>
        </w:tc>
      </w:tr>
    </w:tbl>
    <w:p/>
    <w:p>
      <w:pPr>
        <w:pStyle w:val="Heading2"/>
      </w:pPr>
      <w:r>
        <w:t>11.2 Avoiding misleading metrics</w:t>
      </w:r>
    </w:p>
    <w:p>
      <w:r>
        <w:t>A high number of detected alerts does not automatically mean security is poor; it may indicate improved visibility. A low incident count may reflect under-reporting rather than low risk. Metrics should include context, definitions, trends, coverage, and evidence of actual risk reduction. Avoid using phishing simulations to punish staff or relying on compliance percentages without validating that controls work.</w:t>
      </w:r>
    </w:p>
    <w:p>
      <w:pPr>
        <w:pStyle w:val="Heading2"/>
      </w:pPr>
      <w:r>
        <w:t>11.3 Evaluation framework for this task</w:t>
      </w:r>
    </w:p>
    <w:p>
      <w:r>
        <w:t>The Week 1 task is evaluated on depth of research, clarity of analysis, and completeness. This report addresses those dimensions through source-based trend analysis, attack-vector explanations, impact mapping, incident case studies, a qualitative threat register, prioritized mitigations, a response lifecycle, and measurable control recommendations. Before submission, the intern should verify that the portal accepts DOCX, confirm any organization-specific formatting rules, and check that the name and dates are correct.</w:t>
      </w:r>
    </w:p>
    <w:p>
      <w:r>
        <w:br w:type="page"/>
      </w:r>
    </w:p>
    <w:p>
      <w:pPr>
        <w:pStyle w:val="Heading1"/>
      </w:pPr>
      <w:r>
        <w:t>12. Conclusion</w:t>
      </w:r>
    </w:p>
    <w:p>
      <w:r>
        <w:t>The 2026 cyber threat landscape is not defined by a single new attack. It is defined by the combination of familiar methods, faster exploitation, broader digital dependencies, and increasingly convincing social engineering. Ransomware and data theft can interrupt essential services; compromised credentials can make malicious activity appear legitimate; vulnerable internet-facing systems can provide rapid entry; and supplier incidents can propagate beyond the original victim.</w:t>
      </w:r>
    </w:p>
    <w:p>
      <w:r>
        <w:t>The most effective defensive strategy begins with knowing what must be protected and who is responsible for it. Organizations should maintain accurate asset inventories, remediate known exploited vulnerabilities according to risk, enforce strong authentication, reduce unnecessary privileges, segment critical systems, monitor identity and endpoint activity, and maintain recoverable backups. Third-party dependencies and AI use should be included in security governance rather than treated as separate concerns.</w:t>
      </w:r>
    </w:p>
    <w:p>
      <w:r>
        <w:t>Security maturity is demonstrated by outcomes: high-risk exposure is reduced, suspicious activity is detected promptly, incidents are contained safely, and essential services can be restored within agreed objectives. A documented plan is useful, but repeated exercises and verified evidence are what turn policy into resilience.</w:t>
      </w:r>
    </w:p>
    <w:p>
      <w:r>
        <w:t>For the YuvaIntern Week 1 task, the key takeaway is that threat-landscape analysis should lead to practical decisions. Threat intelligence becomes valuable when it helps an organization decide what to patch first, which identities to protect, where to improve visibility, which suppliers to review, and how to recover when prevention fails.</w:t>
      </w:r>
    </w:p>
    <w:p>
      <w:pPr>
        <w:pStyle w:val="Heading2"/>
      </w:pPr>
      <w:r>
        <w:t>Recommendations at a glance</w:t>
      </w:r>
    </w:p>
    <w:p>
      <w:pPr>
        <w:pStyle w:val="ListBullet"/>
      </w:pPr>
      <w:r>
        <w:t>Prioritize actively exploited vulnerabilities and externally exposed critical systems.</w:t>
      </w:r>
    </w:p>
    <w:p>
      <w:pPr>
        <w:pStyle w:val="ListBullet"/>
      </w:pPr>
      <w:r>
        <w:t>Protect remote access and privileged identities with MFA and least privilege.</w:t>
      </w:r>
    </w:p>
    <w:p>
      <w:pPr>
        <w:pStyle w:val="ListBullet"/>
      </w:pPr>
      <w:r>
        <w:t>Reduce phishing and impersonation risk through verification, reporting, and layered controls.</w:t>
      </w:r>
    </w:p>
    <w:p>
      <w:pPr>
        <w:pStyle w:val="ListBullet"/>
      </w:pPr>
      <w:r>
        <w:t>Maintain isolated, tested backups and practice restoration of critical services.</w:t>
      </w:r>
    </w:p>
    <w:p>
      <w:pPr>
        <w:pStyle w:val="ListBullet"/>
      </w:pPr>
      <w:r>
        <w:t>Map third-party dependencies and restrict supplier access.</w:t>
      </w:r>
    </w:p>
    <w:p>
      <w:pPr>
        <w:pStyle w:val="ListBullet"/>
      </w:pPr>
      <w:r>
        <w:t>Centralize useful endpoint, identity, email, and cloud logs and rehearse response playbooks.</w:t>
      </w:r>
    </w:p>
    <w:p>
      <w:pPr>
        <w:pStyle w:val="ListBullet"/>
      </w:pPr>
      <w:r>
        <w:t>Measure control effectiveness, assign risk owners, and review changes in the threat landscape regularly.</w:t>
      </w:r>
    </w:p>
    <w:p>
      <w:r>
        <w:br w:type="page"/>
      </w:r>
    </w:p>
    <w:p>
      <w:pPr>
        <w:pStyle w:val="Heading1"/>
      </w:pPr>
      <w:r>
        <w:t>Appendix A: Threat Register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2304A"/>
          </w:tcPr>
          <w:p>
            <w:pPr>
              <w:spacing w:after="20"/>
            </w:pPr>
            <w:r/>
            <w:r>
              <w:rPr>
                <w:b/>
                <w:color w:val="FFFFFF"/>
                <w:sz w:val="18"/>
              </w:rPr>
              <w:t>ID</w:t>
            </w:r>
          </w:p>
        </w:tc>
        <w:tc>
          <w:tcPr>
            <w:tcW w:type="dxa" w:w="1656"/>
            <w:vAlign w:val="center"/>
            <w:shd w:fill="12304A"/>
          </w:tcPr>
          <w:p>
            <w:pPr>
              <w:spacing w:after="20"/>
            </w:pPr>
            <w:r/>
            <w:r>
              <w:rPr>
                <w:b/>
                <w:color w:val="FFFFFF"/>
                <w:sz w:val="18"/>
              </w:rPr>
              <w:t>Scenario</w:t>
            </w:r>
          </w:p>
        </w:tc>
        <w:tc>
          <w:tcPr>
            <w:tcW w:type="dxa" w:w="1656"/>
            <w:vAlign w:val="center"/>
            <w:shd w:fill="12304A"/>
          </w:tcPr>
          <w:p>
            <w:pPr>
              <w:spacing w:after="20"/>
            </w:pPr>
            <w:r/>
            <w:r>
              <w:rPr>
                <w:b/>
                <w:color w:val="FFFFFF"/>
                <w:sz w:val="18"/>
              </w:rPr>
              <w:t>Assets at risk</w:t>
            </w:r>
          </w:p>
        </w:tc>
        <w:tc>
          <w:tcPr>
            <w:tcW w:type="dxa" w:w="1656"/>
            <w:vAlign w:val="center"/>
            <w:shd w:fill="12304A"/>
          </w:tcPr>
          <w:p>
            <w:pPr>
              <w:spacing w:after="20"/>
            </w:pPr>
            <w:r/>
            <w:r>
              <w:rPr>
                <w:b/>
                <w:color w:val="FFFFFF"/>
                <w:sz w:val="18"/>
              </w:rPr>
              <w:t>Impact</w:t>
            </w:r>
          </w:p>
        </w:tc>
        <w:tc>
          <w:tcPr>
            <w:tcW w:type="dxa" w:w="1656"/>
            <w:vAlign w:val="center"/>
            <w:shd w:fill="12304A"/>
          </w:tcPr>
          <w:p>
            <w:pPr>
              <w:spacing w:after="20"/>
            </w:pPr>
            <w:r/>
            <w:r>
              <w:rPr>
                <w:b/>
                <w:color w:val="FFFFFF"/>
                <w:sz w:val="18"/>
              </w:rPr>
              <w:t>Key controls</w:t>
            </w:r>
          </w:p>
        </w:tc>
        <w:tc>
          <w:tcPr>
            <w:tcW w:type="dxa" w:w="1656"/>
            <w:vAlign w:val="center"/>
            <w:shd w:fill="12304A"/>
          </w:tcPr>
          <w:p>
            <w:pPr>
              <w:spacing w:after="20"/>
            </w:pPr>
            <w:r/>
            <w:r>
              <w:rPr>
                <w:b/>
                <w:color w:val="FFFFFF"/>
                <w:sz w:val="18"/>
              </w:rPr>
              <w:t>Residual concern</w:t>
            </w:r>
          </w:p>
        </w:tc>
      </w:tr>
      <w:tr>
        <w:tc>
          <w:tcPr>
            <w:tcW w:type="dxa" w:w="1656"/>
            <w:vAlign w:val="center"/>
          </w:tcPr>
          <w:p>
            <w:pPr>
              <w:spacing w:after="20"/>
            </w:pPr>
            <w:r/>
            <w:r>
              <w:rPr>
                <w:b w:val="0"/>
                <w:sz w:val="17"/>
              </w:rPr>
              <w:t>T-01</w:t>
            </w:r>
          </w:p>
        </w:tc>
        <w:tc>
          <w:tcPr>
            <w:tcW w:type="dxa" w:w="1656"/>
            <w:vAlign w:val="center"/>
          </w:tcPr>
          <w:p>
            <w:pPr>
              <w:spacing w:after="20"/>
            </w:pPr>
            <w:r/>
            <w:r>
              <w:rPr>
                <w:b w:val="0"/>
                <w:sz w:val="17"/>
              </w:rPr>
              <w:t>Ransomware reaches shared systems</w:t>
            </w:r>
          </w:p>
        </w:tc>
        <w:tc>
          <w:tcPr>
            <w:tcW w:type="dxa" w:w="1656"/>
            <w:vAlign w:val="center"/>
          </w:tcPr>
          <w:p>
            <w:pPr>
              <w:spacing w:after="20"/>
            </w:pPr>
            <w:r/>
            <w:r>
              <w:rPr>
                <w:b w:val="0"/>
                <w:sz w:val="17"/>
              </w:rPr>
              <w:t>File servers, endpoints, identity infrastructure</w:t>
            </w:r>
          </w:p>
        </w:tc>
        <w:tc>
          <w:tcPr>
            <w:tcW w:type="dxa" w:w="1656"/>
            <w:vAlign w:val="center"/>
          </w:tcPr>
          <w:p>
            <w:pPr>
              <w:spacing w:after="20"/>
            </w:pPr>
            <w:r/>
            <w:r>
              <w:rPr>
                <w:b w:val="0"/>
                <w:sz w:val="17"/>
              </w:rPr>
              <w:t>Critical service outage, data loss, extortion</w:t>
            </w:r>
          </w:p>
        </w:tc>
        <w:tc>
          <w:tcPr>
            <w:tcW w:type="dxa" w:w="1656"/>
            <w:vAlign w:val="center"/>
          </w:tcPr>
          <w:p>
            <w:pPr>
              <w:spacing w:after="20"/>
            </w:pPr>
            <w:r/>
            <w:r>
              <w:rPr>
                <w:b w:val="0"/>
                <w:sz w:val="17"/>
              </w:rPr>
              <w:t>EDR, segmentation, protected backups, tested response</w:t>
            </w:r>
          </w:p>
        </w:tc>
        <w:tc>
          <w:tcPr>
            <w:tcW w:type="dxa" w:w="1656"/>
            <w:vAlign w:val="center"/>
          </w:tcPr>
          <w:p>
            <w:pPr>
              <w:spacing w:after="20"/>
            </w:pPr>
            <w:r/>
            <w:r>
              <w:rPr>
                <w:b w:val="0"/>
                <w:sz w:val="17"/>
              </w:rPr>
              <w:t>Compromised privileged identity may bypass controls.</w:t>
            </w:r>
          </w:p>
        </w:tc>
      </w:tr>
      <w:tr>
        <w:tc>
          <w:tcPr>
            <w:tcW w:type="dxa" w:w="1656"/>
            <w:vAlign w:val="center"/>
            <w:shd w:fill="EEF4F7"/>
          </w:tcPr>
          <w:p>
            <w:pPr>
              <w:spacing w:after="20"/>
            </w:pPr>
            <w:r/>
            <w:r>
              <w:rPr>
                <w:b w:val="0"/>
                <w:sz w:val="17"/>
              </w:rPr>
              <w:t>T-02</w:t>
            </w:r>
          </w:p>
        </w:tc>
        <w:tc>
          <w:tcPr>
            <w:tcW w:type="dxa" w:w="1656"/>
            <w:vAlign w:val="center"/>
            <w:shd w:fill="EEF4F7"/>
          </w:tcPr>
          <w:p>
            <w:pPr>
              <w:spacing w:after="20"/>
            </w:pPr>
            <w:r/>
            <w:r>
              <w:rPr>
                <w:b w:val="0"/>
                <w:sz w:val="17"/>
              </w:rPr>
              <w:t>Exploitation of exposed software flaw</w:t>
            </w:r>
          </w:p>
        </w:tc>
        <w:tc>
          <w:tcPr>
            <w:tcW w:type="dxa" w:w="1656"/>
            <w:vAlign w:val="center"/>
            <w:shd w:fill="EEF4F7"/>
          </w:tcPr>
          <w:p>
            <w:pPr>
              <w:spacing w:after="20"/>
            </w:pPr>
            <w:r/>
            <w:r>
              <w:rPr>
                <w:b w:val="0"/>
                <w:sz w:val="17"/>
              </w:rPr>
              <w:t>VPN, gateway, web app, edge device</w:t>
            </w:r>
          </w:p>
        </w:tc>
        <w:tc>
          <w:tcPr>
            <w:tcW w:type="dxa" w:w="1656"/>
            <w:vAlign w:val="center"/>
            <w:shd w:fill="EEF4F7"/>
          </w:tcPr>
          <w:p>
            <w:pPr>
              <w:spacing w:after="20"/>
            </w:pPr>
            <w:r/>
            <w:r>
              <w:rPr>
                <w:b w:val="0"/>
                <w:sz w:val="17"/>
              </w:rPr>
              <w:t>Unauthorized access, persistence, data theft</w:t>
            </w:r>
          </w:p>
        </w:tc>
        <w:tc>
          <w:tcPr>
            <w:tcW w:type="dxa" w:w="1656"/>
            <w:vAlign w:val="center"/>
            <w:shd w:fill="EEF4F7"/>
          </w:tcPr>
          <w:p>
            <w:pPr>
              <w:spacing w:after="20"/>
            </w:pPr>
            <w:r/>
            <w:r>
              <w:rPr>
                <w:b w:val="0"/>
                <w:sz w:val="17"/>
              </w:rPr>
              <w:t>KEV monitoring, patch SLAs, exposure reduction, log review</w:t>
            </w:r>
          </w:p>
        </w:tc>
        <w:tc>
          <w:tcPr>
            <w:tcW w:type="dxa" w:w="1656"/>
            <w:vAlign w:val="center"/>
            <w:shd w:fill="EEF4F7"/>
          </w:tcPr>
          <w:p>
            <w:pPr>
              <w:spacing w:after="20"/>
            </w:pPr>
            <w:r/>
            <w:r>
              <w:rPr>
                <w:b w:val="0"/>
                <w:sz w:val="17"/>
              </w:rPr>
              <w:t>Zero-days and delayed vendor fixes remain possible.</w:t>
            </w:r>
          </w:p>
        </w:tc>
      </w:tr>
      <w:tr>
        <w:tc>
          <w:tcPr>
            <w:tcW w:type="dxa" w:w="1656"/>
            <w:vAlign w:val="center"/>
          </w:tcPr>
          <w:p>
            <w:pPr>
              <w:spacing w:after="20"/>
            </w:pPr>
            <w:r/>
            <w:r>
              <w:rPr>
                <w:b w:val="0"/>
                <w:sz w:val="17"/>
              </w:rPr>
              <w:t>T-03</w:t>
            </w:r>
          </w:p>
        </w:tc>
        <w:tc>
          <w:tcPr>
            <w:tcW w:type="dxa" w:w="1656"/>
            <w:vAlign w:val="center"/>
          </w:tcPr>
          <w:p>
            <w:pPr>
              <w:spacing w:after="20"/>
            </w:pPr>
            <w:r/>
            <w:r>
              <w:rPr>
                <w:b w:val="0"/>
                <w:sz w:val="17"/>
              </w:rPr>
              <w:t>Phishing leads to account takeover</w:t>
            </w:r>
          </w:p>
        </w:tc>
        <w:tc>
          <w:tcPr>
            <w:tcW w:type="dxa" w:w="1656"/>
            <w:vAlign w:val="center"/>
          </w:tcPr>
          <w:p>
            <w:pPr>
              <w:spacing w:after="20"/>
            </w:pPr>
            <w:r/>
            <w:r>
              <w:rPr>
                <w:b w:val="0"/>
                <w:sz w:val="17"/>
              </w:rPr>
              <w:t>Email, collaboration, financial workflows</w:t>
            </w:r>
          </w:p>
        </w:tc>
        <w:tc>
          <w:tcPr>
            <w:tcW w:type="dxa" w:w="1656"/>
            <w:vAlign w:val="center"/>
          </w:tcPr>
          <w:p>
            <w:pPr>
              <w:spacing w:after="20"/>
            </w:pPr>
            <w:r/>
            <w:r>
              <w:rPr>
                <w:b w:val="0"/>
                <w:sz w:val="17"/>
              </w:rPr>
              <w:t>Fraud, data disclosure, further compromise</w:t>
            </w:r>
          </w:p>
        </w:tc>
        <w:tc>
          <w:tcPr>
            <w:tcW w:type="dxa" w:w="1656"/>
            <w:vAlign w:val="center"/>
          </w:tcPr>
          <w:p>
            <w:pPr>
              <w:spacing w:after="20"/>
            </w:pPr>
            <w:r/>
            <w:r>
              <w:rPr>
                <w:b w:val="0"/>
                <w:sz w:val="17"/>
              </w:rPr>
              <w:t>Phishing-resistant MFA, conditional access, verification</w:t>
            </w:r>
          </w:p>
        </w:tc>
        <w:tc>
          <w:tcPr>
            <w:tcW w:type="dxa" w:w="1656"/>
            <w:vAlign w:val="center"/>
          </w:tcPr>
          <w:p>
            <w:pPr>
              <w:spacing w:after="20"/>
            </w:pPr>
            <w:r/>
            <w:r>
              <w:rPr>
                <w:b w:val="0"/>
                <w:sz w:val="17"/>
              </w:rPr>
              <w:t>Session/token theft may evade password-only defenses.</w:t>
            </w:r>
          </w:p>
        </w:tc>
      </w:tr>
      <w:tr>
        <w:tc>
          <w:tcPr>
            <w:tcW w:type="dxa" w:w="1656"/>
            <w:vAlign w:val="center"/>
            <w:shd w:fill="EEF4F7"/>
          </w:tcPr>
          <w:p>
            <w:pPr>
              <w:spacing w:after="20"/>
            </w:pPr>
            <w:r/>
            <w:r>
              <w:rPr>
                <w:b w:val="0"/>
                <w:sz w:val="17"/>
              </w:rPr>
              <w:t>T-04</w:t>
            </w:r>
          </w:p>
        </w:tc>
        <w:tc>
          <w:tcPr>
            <w:tcW w:type="dxa" w:w="1656"/>
            <w:vAlign w:val="center"/>
            <w:shd w:fill="EEF4F7"/>
          </w:tcPr>
          <w:p>
            <w:pPr>
              <w:spacing w:after="20"/>
            </w:pPr>
            <w:r/>
            <w:r>
              <w:rPr>
                <w:b w:val="0"/>
                <w:sz w:val="17"/>
              </w:rPr>
              <w:t>Supplier access is compromised</w:t>
            </w:r>
          </w:p>
        </w:tc>
        <w:tc>
          <w:tcPr>
            <w:tcW w:type="dxa" w:w="1656"/>
            <w:vAlign w:val="center"/>
            <w:shd w:fill="EEF4F7"/>
          </w:tcPr>
          <w:p>
            <w:pPr>
              <w:spacing w:after="20"/>
            </w:pPr>
            <w:r/>
            <w:r>
              <w:rPr>
                <w:b w:val="0"/>
                <w:sz w:val="17"/>
              </w:rPr>
              <w:t>Remote management, shared systems, customer data</w:t>
            </w:r>
          </w:p>
        </w:tc>
        <w:tc>
          <w:tcPr>
            <w:tcW w:type="dxa" w:w="1656"/>
            <w:vAlign w:val="center"/>
            <w:shd w:fill="EEF4F7"/>
          </w:tcPr>
          <w:p>
            <w:pPr>
              <w:spacing w:after="20"/>
            </w:pPr>
            <w:r/>
            <w:r>
              <w:rPr>
                <w:b w:val="0"/>
                <w:sz w:val="17"/>
              </w:rPr>
              <w:t>Cross-environment compromise or outage</w:t>
            </w:r>
          </w:p>
        </w:tc>
        <w:tc>
          <w:tcPr>
            <w:tcW w:type="dxa" w:w="1656"/>
            <w:vAlign w:val="center"/>
            <w:shd w:fill="EEF4F7"/>
          </w:tcPr>
          <w:p>
            <w:pPr>
              <w:spacing w:after="20"/>
            </w:pPr>
            <w:r/>
            <w:r>
              <w:rPr>
                <w:b w:val="0"/>
                <w:sz w:val="17"/>
              </w:rPr>
              <w:t>Scoped access, monitoring, supplier assurance, contingency plan</w:t>
            </w:r>
          </w:p>
        </w:tc>
        <w:tc>
          <w:tcPr>
            <w:tcW w:type="dxa" w:w="1656"/>
            <w:vAlign w:val="center"/>
            <w:shd w:fill="EEF4F7"/>
          </w:tcPr>
          <w:p>
            <w:pPr>
              <w:spacing w:after="20"/>
            </w:pPr>
            <w:r/>
            <w:r>
              <w:rPr>
                <w:b w:val="0"/>
                <w:sz w:val="17"/>
              </w:rPr>
              <w:t>Concentration risk and limited supplier transparency.</w:t>
            </w:r>
          </w:p>
        </w:tc>
      </w:tr>
      <w:tr>
        <w:tc>
          <w:tcPr>
            <w:tcW w:type="dxa" w:w="1656"/>
            <w:vAlign w:val="center"/>
          </w:tcPr>
          <w:p>
            <w:pPr>
              <w:spacing w:after="20"/>
            </w:pPr>
            <w:r/>
            <w:r>
              <w:rPr>
                <w:b w:val="0"/>
                <w:sz w:val="17"/>
              </w:rPr>
              <w:t>T-05</w:t>
            </w:r>
          </w:p>
        </w:tc>
        <w:tc>
          <w:tcPr>
            <w:tcW w:type="dxa" w:w="1656"/>
            <w:vAlign w:val="center"/>
          </w:tcPr>
          <w:p>
            <w:pPr>
              <w:spacing w:after="20"/>
            </w:pPr>
            <w:r/>
            <w:r>
              <w:rPr>
                <w:b w:val="0"/>
                <w:sz w:val="17"/>
              </w:rPr>
              <w:t>Cloud resource is misconfigured</w:t>
            </w:r>
          </w:p>
        </w:tc>
        <w:tc>
          <w:tcPr>
            <w:tcW w:type="dxa" w:w="1656"/>
            <w:vAlign w:val="center"/>
          </w:tcPr>
          <w:p>
            <w:pPr>
              <w:spacing w:after="20"/>
            </w:pPr>
            <w:r/>
            <w:r>
              <w:rPr>
                <w:b w:val="0"/>
                <w:sz w:val="17"/>
              </w:rPr>
              <w:t>Object storage, APIs, databases</w:t>
            </w:r>
          </w:p>
        </w:tc>
        <w:tc>
          <w:tcPr>
            <w:tcW w:type="dxa" w:w="1656"/>
            <w:vAlign w:val="center"/>
          </w:tcPr>
          <w:p>
            <w:pPr>
              <w:spacing w:after="20"/>
            </w:pPr>
            <w:r/>
            <w:r>
              <w:rPr>
                <w:b w:val="0"/>
                <w:sz w:val="17"/>
              </w:rPr>
              <w:t>Public exposure or unauthorized modification</w:t>
            </w:r>
          </w:p>
        </w:tc>
        <w:tc>
          <w:tcPr>
            <w:tcW w:type="dxa" w:w="1656"/>
            <w:vAlign w:val="center"/>
          </w:tcPr>
          <w:p>
            <w:pPr>
              <w:spacing w:after="20"/>
            </w:pPr>
            <w:r/>
            <w:r>
              <w:rPr>
                <w:b w:val="0"/>
                <w:sz w:val="17"/>
              </w:rPr>
              <w:t>Secure baselines, least privilege, configuration alerts</w:t>
            </w:r>
          </w:p>
        </w:tc>
        <w:tc>
          <w:tcPr>
            <w:tcW w:type="dxa" w:w="1656"/>
            <w:vAlign w:val="center"/>
          </w:tcPr>
          <w:p>
            <w:pPr>
              <w:spacing w:after="20"/>
            </w:pPr>
            <w:r/>
            <w:r>
              <w:rPr>
                <w:b w:val="0"/>
                <w:sz w:val="17"/>
              </w:rPr>
              <w:t>Rapid deployment can reintroduce drift.</w:t>
            </w:r>
          </w:p>
        </w:tc>
      </w:tr>
      <w:tr>
        <w:tc>
          <w:tcPr>
            <w:tcW w:type="dxa" w:w="1656"/>
            <w:vAlign w:val="center"/>
            <w:shd w:fill="EEF4F7"/>
          </w:tcPr>
          <w:p>
            <w:pPr>
              <w:spacing w:after="20"/>
            </w:pPr>
            <w:r/>
            <w:r>
              <w:rPr>
                <w:b w:val="0"/>
                <w:sz w:val="17"/>
              </w:rPr>
              <w:t>T-06</w:t>
            </w:r>
          </w:p>
        </w:tc>
        <w:tc>
          <w:tcPr>
            <w:tcW w:type="dxa" w:w="1656"/>
            <w:vAlign w:val="center"/>
            <w:shd w:fill="EEF4F7"/>
          </w:tcPr>
          <w:p>
            <w:pPr>
              <w:spacing w:after="20"/>
            </w:pPr>
            <w:r/>
            <w:r>
              <w:rPr>
                <w:b w:val="0"/>
                <w:sz w:val="17"/>
              </w:rPr>
              <w:t>DDoS affects public-facing service</w:t>
            </w:r>
          </w:p>
        </w:tc>
        <w:tc>
          <w:tcPr>
            <w:tcW w:type="dxa" w:w="1656"/>
            <w:vAlign w:val="center"/>
            <w:shd w:fill="EEF4F7"/>
          </w:tcPr>
          <w:p>
            <w:pPr>
              <w:spacing w:after="20"/>
            </w:pPr>
            <w:r/>
            <w:r>
              <w:rPr>
                <w:b w:val="0"/>
                <w:sz w:val="17"/>
              </w:rPr>
              <w:t>Website, portal, DNS, APIs</w:t>
            </w:r>
          </w:p>
        </w:tc>
        <w:tc>
          <w:tcPr>
            <w:tcW w:type="dxa" w:w="1656"/>
            <w:vAlign w:val="center"/>
            <w:shd w:fill="EEF4F7"/>
          </w:tcPr>
          <w:p>
            <w:pPr>
              <w:spacing w:after="20"/>
            </w:pPr>
            <w:r/>
            <w:r>
              <w:rPr>
                <w:b w:val="0"/>
                <w:sz w:val="17"/>
              </w:rPr>
              <w:t>Unavailable service and reputation damage</w:t>
            </w:r>
          </w:p>
        </w:tc>
        <w:tc>
          <w:tcPr>
            <w:tcW w:type="dxa" w:w="1656"/>
            <w:vAlign w:val="center"/>
            <w:shd w:fill="EEF4F7"/>
          </w:tcPr>
          <w:p>
            <w:pPr>
              <w:spacing w:after="20"/>
            </w:pPr>
            <w:r/>
            <w:r>
              <w:rPr>
                <w:b w:val="0"/>
                <w:sz w:val="17"/>
              </w:rPr>
              <w:t>DDoS provider, CDN, rate limits, communication plan</w:t>
            </w:r>
          </w:p>
        </w:tc>
        <w:tc>
          <w:tcPr>
            <w:tcW w:type="dxa" w:w="1656"/>
            <w:vAlign w:val="center"/>
            <w:shd w:fill="EEF4F7"/>
          </w:tcPr>
          <w:p>
            <w:pPr>
              <w:spacing w:after="20"/>
            </w:pPr>
            <w:r/>
            <w:r>
              <w:rPr>
                <w:b w:val="0"/>
                <w:sz w:val="17"/>
              </w:rPr>
              <w:t>Large campaigns may exceed local capacity.</w:t>
            </w:r>
          </w:p>
        </w:tc>
      </w:tr>
      <w:tr>
        <w:tc>
          <w:tcPr>
            <w:tcW w:type="dxa" w:w="1656"/>
            <w:vAlign w:val="center"/>
          </w:tcPr>
          <w:p>
            <w:pPr>
              <w:spacing w:after="20"/>
            </w:pPr>
            <w:r/>
            <w:r>
              <w:rPr>
                <w:b w:val="0"/>
                <w:sz w:val="17"/>
              </w:rPr>
              <w:t>T-07</w:t>
            </w:r>
          </w:p>
        </w:tc>
        <w:tc>
          <w:tcPr>
            <w:tcW w:type="dxa" w:w="1656"/>
            <w:vAlign w:val="center"/>
          </w:tcPr>
          <w:p>
            <w:pPr>
              <w:spacing w:after="20"/>
            </w:pPr>
            <w:r/>
            <w:r>
              <w:rPr>
                <w:b w:val="0"/>
                <w:sz w:val="17"/>
              </w:rPr>
              <w:t>Sensitive data is entered into unapproved AI tool</w:t>
            </w:r>
          </w:p>
        </w:tc>
        <w:tc>
          <w:tcPr>
            <w:tcW w:type="dxa" w:w="1656"/>
            <w:vAlign w:val="center"/>
          </w:tcPr>
          <w:p>
            <w:pPr>
              <w:spacing w:after="20"/>
            </w:pPr>
            <w:r/>
            <w:r>
              <w:rPr>
                <w:b w:val="0"/>
                <w:sz w:val="17"/>
              </w:rPr>
              <w:t>Customer records, source code, internal documents</w:t>
            </w:r>
          </w:p>
        </w:tc>
        <w:tc>
          <w:tcPr>
            <w:tcW w:type="dxa" w:w="1656"/>
            <w:vAlign w:val="center"/>
          </w:tcPr>
          <w:p>
            <w:pPr>
              <w:spacing w:after="20"/>
            </w:pPr>
            <w:r/>
            <w:r>
              <w:rPr>
                <w:b w:val="0"/>
                <w:sz w:val="17"/>
              </w:rPr>
              <w:t>Confidentiality breach and compliance risk</w:t>
            </w:r>
          </w:p>
        </w:tc>
        <w:tc>
          <w:tcPr>
            <w:tcW w:type="dxa" w:w="1656"/>
            <w:vAlign w:val="center"/>
          </w:tcPr>
          <w:p>
            <w:pPr>
              <w:spacing w:after="20"/>
            </w:pPr>
            <w:r/>
            <w:r>
              <w:rPr>
                <w:b w:val="0"/>
                <w:sz w:val="17"/>
              </w:rPr>
              <w:t>AI-use policy, access controls, data classification, training</w:t>
            </w:r>
          </w:p>
        </w:tc>
        <w:tc>
          <w:tcPr>
            <w:tcW w:type="dxa" w:w="1656"/>
            <w:vAlign w:val="center"/>
          </w:tcPr>
          <w:p>
            <w:pPr>
              <w:spacing w:after="20"/>
            </w:pPr>
            <w:r/>
            <w:r>
              <w:rPr>
                <w:b w:val="0"/>
                <w:sz w:val="17"/>
              </w:rPr>
              <w:t>New tools may be adopted faster than governance.</w:t>
            </w:r>
          </w:p>
        </w:tc>
      </w:tr>
      <w:tr>
        <w:tc>
          <w:tcPr>
            <w:tcW w:type="dxa" w:w="1656"/>
            <w:vAlign w:val="center"/>
            <w:shd w:fill="EEF4F7"/>
          </w:tcPr>
          <w:p>
            <w:pPr>
              <w:spacing w:after="20"/>
            </w:pPr>
            <w:r/>
            <w:r>
              <w:rPr>
                <w:b w:val="0"/>
                <w:sz w:val="17"/>
              </w:rPr>
              <w:t>T-08</w:t>
            </w:r>
          </w:p>
        </w:tc>
        <w:tc>
          <w:tcPr>
            <w:tcW w:type="dxa" w:w="1656"/>
            <w:vAlign w:val="center"/>
            <w:shd w:fill="EEF4F7"/>
          </w:tcPr>
          <w:p>
            <w:pPr>
              <w:spacing w:after="20"/>
            </w:pPr>
            <w:r/>
            <w:r>
              <w:rPr>
                <w:b w:val="0"/>
                <w:sz w:val="17"/>
              </w:rPr>
              <w:t>Insider shares or removes data improperly</w:t>
            </w:r>
          </w:p>
        </w:tc>
        <w:tc>
          <w:tcPr>
            <w:tcW w:type="dxa" w:w="1656"/>
            <w:vAlign w:val="center"/>
            <w:shd w:fill="EEF4F7"/>
          </w:tcPr>
          <w:p>
            <w:pPr>
              <w:spacing w:after="20"/>
            </w:pPr>
            <w:r/>
            <w:r>
              <w:rPr>
                <w:b w:val="0"/>
                <w:sz w:val="17"/>
              </w:rPr>
              <w:t>Shared drives, customer databases, IP</w:t>
            </w:r>
          </w:p>
        </w:tc>
        <w:tc>
          <w:tcPr>
            <w:tcW w:type="dxa" w:w="1656"/>
            <w:vAlign w:val="center"/>
            <w:shd w:fill="EEF4F7"/>
          </w:tcPr>
          <w:p>
            <w:pPr>
              <w:spacing w:after="20"/>
            </w:pPr>
            <w:r/>
            <w:r>
              <w:rPr>
                <w:b w:val="0"/>
                <w:sz w:val="17"/>
              </w:rPr>
              <w:t>Privacy harm, legal exposure, competitive loss</w:t>
            </w:r>
          </w:p>
        </w:tc>
        <w:tc>
          <w:tcPr>
            <w:tcW w:type="dxa" w:w="1656"/>
            <w:vAlign w:val="center"/>
            <w:shd w:fill="EEF4F7"/>
          </w:tcPr>
          <w:p>
            <w:pPr>
              <w:spacing w:after="20"/>
            </w:pPr>
            <w:r/>
            <w:r>
              <w:rPr>
                <w:b w:val="0"/>
                <w:sz w:val="17"/>
              </w:rPr>
              <w:t>Least privilege, audit logging, DLP, clear offboarding</w:t>
            </w:r>
          </w:p>
        </w:tc>
        <w:tc>
          <w:tcPr>
            <w:tcW w:type="dxa" w:w="1656"/>
            <w:vAlign w:val="center"/>
            <w:shd w:fill="EEF4F7"/>
          </w:tcPr>
          <w:p>
            <w:pPr>
              <w:spacing w:after="20"/>
            </w:pPr>
            <w:r/>
            <w:r>
              <w:rPr>
                <w:b w:val="0"/>
                <w:sz w:val="17"/>
              </w:rPr>
              <w:t>Monitoring must balance security and privacy.</w:t>
            </w:r>
          </w:p>
        </w:tc>
      </w:tr>
    </w:tbl>
    <w:p/>
    <w:p>
      <w:pPr>
        <w:pStyle w:val="Heading1"/>
      </w:pPr>
      <w:r>
        <w:t>Appendix B: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2304A"/>
          </w:tcPr>
          <w:p>
            <w:pPr>
              <w:spacing w:after="20"/>
            </w:pPr>
            <w:r/>
            <w:r>
              <w:rPr>
                <w:b/>
                <w:color w:val="FFFFFF"/>
                <w:sz w:val="18"/>
              </w:rPr>
              <w:t>Term</w:t>
            </w:r>
          </w:p>
        </w:tc>
        <w:tc>
          <w:tcPr>
            <w:tcW w:type="dxa" w:w="4968"/>
            <w:vAlign w:val="center"/>
            <w:shd w:fill="12304A"/>
          </w:tcPr>
          <w:p>
            <w:pPr>
              <w:spacing w:after="20"/>
            </w:pPr>
            <w:r/>
            <w:r>
              <w:rPr>
                <w:b/>
                <w:color w:val="FFFFFF"/>
                <w:sz w:val="18"/>
              </w:rPr>
              <w:t>Meaning</w:t>
            </w:r>
          </w:p>
        </w:tc>
      </w:tr>
      <w:tr>
        <w:tc>
          <w:tcPr>
            <w:tcW w:type="dxa" w:w="4968"/>
            <w:vAlign w:val="center"/>
          </w:tcPr>
          <w:p>
            <w:pPr>
              <w:spacing w:after="20"/>
            </w:pPr>
            <w:r/>
            <w:r>
              <w:rPr>
                <w:b w:val="0"/>
                <w:sz w:val="17"/>
              </w:rPr>
              <w:t>AI</w:t>
            </w:r>
          </w:p>
        </w:tc>
        <w:tc>
          <w:tcPr>
            <w:tcW w:type="dxa" w:w="4968"/>
            <w:vAlign w:val="center"/>
          </w:tcPr>
          <w:p>
            <w:pPr>
              <w:spacing w:after="20"/>
            </w:pPr>
            <w:r/>
            <w:r>
              <w:rPr>
                <w:b w:val="0"/>
                <w:sz w:val="17"/>
              </w:rPr>
              <w:t>Artificial intelligence; in this context, tools that can generate or analyze text, audio, images, code, or other data.</w:t>
            </w:r>
          </w:p>
        </w:tc>
      </w:tr>
      <w:tr>
        <w:tc>
          <w:tcPr>
            <w:tcW w:type="dxa" w:w="4968"/>
            <w:vAlign w:val="center"/>
            <w:shd w:fill="EEF4F7"/>
          </w:tcPr>
          <w:p>
            <w:pPr>
              <w:spacing w:after="20"/>
            </w:pPr>
            <w:r/>
            <w:r>
              <w:rPr>
                <w:b w:val="0"/>
                <w:sz w:val="17"/>
              </w:rPr>
              <w:t>Attack vector</w:t>
            </w:r>
          </w:p>
        </w:tc>
        <w:tc>
          <w:tcPr>
            <w:tcW w:type="dxa" w:w="4968"/>
            <w:vAlign w:val="center"/>
            <w:shd w:fill="EEF4F7"/>
          </w:tcPr>
          <w:p>
            <w:pPr>
              <w:spacing w:after="20"/>
            </w:pPr>
            <w:r/>
            <w:r>
              <w:rPr>
                <w:b w:val="0"/>
                <w:sz w:val="17"/>
              </w:rPr>
              <w:t>A route or method used to gain access to a system or cause harm.</w:t>
            </w:r>
          </w:p>
        </w:tc>
      </w:tr>
      <w:tr>
        <w:tc>
          <w:tcPr>
            <w:tcW w:type="dxa" w:w="4968"/>
            <w:vAlign w:val="center"/>
          </w:tcPr>
          <w:p>
            <w:pPr>
              <w:spacing w:after="20"/>
            </w:pPr>
            <w:r/>
            <w:r>
              <w:rPr>
                <w:b w:val="0"/>
                <w:sz w:val="17"/>
              </w:rPr>
              <w:t>CISA KEV</w:t>
            </w:r>
          </w:p>
        </w:tc>
        <w:tc>
          <w:tcPr>
            <w:tcW w:type="dxa" w:w="4968"/>
            <w:vAlign w:val="center"/>
          </w:tcPr>
          <w:p>
            <w:pPr>
              <w:spacing w:after="20"/>
            </w:pPr>
            <w:r/>
            <w:r>
              <w:rPr>
                <w:b w:val="0"/>
                <w:sz w:val="17"/>
              </w:rPr>
              <w:t>Known Exploited Vulnerabilities Catalog maintained by the U.S. Cybersecurity and Infrastructure Security Agency.</w:t>
            </w:r>
          </w:p>
        </w:tc>
      </w:tr>
      <w:tr>
        <w:tc>
          <w:tcPr>
            <w:tcW w:type="dxa" w:w="4968"/>
            <w:vAlign w:val="center"/>
            <w:shd w:fill="EEF4F7"/>
          </w:tcPr>
          <w:p>
            <w:pPr>
              <w:spacing w:after="20"/>
            </w:pPr>
            <w:r/>
            <w:r>
              <w:rPr>
                <w:b w:val="0"/>
                <w:sz w:val="17"/>
              </w:rPr>
              <w:t>Confidentiality</w:t>
            </w:r>
          </w:p>
        </w:tc>
        <w:tc>
          <w:tcPr>
            <w:tcW w:type="dxa" w:w="4968"/>
            <w:vAlign w:val="center"/>
            <w:shd w:fill="EEF4F7"/>
          </w:tcPr>
          <w:p>
            <w:pPr>
              <w:spacing w:after="20"/>
            </w:pPr>
            <w:r/>
            <w:r>
              <w:rPr>
                <w:b w:val="0"/>
                <w:sz w:val="17"/>
              </w:rPr>
              <w:t>Ensuring information is accessible only to authorized people or systems.</w:t>
            </w:r>
          </w:p>
        </w:tc>
      </w:tr>
      <w:tr>
        <w:tc>
          <w:tcPr>
            <w:tcW w:type="dxa" w:w="4968"/>
            <w:vAlign w:val="center"/>
          </w:tcPr>
          <w:p>
            <w:pPr>
              <w:spacing w:after="20"/>
            </w:pPr>
            <w:r/>
            <w:r>
              <w:rPr>
                <w:b w:val="0"/>
                <w:sz w:val="17"/>
              </w:rPr>
              <w:t>DDoS</w:t>
            </w:r>
          </w:p>
        </w:tc>
        <w:tc>
          <w:tcPr>
            <w:tcW w:type="dxa" w:w="4968"/>
            <w:vAlign w:val="center"/>
          </w:tcPr>
          <w:p>
            <w:pPr>
              <w:spacing w:after="20"/>
            </w:pPr>
            <w:r/>
            <w:r>
              <w:rPr>
                <w:b w:val="0"/>
                <w:sz w:val="17"/>
              </w:rPr>
              <w:t>Distributed denial of service; overwhelming a service with traffic or requests from many sources.</w:t>
            </w:r>
          </w:p>
        </w:tc>
      </w:tr>
      <w:tr>
        <w:tc>
          <w:tcPr>
            <w:tcW w:type="dxa" w:w="4968"/>
            <w:vAlign w:val="center"/>
            <w:shd w:fill="EEF4F7"/>
          </w:tcPr>
          <w:p>
            <w:pPr>
              <w:spacing w:after="20"/>
            </w:pPr>
            <w:r/>
            <w:r>
              <w:rPr>
                <w:b w:val="0"/>
                <w:sz w:val="17"/>
              </w:rPr>
              <w:t>EDR</w:t>
            </w:r>
          </w:p>
        </w:tc>
        <w:tc>
          <w:tcPr>
            <w:tcW w:type="dxa" w:w="4968"/>
            <w:vAlign w:val="center"/>
            <w:shd w:fill="EEF4F7"/>
          </w:tcPr>
          <w:p>
            <w:pPr>
              <w:spacing w:after="20"/>
            </w:pPr>
            <w:r/>
            <w:r>
              <w:rPr>
                <w:b w:val="0"/>
                <w:sz w:val="17"/>
              </w:rPr>
              <w:t>Endpoint detection and response; technology and processes for detecting and investigating endpoint activity.</w:t>
            </w:r>
          </w:p>
        </w:tc>
      </w:tr>
      <w:tr>
        <w:tc>
          <w:tcPr>
            <w:tcW w:type="dxa" w:w="4968"/>
            <w:vAlign w:val="center"/>
          </w:tcPr>
          <w:p>
            <w:pPr>
              <w:spacing w:after="20"/>
            </w:pPr>
            <w:r/>
            <w:r>
              <w:rPr>
                <w:b w:val="0"/>
                <w:sz w:val="17"/>
              </w:rPr>
              <w:t>IOC</w:t>
            </w:r>
          </w:p>
        </w:tc>
        <w:tc>
          <w:tcPr>
            <w:tcW w:type="dxa" w:w="4968"/>
            <w:vAlign w:val="center"/>
          </w:tcPr>
          <w:p>
            <w:pPr>
              <w:spacing w:after="20"/>
            </w:pPr>
            <w:r/>
            <w:r>
              <w:rPr>
                <w:b w:val="0"/>
                <w:sz w:val="17"/>
              </w:rPr>
              <w:t>Indicator of compromise; an observable artifact or behavior associated with possible malicious activity.</w:t>
            </w:r>
          </w:p>
        </w:tc>
      </w:tr>
      <w:tr>
        <w:tc>
          <w:tcPr>
            <w:tcW w:type="dxa" w:w="4968"/>
            <w:vAlign w:val="center"/>
            <w:shd w:fill="EEF4F7"/>
          </w:tcPr>
          <w:p>
            <w:pPr>
              <w:spacing w:after="20"/>
            </w:pPr>
            <w:r/>
            <w:r>
              <w:rPr>
                <w:b w:val="0"/>
                <w:sz w:val="17"/>
              </w:rPr>
              <w:t>MFA</w:t>
            </w:r>
          </w:p>
        </w:tc>
        <w:tc>
          <w:tcPr>
            <w:tcW w:type="dxa" w:w="4968"/>
            <w:vAlign w:val="center"/>
            <w:shd w:fill="EEF4F7"/>
          </w:tcPr>
          <w:p>
            <w:pPr>
              <w:spacing w:after="20"/>
            </w:pPr>
            <w:r/>
            <w:r>
              <w:rPr>
                <w:b w:val="0"/>
                <w:sz w:val="17"/>
              </w:rPr>
              <w:t>Multi-factor authentication; requiring two or more distinct authentication factors.</w:t>
            </w:r>
          </w:p>
        </w:tc>
      </w:tr>
      <w:tr>
        <w:tc>
          <w:tcPr>
            <w:tcW w:type="dxa" w:w="4968"/>
            <w:vAlign w:val="center"/>
          </w:tcPr>
          <w:p>
            <w:pPr>
              <w:spacing w:after="20"/>
            </w:pPr>
            <w:r/>
            <w:r>
              <w:rPr>
                <w:b w:val="0"/>
                <w:sz w:val="17"/>
              </w:rPr>
              <w:t>MTTD / MTTC</w:t>
            </w:r>
          </w:p>
        </w:tc>
        <w:tc>
          <w:tcPr>
            <w:tcW w:type="dxa" w:w="4968"/>
            <w:vAlign w:val="center"/>
          </w:tcPr>
          <w:p>
            <w:pPr>
              <w:spacing w:after="20"/>
            </w:pPr>
            <w:r/>
            <w:r>
              <w:rPr>
                <w:b w:val="0"/>
                <w:sz w:val="17"/>
              </w:rPr>
              <w:t>Mean time to detect / mean time to contain an incident.</w:t>
            </w:r>
          </w:p>
        </w:tc>
      </w:tr>
      <w:tr>
        <w:tc>
          <w:tcPr>
            <w:tcW w:type="dxa" w:w="4968"/>
            <w:vAlign w:val="center"/>
            <w:shd w:fill="EEF4F7"/>
          </w:tcPr>
          <w:p>
            <w:pPr>
              <w:spacing w:after="20"/>
            </w:pPr>
            <w:r/>
            <w:r>
              <w:rPr>
                <w:b w:val="0"/>
                <w:sz w:val="17"/>
              </w:rPr>
              <w:t>N-day vulnerability</w:t>
            </w:r>
          </w:p>
        </w:tc>
        <w:tc>
          <w:tcPr>
            <w:tcW w:type="dxa" w:w="4968"/>
            <w:vAlign w:val="center"/>
            <w:shd w:fill="EEF4F7"/>
          </w:tcPr>
          <w:p>
            <w:pPr>
              <w:spacing w:after="20"/>
            </w:pPr>
            <w:r/>
            <w:r>
              <w:rPr>
                <w:b w:val="0"/>
                <w:sz w:val="17"/>
              </w:rPr>
              <w:t>A known vulnerability for which details or a fix are available, but some systems remain unpatched.</w:t>
            </w:r>
          </w:p>
        </w:tc>
      </w:tr>
      <w:tr>
        <w:tc>
          <w:tcPr>
            <w:tcW w:type="dxa" w:w="4968"/>
            <w:vAlign w:val="center"/>
          </w:tcPr>
          <w:p>
            <w:pPr>
              <w:spacing w:after="20"/>
            </w:pPr>
            <w:r/>
            <w:r>
              <w:rPr>
                <w:b w:val="0"/>
                <w:sz w:val="17"/>
              </w:rPr>
              <w:t>RPO / RTO</w:t>
            </w:r>
          </w:p>
        </w:tc>
        <w:tc>
          <w:tcPr>
            <w:tcW w:type="dxa" w:w="4968"/>
            <w:vAlign w:val="center"/>
          </w:tcPr>
          <w:p>
            <w:pPr>
              <w:spacing w:after="20"/>
            </w:pPr>
            <w:r/>
            <w:r>
              <w:rPr>
                <w:b w:val="0"/>
                <w:sz w:val="17"/>
              </w:rPr>
              <w:t>Recovery point objective / recovery time objective.</w:t>
            </w:r>
          </w:p>
        </w:tc>
      </w:tr>
      <w:tr>
        <w:tc>
          <w:tcPr>
            <w:tcW w:type="dxa" w:w="4968"/>
            <w:vAlign w:val="center"/>
            <w:shd w:fill="EEF4F7"/>
          </w:tcPr>
          <w:p>
            <w:pPr>
              <w:spacing w:after="20"/>
            </w:pPr>
            <w:r/>
            <w:r>
              <w:rPr>
                <w:b w:val="0"/>
                <w:sz w:val="17"/>
              </w:rPr>
              <w:t>Ransomware</w:t>
            </w:r>
          </w:p>
        </w:tc>
        <w:tc>
          <w:tcPr>
            <w:tcW w:type="dxa" w:w="4968"/>
            <w:vAlign w:val="center"/>
            <w:shd w:fill="EEF4F7"/>
          </w:tcPr>
          <w:p>
            <w:pPr>
              <w:spacing w:after="20"/>
            </w:pPr>
            <w:r/>
            <w:r>
              <w:rPr>
                <w:b w:val="0"/>
                <w:sz w:val="17"/>
              </w:rPr>
              <w:t>Malicious activity that denies access to data or systems, often combined with extortion.</w:t>
            </w:r>
          </w:p>
        </w:tc>
      </w:tr>
      <w:tr>
        <w:tc>
          <w:tcPr>
            <w:tcW w:type="dxa" w:w="4968"/>
            <w:vAlign w:val="center"/>
          </w:tcPr>
          <w:p>
            <w:pPr>
              <w:spacing w:after="20"/>
            </w:pPr>
            <w:r/>
            <w:r>
              <w:rPr>
                <w:b w:val="0"/>
                <w:sz w:val="17"/>
              </w:rPr>
              <w:t>Supply chain</w:t>
            </w:r>
          </w:p>
        </w:tc>
        <w:tc>
          <w:tcPr>
            <w:tcW w:type="dxa" w:w="4968"/>
            <w:vAlign w:val="center"/>
          </w:tcPr>
          <w:p>
            <w:pPr>
              <w:spacing w:after="20"/>
            </w:pPr>
            <w:r/>
            <w:r>
              <w:rPr>
                <w:b w:val="0"/>
                <w:sz w:val="17"/>
              </w:rPr>
              <w:t>Vendors, software components, service providers, and other dependencies used to deliver a product or service.</w:t>
            </w:r>
          </w:p>
        </w:tc>
      </w:tr>
      <w:tr>
        <w:tc>
          <w:tcPr>
            <w:tcW w:type="dxa" w:w="4968"/>
            <w:vAlign w:val="center"/>
            <w:shd w:fill="EEF4F7"/>
          </w:tcPr>
          <w:p>
            <w:pPr>
              <w:spacing w:after="20"/>
            </w:pPr>
            <w:r/>
            <w:r>
              <w:rPr>
                <w:b w:val="0"/>
                <w:sz w:val="17"/>
              </w:rPr>
              <w:t>Zero-day</w:t>
            </w:r>
          </w:p>
        </w:tc>
        <w:tc>
          <w:tcPr>
            <w:tcW w:type="dxa" w:w="4968"/>
            <w:vAlign w:val="center"/>
            <w:shd w:fill="EEF4F7"/>
          </w:tcPr>
          <w:p>
            <w:pPr>
              <w:spacing w:after="20"/>
            </w:pPr>
            <w:r/>
            <w:r>
              <w:rPr>
                <w:b w:val="0"/>
                <w:sz w:val="17"/>
              </w:rPr>
              <w:t>A vulnerability exploited before a suitable fix is available or before defenders can reasonably apply it.</w:t>
            </w:r>
          </w:p>
        </w:tc>
      </w:tr>
    </w:tbl>
    <w:p/>
    <w:p>
      <w:pPr>
        <w:pStyle w:val="Heading1"/>
      </w:pPr>
      <w:r>
        <w:t>Appendix C: Suggested submission checklist</w:t>
      </w:r>
    </w:p>
    <w:p>
      <w:pPr>
        <w:pStyle w:val="ListBullet"/>
      </w:pPr>
      <w:r>
        <w:t>Confirm the cover page identifies AFSAL N and YuvaIntern correctly.</w:t>
      </w:r>
    </w:p>
    <w:p>
      <w:pPr>
        <w:pStyle w:val="ListBullet"/>
      </w:pPr>
      <w:r>
        <w:t>Review spelling, page numbering, headings, and table formatting after opening the DOCX.</w:t>
      </w:r>
    </w:p>
    <w:p>
      <w:pPr>
        <w:pStyle w:val="ListBullet"/>
      </w:pPr>
      <w:r>
        <w:t>Check whether the internship portal requires a specific filename or additional declaration.</w:t>
      </w:r>
    </w:p>
    <w:p>
      <w:pPr>
        <w:pStyle w:val="ListBullet"/>
      </w:pPr>
      <w:r>
        <w:t>Verify links and update source pages if the submission is made significantly later than 21 October 2026.</w:t>
      </w:r>
    </w:p>
    <w:p>
      <w:pPr>
        <w:pStyle w:val="ListBullet"/>
      </w:pPr>
      <w:r>
        <w:t>Ensure any personal or organization-specific information added later is accurate and approved for disclosure.</w:t>
      </w:r>
    </w:p>
    <w:p>
      <w:r>
        <w:br w:type="page"/>
      </w:r>
    </w:p>
    <w:p>
      <w:pPr>
        <w:pStyle w:val="Heading1"/>
      </w:pPr>
      <w:r>
        <w:t>References</w:t>
      </w:r>
    </w:p>
    <w:p>
      <w:pPr>
        <w:spacing w:after="140"/>
        <w:ind w:left="288" w:hanging="288"/>
      </w:pPr>
      <w:r>
        <w:t>[1] European Union Agency for Cybersecurity (ENISA), “Threat Landscape,” ENISA Threat Landscape 2026 overview. Available: https://www.enisa.europa.eu/topics/cyber-threats/threat-landscape (accessed 21 October 2026).</w:t>
      </w:r>
    </w:p>
    <w:p>
      <w:pPr>
        <w:spacing w:after="140"/>
        <w:ind w:left="288" w:hanging="288"/>
      </w:pPr>
      <w:r>
        <w:t>[2] ENISA, “Exploring the evolution of the cyber threat landscape: How dependencies weaken our digital resilience,” 22 September 2026. Available: https://www.enisa.europa.eu/news/exploring-the-evolution-of-the-cyber-threat-landscape-how-dependencies-weaken-our-digital-resilience (accessed 21 October 2026).</w:t>
      </w:r>
    </w:p>
    <w:p>
      <w:pPr>
        <w:spacing w:after="140"/>
        <w:ind w:left="288" w:hanging="288"/>
      </w:pPr>
      <w:r>
        <w:t>[3] Verizon, “2026 Data Breach Investigations Report (DBIR),” 2026. Available: https://www.verizon.com/business/resources/reports/dbir/ (accessed 21 October 2026).</w:t>
      </w:r>
    </w:p>
    <w:p>
      <w:pPr>
        <w:spacing w:after="140"/>
        <w:ind w:left="288" w:hanging="288"/>
      </w:pPr>
      <w:r>
        <w:t>[4] Verizon, “Breach entry point, 2026 DBIR finds,” 2026. Available: https://www.verizon.com/about/news/breach-industry-wide-dbir-finds (accessed 21 October 2026).</w:t>
      </w:r>
    </w:p>
    <w:p>
      <w:pPr>
        <w:spacing w:after="140"/>
        <w:ind w:left="288" w:hanging="288"/>
      </w:pPr>
      <w:r>
        <w:t>[5] Cybersecurity and Infrastructure Security Agency (CISA), “Known Exploited Vulnerabilities Catalog.” Available: https://www.cisa.gov/known-exploited-vulnerabilities-catalog (accessed 21 October 2026).</w:t>
      </w:r>
    </w:p>
    <w:p>
      <w:pPr>
        <w:spacing w:after="140"/>
        <w:ind w:left="288" w:hanging="288"/>
      </w:pPr>
      <w:r>
        <w:t>[6] CISA, “StopRansomware Guide,” joint guidance for ransomware prevention and response. Available: https://www.cisa.gov/stopransomware (accessed 21 October 2026).</w:t>
      </w:r>
    </w:p>
    <w:p>
      <w:pPr>
        <w:spacing w:after="140"/>
        <w:ind w:left="288" w:hanging="288"/>
      </w:pPr>
      <w:r>
        <w:t>[7] National Institute of Standards and Technology (NIST), “Cybersecurity Framework (CSF) 2.0,” NIST CSWP 29, February 2024. Available: https://www.nist.gov/cyberframework (accessed 21 October 2026).</w:t>
      </w:r>
    </w:p>
    <w:p>
      <w:pPr>
        <w:spacing w:after="140"/>
        <w:ind w:left="288" w:hanging="288"/>
      </w:pPr>
      <w:r>
        <w:t>[8] NIST, “Computer Security Incident Handling Guide,” Special Publication 800-61 Revision 2, August 2012. Available: https://csrc.nist.gov/pubs/sp/800/61/r2/final (accessed 21 October 2026).</w:t>
      </w:r>
    </w:p>
    <w:p>
      <w:pPr>
        <w:spacing w:after="140"/>
        <w:ind w:left="288" w:hanging="288"/>
      </w:pPr>
      <w:r>
        <w:t>[9] U.S. Cybersecurity and Infrastructure Security Agency (CISA), “WannaCry Ransomware Campaign,” alert and related guidance. Available: https://www.cisa.gov/news-events/alerts (search for WannaCry advisory; accessed 21 October 2026).</w:t>
      </w:r>
    </w:p>
    <w:p>
      <w:pPr>
        <w:spacing w:after="140"/>
        <w:ind w:left="288" w:hanging="288"/>
      </w:pPr>
      <w:r>
        <w:t>[10] The White House, “The United States, United Kingdom, and Australia Condemn Russia’s Malicious Cyber Activity,” and related official SolarWinds statements, 2021. Background and official statements available through https://www.cisa.gov/ and https://www.whitehouse.gov/ (accessed 21 October 2026).</w:t>
      </w:r>
    </w:p>
    <w:p>
      <w:pPr>
        <w:spacing w:after="140"/>
        <w:ind w:left="288" w:hanging="288"/>
      </w:pPr>
      <w:r>
        <w:t>[11] U.S. Senate Committee on Finance, “Hearing on the Change Healthcare Cyberattack,” testimony and materials, 2024. Available: https://www.finance.senate.gov/ (search for Change Healthcare cyberattack hearing; accessed 21 October 2026).</w:t>
      </w:r>
    </w:p>
    <w:p>
      <w:pPr>
        <w:spacing w:after="140"/>
        <w:ind w:left="288" w:hanging="288"/>
      </w:pPr>
      <w:r>
        <w:t>[12] U.S. Department of Health and Human Services, “Change Healthcare Cyber Response,” public updates and resources, 2024. Available: https://www.hhs.gov/ (search for Change Healthcare cyber response; accessed 21 October 2026).</w:t>
      </w:r>
    </w:p>
    <w:p>
      <w:pPr>
        <w:spacing w:after="140"/>
        <w:ind w:left="288" w:hanging="288"/>
      </w:pPr>
      <w:r>
        <w:t>[13] Cybersecurity and Infrastructure Security Agency (CISA), “Secure Our World,” guidance on MFA, strong passwords, phishing, and software updates. Available: https://www.cisa.gov/secure-our-world (accessed 21 October 2026).</w:t>
      </w:r>
    </w:p>
    <w:p>
      <w:pPr>
        <w:spacing w:after="140"/>
        <w:ind w:left="288" w:hanging="288"/>
      </w:pPr>
      <w:r>
        <w:t>[14] Center for Internet Security (CIS), “CIS Critical Security Controls,” implementation guidance. Available: https://www.cisecurity.org/controls (accessed 21 October 2026).</w:t>
      </w:r>
    </w:p>
    <w:p>
      <w:pPr>
        <w:pStyle w:val="Heading2"/>
      </w:pPr>
      <w:r>
        <w:t>Source-use note</w:t>
      </w:r>
    </w:p>
    <w:p>
      <w:r>
        <w:t>This report summarizes and analyzes the referenced material rather than reproducing long passages. Statistics are included only where their scope is described in the source. Readers should consult the original publications for full methodologies, definitions, and any updates after the report date.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Threat Landscape Analysis  •  AFSAL 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YUVAINTERN  |  CYBER SECURITY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Landscape Analysis – YuvaIntern Cyber Security Analyst Internship</dc:title>
  <dc:subject>Week 1 Internship Report</dc:subject>
  <dc:creator>AFSAL N</dc:creator>
  <cp:keywords>Cybersecurity, threat landscape, ransomware, phishing, vulnerabilities, YuvaIntern</cp:keywords>
  <dc:description>generated by python-docx</dc:description>
  <cp:lastModifiedBy/>
  <cp:revision>1</cp:revision>
  <dcterms:created xsi:type="dcterms:W3CDTF">2013-12-23T23:15:00Z</dcterms:created>
  <dcterms:modified xsi:type="dcterms:W3CDTF">2013-12-23T23:15:00Z</dcterms:modified>
  <cp:category/>
</cp:coreProperties>
</file>