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63A5F"/>
          <w:sz w:val="60"/>
        </w:rPr>
        <w:t>SECURITY AWARENESS\nCAMPAIGN PLAN</w:t>
      </w:r>
    </w:p>
    <w:p>
      <w:pPr>
        <w:jc w:val="center"/>
      </w:pPr>
      <w:r>
        <w:rPr>
          <w:i/>
          <w:color w:val="007C91"/>
          <w:sz w:val="34"/>
        </w:rPr>
        <w:t>“Pause. Check. Protect.”</w:t>
      </w:r>
    </w:p>
    <w:p>
      <w:pPr>
        <w:spacing w:before="400"/>
        <w:jc w:val="center"/>
      </w:pPr>
      <w:r>
        <w:rPr>
          <w:sz w:val="24"/>
        </w:rPr>
        <w:t>A practical, four-week cybersecurity education campaign\nfor a hypothetical organization</w:t>
      </w:r>
    </w:p>
    <w:p>
      <w:pPr>
        <w:spacing w:before="1300"/>
        <w:jc w:val="center"/>
      </w:pPr>
      <w:r>
        <w:rPr>
          <w:b/>
        </w:rPr>
        <w:t>Prepared for: Week 4 Task – Security Awareness Campaign Planning\n</w:t>
      </w:r>
      <w:r>
        <w:t>Organization: Northstar Services (hypothetical)\n</w:t>
      </w:r>
      <w:r>
        <w:t>Prepared by: __________________________\n</w:t>
      </w:r>
      <w:r>
        <w:t>Date: _________________________________</w:t>
      </w:r>
    </w:p>
    <w:p>
      <w:r>
        <w:br w:type="page"/>
      </w:r>
    </w:p>
    <w:p>
      <w:pPr>
        <w:pStyle w:val="Heading1"/>
      </w:pPr>
      <w:r>
        <w:t>Document Overview</w:t>
      </w:r>
    </w:p>
    <w:p>
      <w:r>
        <w:t>This plan describes a structured security awareness campaign for Northstar Services, a hypothetical mid-sized organization with office-based and remote employees. The campaign aims to reduce preventable security incidents by helping employees recognize threats, follow safe working practices, and report suspicious activity quickly. The plan includes objectives, audience analysis, key topics, communication methods, a four-week schedule, roles, resources, measurement, and follow-up actions.</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63A5F"/>
          </w:tcPr>
          <w:p>
            <w:pPr>
              <w:spacing w:after="0"/>
            </w:pPr>
            <w:r/>
            <w:r>
              <w:rPr>
                <w:rFonts w:ascii="Aptos" w:hAnsi="Aptos"/>
                <w:b/>
                <w:color w:val="FFFFFF"/>
                <w:sz w:val="18"/>
              </w:rPr>
              <w:t>Item</w:t>
            </w:r>
          </w:p>
        </w:tc>
        <w:tc>
          <w:tcPr>
            <w:tcW w:type="dxa" w:w="8064"/>
            <w:vAlign w:val="center"/>
            <w:shd w:fill="163A5F"/>
          </w:tcPr>
          <w:p>
            <w:pPr>
              <w:spacing w:after="0"/>
            </w:pPr>
            <w:r/>
            <w:r>
              <w:rPr>
                <w:rFonts w:ascii="Aptos" w:hAnsi="Aptos"/>
                <w:b/>
                <w:color w:val="FFFFFF"/>
                <w:sz w:val="18"/>
              </w:rPr>
              <w:t>Plan</w:t>
            </w:r>
          </w:p>
        </w:tc>
      </w:tr>
      <w:tr>
        <w:tc>
          <w:tcPr>
            <w:tcW w:type="dxa" w:w="2448"/>
            <w:vAlign w:val="center"/>
          </w:tcPr>
          <w:p>
            <w:pPr>
              <w:spacing w:after="0"/>
            </w:pPr>
            <w:r/>
            <w:r>
              <w:rPr>
                <w:rFonts w:ascii="Aptos" w:hAnsi="Aptos"/>
                <w:b w:val="0"/>
                <w:sz w:val="17"/>
              </w:rPr>
              <w:t>Campaign name</w:t>
            </w:r>
          </w:p>
        </w:tc>
        <w:tc>
          <w:tcPr>
            <w:tcW w:type="dxa" w:w="8064"/>
            <w:vAlign w:val="center"/>
          </w:tcPr>
          <w:p>
            <w:pPr>
              <w:spacing w:after="0"/>
            </w:pPr>
            <w:r/>
            <w:r>
              <w:rPr>
                <w:rFonts w:ascii="Aptos" w:hAnsi="Aptos"/>
                <w:b w:val="0"/>
                <w:sz w:val="17"/>
              </w:rPr>
              <w:t>Pause. Check. Protect.</w:t>
            </w:r>
          </w:p>
        </w:tc>
      </w:tr>
      <w:tr>
        <w:tc>
          <w:tcPr>
            <w:tcW w:type="dxa" w:w="2448"/>
            <w:vAlign w:val="center"/>
            <w:shd w:fill="F1F6F8"/>
          </w:tcPr>
          <w:p>
            <w:pPr>
              <w:spacing w:after="0"/>
            </w:pPr>
            <w:r/>
            <w:r>
              <w:rPr>
                <w:rFonts w:ascii="Aptos" w:hAnsi="Aptos"/>
                <w:b w:val="0"/>
                <w:sz w:val="17"/>
              </w:rPr>
              <w:t>Duration</w:t>
            </w:r>
          </w:p>
        </w:tc>
        <w:tc>
          <w:tcPr>
            <w:tcW w:type="dxa" w:w="8064"/>
            <w:vAlign w:val="center"/>
            <w:shd w:fill="F1F6F8"/>
          </w:tcPr>
          <w:p>
            <w:pPr>
              <w:spacing w:after="0"/>
            </w:pPr>
            <w:r/>
            <w:r>
              <w:rPr>
                <w:rFonts w:ascii="Aptos" w:hAnsi="Aptos"/>
                <w:b w:val="0"/>
                <w:sz w:val="17"/>
              </w:rPr>
              <w:t>Four weeks, preceded by preparation and followed by evaluation</w:t>
            </w:r>
          </w:p>
        </w:tc>
      </w:tr>
      <w:tr>
        <w:tc>
          <w:tcPr>
            <w:tcW w:type="dxa" w:w="2448"/>
            <w:vAlign w:val="center"/>
          </w:tcPr>
          <w:p>
            <w:pPr>
              <w:spacing w:after="0"/>
            </w:pPr>
            <w:r/>
            <w:r>
              <w:rPr>
                <w:rFonts w:ascii="Aptos" w:hAnsi="Aptos"/>
                <w:b w:val="0"/>
                <w:sz w:val="17"/>
              </w:rPr>
              <w:t>Audience</w:t>
            </w:r>
          </w:p>
        </w:tc>
        <w:tc>
          <w:tcPr>
            <w:tcW w:type="dxa" w:w="8064"/>
            <w:vAlign w:val="center"/>
          </w:tcPr>
          <w:p>
            <w:pPr>
              <w:spacing w:after="0"/>
            </w:pPr>
            <w:r/>
            <w:r>
              <w:rPr>
                <w:rFonts w:ascii="Aptos" w:hAnsi="Aptos"/>
                <w:b w:val="0"/>
                <w:sz w:val="17"/>
              </w:rPr>
              <w:t>All employees, contractors, managers, and relevant support teams</w:t>
            </w:r>
          </w:p>
        </w:tc>
      </w:tr>
      <w:tr>
        <w:tc>
          <w:tcPr>
            <w:tcW w:type="dxa" w:w="2448"/>
            <w:vAlign w:val="center"/>
            <w:shd w:fill="F1F6F8"/>
          </w:tcPr>
          <w:p>
            <w:pPr>
              <w:spacing w:after="0"/>
            </w:pPr>
            <w:r/>
            <w:r>
              <w:rPr>
                <w:rFonts w:ascii="Aptos" w:hAnsi="Aptos"/>
                <w:b w:val="0"/>
                <w:sz w:val="17"/>
              </w:rPr>
              <w:t>Delivery style</w:t>
            </w:r>
          </w:p>
        </w:tc>
        <w:tc>
          <w:tcPr>
            <w:tcW w:type="dxa" w:w="8064"/>
            <w:vAlign w:val="center"/>
            <w:shd w:fill="F1F6F8"/>
          </w:tcPr>
          <w:p>
            <w:pPr>
              <w:spacing w:after="0"/>
            </w:pPr>
            <w:r/>
            <w:r>
              <w:rPr>
                <w:rFonts w:ascii="Aptos" w:hAnsi="Aptos"/>
                <w:b w:val="0"/>
                <w:sz w:val="17"/>
              </w:rPr>
              <w:t>Short learning activities, practical demonstrations, reminders, and a safe simulation</w:t>
            </w:r>
          </w:p>
        </w:tc>
      </w:tr>
      <w:tr>
        <w:tc>
          <w:tcPr>
            <w:tcW w:type="dxa" w:w="2448"/>
            <w:vAlign w:val="center"/>
          </w:tcPr>
          <w:p>
            <w:pPr>
              <w:spacing w:after="0"/>
            </w:pPr>
            <w:r/>
            <w:r>
              <w:rPr>
                <w:rFonts w:ascii="Aptos" w:hAnsi="Aptos"/>
                <w:b w:val="0"/>
                <w:sz w:val="17"/>
              </w:rPr>
              <w:t>Primary outcome</w:t>
            </w:r>
          </w:p>
        </w:tc>
        <w:tc>
          <w:tcPr>
            <w:tcW w:type="dxa" w:w="8064"/>
            <w:vAlign w:val="center"/>
          </w:tcPr>
          <w:p>
            <w:pPr>
              <w:spacing w:after="0"/>
            </w:pPr>
            <w:r/>
            <w:r>
              <w:rPr>
                <w:rFonts w:ascii="Aptos" w:hAnsi="Aptos"/>
                <w:b w:val="0"/>
                <w:sz w:val="17"/>
              </w:rPr>
              <w:t>Employees make safer choices and report suspicious activity promptly</w:t>
            </w:r>
          </w:p>
        </w:tc>
      </w:tr>
      <w:tr>
        <w:tc>
          <w:tcPr>
            <w:tcW w:type="dxa" w:w="2448"/>
            <w:vAlign w:val="center"/>
            <w:shd w:fill="F1F6F8"/>
          </w:tcPr>
          <w:p>
            <w:pPr>
              <w:spacing w:after="0"/>
            </w:pPr>
            <w:r/>
            <w:r>
              <w:rPr>
                <w:rFonts w:ascii="Aptos" w:hAnsi="Aptos"/>
                <w:b w:val="0"/>
                <w:sz w:val="17"/>
              </w:rPr>
              <w:t>Estimated project effort</w:t>
            </w:r>
          </w:p>
        </w:tc>
        <w:tc>
          <w:tcPr>
            <w:tcW w:type="dxa" w:w="8064"/>
            <w:vAlign w:val="center"/>
            <w:shd w:fill="F1F6F8"/>
          </w:tcPr>
          <w:p>
            <w:pPr>
              <w:spacing w:after="0"/>
            </w:pPr>
            <w:r/>
            <w:r>
              <w:rPr>
                <w:rFonts w:ascii="Aptos" w:hAnsi="Aptos"/>
                <w:b w:val="0"/>
                <w:sz w:val="17"/>
              </w:rPr>
              <w:t>Approximately 32 hours of planning, preparation, delivery coordination, and evaluation</w:t>
            </w:r>
          </w:p>
        </w:tc>
      </w:tr>
    </w:tbl>
    <w:p>
      <w:pPr>
        <w:spacing w:after="0"/>
      </w:pPr>
    </w:p>
    <w:p>
      <w:pPr>
        <w:pStyle w:val="Heading1"/>
      </w:pPr>
      <w:r>
        <w:t>1. Organization Profile and Risk Context</w:t>
      </w:r>
    </w:p>
    <w:p>
      <w:r>
        <w:t>Northstar Services is a fictional organization of approximately 250 employees. Staff use email, cloud collaboration tools, laptops, smartphones, customer records, and shared business systems. Some employees work remotely or travel. The organization depends on trustworthy information, reliable access to systems, and protection of employee and customer data.</w:t>
      </w:r>
    </w:p>
    <w:p>
      <w:r>
        <w:t>Likely human-centered risks include:</w:t>
      </w:r>
    </w:p>
    <w:p>
      <w:pPr>
        <w:pStyle w:val="ListBullet"/>
        <w:spacing w:after="40"/>
      </w:pPr>
      <w:r>
        <w:t>Phishing emails, fraudulent login pages, malicious attachments, and QR-code scams.</w:t>
      </w:r>
    </w:p>
    <w:p>
      <w:pPr>
        <w:pStyle w:val="ListBullet"/>
        <w:spacing w:after="40"/>
      </w:pPr>
      <w:r>
        <w:t>Reused or weak passwords and failure to enable multi-factor authentication (MFA).</w:t>
      </w:r>
    </w:p>
    <w:p>
      <w:pPr>
        <w:pStyle w:val="ListBullet"/>
        <w:spacing w:after="40"/>
      </w:pPr>
      <w:r>
        <w:t>Accidental sharing of confidential files or sending information to the wrong recipient.</w:t>
      </w:r>
    </w:p>
    <w:p>
      <w:pPr>
        <w:pStyle w:val="ListBullet"/>
        <w:spacing w:after="40"/>
      </w:pPr>
      <w:r>
        <w:t>Unsafe use of public Wi-Fi, lost devices, and insecure remote-working practices.</w:t>
      </w:r>
    </w:p>
    <w:p>
      <w:pPr>
        <w:pStyle w:val="ListBullet"/>
        <w:spacing w:after="40"/>
      </w:pPr>
      <w:r>
        <w:t>Unverified requests for payments, gift cards, password resets, or changes to supplier bank details.</w:t>
      </w:r>
    </w:p>
    <w:p>
      <w:pPr>
        <w:pStyle w:val="ListBullet"/>
        <w:spacing w:after="40"/>
      </w:pPr>
      <w:r>
        <w:t>Late reporting of incidents because employees are unsure what to do or fear blame.</w:t>
      </w:r>
    </w:p>
    <w:p>
      <w:r>
        <w:t>The campaign treats employees as an important part of the organization’s defense. It will use practical, non-blaming education and make reporting easy. It will not ask staff to disclose passwords or sensitive personal information.</w:t>
      </w:r>
    </w:p>
    <w:p>
      <w:pPr>
        <w:pStyle w:val="Heading1"/>
      </w:pPr>
      <w:r>
        <w:t>2. Campaign Goal and SMART Objectives</w:t>
      </w:r>
    </w:p>
    <w:p>
      <w:r>
        <w:t>Overall goal: improve everyday security behavior and reduce the likelihood and impact of avoidable incidents.</w:t>
      </w:r>
    </w:p>
    <w:p>
      <w:pPr>
        <w:pStyle w:val="ListBullet"/>
        <w:spacing w:after="40"/>
      </w:pPr>
      <w:r>
        <w:t>Awareness: by the end of Week 4, at least 90% of employees will have received the core campaign materials.</w:t>
      </w:r>
    </w:p>
    <w:p>
      <w:pPr>
        <w:pStyle w:val="ListBullet"/>
        <w:spacing w:after="40"/>
      </w:pPr>
      <w:r>
        <w:t>Learning: at least 85% of participants completing the short knowledge check will score 80% or higher.</w:t>
      </w:r>
    </w:p>
    <w:p>
      <w:pPr>
        <w:pStyle w:val="ListBullet"/>
        <w:spacing w:after="40"/>
      </w:pPr>
      <w:r>
        <w:t>Phishing recognition: improve the proportion of employees who correctly identify suspicious messages compared with the baseline exercise.</w:t>
      </w:r>
    </w:p>
    <w:p>
      <w:pPr>
        <w:pStyle w:val="ListBullet"/>
        <w:spacing w:after="40"/>
      </w:pPr>
      <w:r>
        <w:t>Reporting: increase the number of suspicious messages reported through the approved channel and reduce the time between discovery and reporting.</w:t>
      </w:r>
    </w:p>
    <w:p>
      <w:pPr>
        <w:pStyle w:val="ListBullet"/>
        <w:spacing w:after="40"/>
      </w:pPr>
      <w:r>
        <w:t>Account security: remind employees to use unique passwords, a password manager where approved, and MFA wherever available.</w:t>
      </w:r>
    </w:p>
    <w:p>
      <w:pPr>
        <w:pStyle w:val="ListBullet"/>
        <w:spacing w:after="40"/>
      </w:pPr>
      <w:r>
        <w:t>Sustainability: assign topic owners and publish a 90-day follow-up plan before the campaign closes.</w:t>
      </w:r>
    </w:p>
    <w:p>
      <w:r>
        <w:t>Targets are proposed planning goals, not claims about existing performance. Baseline measurements should be collected before final targets are confirmed.</w:t>
      </w:r>
    </w:p>
    <w:p>
      <w:pPr>
        <w:pStyle w:val="Heading1"/>
      </w:pPr>
      <w:r>
        <w:t>3. Audience and Learning Approach</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63A5F"/>
          </w:tcPr>
          <w:p>
            <w:pPr>
              <w:spacing w:after="0"/>
            </w:pPr>
            <w:r/>
            <w:r>
              <w:rPr>
                <w:rFonts w:ascii="Aptos" w:hAnsi="Aptos"/>
                <w:b/>
                <w:color w:val="FFFFFF"/>
                <w:sz w:val="18"/>
              </w:rPr>
              <w:t>Audience group</w:t>
            </w:r>
          </w:p>
        </w:tc>
        <w:tc>
          <w:tcPr>
            <w:tcW w:type="dxa" w:w="3888"/>
            <w:vAlign w:val="center"/>
            <w:shd w:fill="163A5F"/>
          </w:tcPr>
          <w:p>
            <w:pPr>
              <w:spacing w:after="0"/>
            </w:pPr>
            <w:r/>
            <w:r>
              <w:rPr>
                <w:rFonts w:ascii="Aptos" w:hAnsi="Aptos"/>
                <w:b/>
                <w:color w:val="FFFFFF"/>
                <w:sz w:val="18"/>
              </w:rPr>
              <w:t>Likely needs</w:t>
            </w:r>
          </w:p>
        </w:tc>
        <w:tc>
          <w:tcPr>
            <w:tcW w:type="dxa" w:w="4536"/>
            <w:vAlign w:val="center"/>
            <w:shd w:fill="163A5F"/>
          </w:tcPr>
          <w:p>
            <w:pPr>
              <w:spacing w:after="0"/>
            </w:pPr>
            <w:r/>
            <w:r>
              <w:rPr>
                <w:rFonts w:ascii="Aptos" w:hAnsi="Aptos"/>
                <w:b/>
                <w:color w:val="FFFFFF"/>
                <w:sz w:val="18"/>
              </w:rPr>
              <w:t>Approach</w:t>
            </w:r>
          </w:p>
        </w:tc>
      </w:tr>
      <w:tr>
        <w:tc>
          <w:tcPr>
            <w:tcW w:type="dxa" w:w="2088"/>
            <w:vAlign w:val="center"/>
          </w:tcPr>
          <w:p>
            <w:pPr>
              <w:spacing w:after="0"/>
            </w:pPr>
            <w:r/>
            <w:r>
              <w:rPr>
                <w:rFonts w:ascii="Aptos" w:hAnsi="Aptos"/>
                <w:b w:val="0"/>
                <w:sz w:val="17"/>
              </w:rPr>
              <w:t>All employees</w:t>
            </w:r>
          </w:p>
        </w:tc>
        <w:tc>
          <w:tcPr>
            <w:tcW w:type="dxa" w:w="3888"/>
            <w:vAlign w:val="center"/>
          </w:tcPr>
          <w:p>
            <w:pPr>
              <w:spacing w:after="0"/>
            </w:pPr>
            <w:r/>
            <w:r>
              <w:rPr>
                <w:rFonts w:ascii="Aptos" w:hAnsi="Aptos"/>
                <w:b w:val="0"/>
                <w:sz w:val="17"/>
              </w:rPr>
              <w:t>Recognize common threats and know how to report them</w:t>
            </w:r>
          </w:p>
        </w:tc>
        <w:tc>
          <w:tcPr>
            <w:tcW w:type="dxa" w:w="4536"/>
            <w:vAlign w:val="center"/>
          </w:tcPr>
          <w:p>
            <w:pPr>
              <w:spacing w:after="0"/>
            </w:pPr>
            <w:r/>
            <w:r>
              <w:rPr>
                <w:rFonts w:ascii="Aptos" w:hAnsi="Aptos"/>
                <w:b w:val="0"/>
                <w:sz w:val="17"/>
              </w:rPr>
              <w:t>Short all-staff messages, quick guides, knowledge check</w:t>
            </w:r>
          </w:p>
        </w:tc>
      </w:tr>
      <w:tr>
        <w:tc>
          <w:tcPr>
            <w:tcW w:type="dxa" w:w="2088"/>
            <w:vAlign w:val="center"/>
            <w:shd w:fill="F1F6F8"/>
          </w:tcPr>
          <w:p>
            <w:pPr>
              <w:spacing w:after="0"/>
            </w:pPr>
            <w:r/>
            <w:r>
              <w:rPr>
                <w:rFonts w:ascii="Aptos" w:hAnsi="Aptos"/>
                <w:b w:val="0"/>
                <w:sz w:val="17"/>
              </w:rPr>
              <w:t>Managers and team leads</w:t>
            </w:r>
          </w:p>
        </w:tc>
        <w:tc>
          <w:tcPr>
            <w:tcW w:type="dxa" w:w="3888"/>
            <w:vAlign w:val="center"/>
            <w:shd w:fill="F1F6F8"/>
          </w:tcPr>
          <w:p>
            <w:pPr>
              <w:spacing w:after="0"/>
            </w:pPr>
            <w:r/>
            <w:r>
              <w:rPr>
                <w:rFonts w:ascii="Aptos" w:hAnsi="Aptos"/>
                <w:b w:val="0"/>
                <w:sz w:val="17"/>
              </w:rPr>
              <w:t>Model good behavior and reinforce reporting culture</w:t>
            </w:r>
          </w:p>
        </w:tc>
        <w:tc>
          <w:tcPr>
            <w:tcW w:type="dxa" w:w="4536"/>
            <w:vAlign w:val="center"/>
            <w:shd w:fill="F1F6F8"/>
          </w:tcPr>
          <w:p>
            <w:pPr>
              <w:spacing w:after="0"/>
            </w:pPr>
            <w:r/>
            <w:r>
              <w:rPr>
                <w:rFonts w:ascii="Aptos" w:hAnsi="Aptos"/>
                <w:b w:val="0"/>
                <w:sz w:val="17"/>
              </w:rPr>
              <w:t>Manager briefing, team discussion prompts</w:t>
            </w:r>
          </w:p>
        </w:tc>
      </w:tr>
      <w:tr>
        <w:tc>
          <w:tcPr>
            <w:tcW w:type="dxa" w:w="2088"/>
            <w:vAlign w:val="center"/>
          </w:tcPr>
          <w:p>
            <w:pPr>
              <w:spacing w:after="0"/>
            </w:pPr>
            <w:r/>
            <w:r>
              <w:rPr>
                <w:rFonts w:ascii="Aptos" w:hAnsi="Aptos"/>
                <w:b w:val="0"/>
                <w:sz w:val="17"/>
              </w:rPr>
              <w:t>Finance and procurement</w:t>
            </w:r>
          </w:p>
        </w:tc>
        <w:tc>
          <w:tcPr>
            <w:tcW w:type="dxa" w:w="3888"/>
            <w:vAlign w:val="center"/>
          </w:tcPr>
          <w:p>
            <w:pPr>
              <w:spacing w:after="0"/>
            </w:pPr>
            <w:r/>
            <w:r>
              <w:rPr>
                <w:rFonts w:ascii="Aptos" w:hAnsi="Aptos"/>
                <w:b w:val="0"/>
                <w:sz w:val="17"/>
              </w:rPr>
              <w:t>Detect payment redirection and supplier impersonation fraud</w:t>
            </w:r>
          </w:p>
        </w:tc>
        <w:tc>
          <w:tcPr>
            <w:tcW w:type="dxa" w:w="4536"/>
            <w:vAlign w:val="center"/>
          </w:tcPr>
          <w:p>
            <w:pPr>
              <w:spacing w:after="0"/>
            </w:pPr>
            <w:r/>
            <w:r>
              <w:rPr>
                <w:rFonts w:ascii="Aptos" w:hAnsi="Aptos"/>
                <w:b w:val="0"/>
                <w:sz w:val="17"/>
              </w:rPr>
              <w:t>Targeted scenario exercise and call-back verification checklist</w:t>
            </w:r>
          </w:p>
        </w:tc>
      </w:tr>
      <w:tr>
        <w:tc>
          <w:tcPr>
            <w:tcW w:type="dxa" w:w="2088"/>
            <w:vAlign w:val="center"/>
            <w:shd w:fill="F1F6F8"/>
          </w:tcPr>
          <w:p>
            <w:pPr>
              <w:spacing w:after="0"/>
            </w:pPr>
            <w:r/>
            <w:r>
              <w:rPr>
                <w:rFonts w:ascii="Aptos" w:hAnsi="Aptos"/>
                <w:b w:val="0"/>
                <w:sz w:val="17"/>
              </w:rPr>
              <w:t>IT and support staff</w:t>
            </w:r>
          </w:p>
        </w:tc>
        <w:tc>
          <w:tcPr>
            <w:tcW w:type="dxa" w:w="3888"/>
            <w:vAlign w:val="center"/>
            <w:shd w:fill="F1F6F8"/>
          </w:tcPr>
          <w:p>
            <w:pPr>
              <w:spacing w:after="0"/>
            </w:pPr>
            <w:r/>
            <w:r>
              <w:rPr>
                <w:rFonts w:ascii="Aptos" w:hAnsi="Aptos"/>
                <w:b w:val="0"/>
                <w:sz w:val="17"/>
              </w:rPr>
              <w:t>Handle reports consistently and reinforce safe account practices</w:t>
            </w:r>
          </w:p>
        </w:tc>
        <w:tc>
          <w:tcPr>
            <w:tcW w:type="dxa" w:w="4536"/>
            <w:vAlign w:val="center"/>
            <w:shd w:fill="F1F6F8"/>
          </w:tcPr>
          <w:p>
            <w:pPr>
              <w:spacing w:after="0"/>
            </w:pPr>
            <w:r/>
            <w:r>
              <w:rPr>
                <w:rFonts w:ascii="Aptos" w:hAnsi="Aptos"/>
                <w:b w:val="0"/>
                <w:sz w:val="17"/>
              </w:rPr>
              <w:t>Incident-routing guide and escalation contacts</w:t>
            </w:r>
          </w:p>
        </w:tc>
      </w:tr>
      <w:tr>
        <w:tc>
          <w:tcPr>
            <w:tcW w:type="dxa" w:w="2088"/>
            <w:vAlign w:val="center"/>
          </w:tcPr>
          <w:p>
            <w:pPr>
              <w:spacing w:after="0"/>
            </w:pPr>
            <w:r/>
            <w:r>
              <w:rPr>
                <w:rFonts w:ascii="Aptos" w:hAnsi="Aptos"/>
                <w:b w:val="0"/>
                <w:sz w:val="17"/>
              </w:rPr>
              <w:t>Remote and mobile workers</w:t>
            </w:r>
          </w:p>
        </w:tc>
        <w:tc>
          <w:tcPr>
            <w:tcW w:type="dxa" w:w="3888"/>
            <w:vAlign w:val="center"/>
          </w:tcPr>
          <w:p>
            <w:pPr>
              <w:spacing w:after="0"/>
            </w:pPr>
            <w:r/>
            <w:r>
              <w:rPr>
                <w:rFonts w:ascii="Aptos" w:hAnsi="Aptos"/>
                <w:b w:val="0"/>
                <w:sz w:val="17"/>
              </w:rPr>
              <w:t>Secure devices, networks, and confidential conversations</w:t>
            </w:r>
          </w:p>
        </w:tc>
        <w:tc>
          <w:tcPr>
            <w:tcW w:type="dxa" w:w="4536"/>
            <w:vAlign w:val="center"/>
          </w:tcPr>
          <w:p>
            <w:pPr>
              <w:spacing w:after="0"/>
            </w:pPr>
            <w:r/>
            <w:r>
              <w:rPr>
                <w:rFonts w:ascii="Aptos" w:hAnsi="Aptos"/>
                <w:b w:val="0"/>
                <w:sz w:val="17"/>
              </w:rPr>
              <w:t>Remote-work checklist and mobile-friendly reminders</w:t>
            </w:r>
          </w:p>
        </w:tc>
      </w:tr>
      <w:tr>
        <w:tc>
          <w:tcPr>
            <w:tcW w:type="dxa" w:w="2088"/>
            <w:vAlign w:val="center"/>
            <w:shd w:fill="F1F6F8"/>
          </w:tcPr>
          <w:p>
            <w:pPr>
              <w:spacing w:after="0"/>
            </w:pPr>
            <w:r/>
            <w:r>
              <w:rPr>
                <w:rFonts w:ascii="Aptos" w:hAnsi="Aptos"/>
                <w:b w:val="0"/>
                <w:sz w:val="17"/>
              </w:rPr>
              <w:t>New starters and contractors</w:t>
            </w:r>
          </w:p>
        </w:tc>
        <w:tc>
          <w:tcPr>
            <w:tcW w:type="dxa" w:w="3888"/>
            <w:vAlign w:val="center"/>
            <w:shd w:fill="F1F6F8"/>
          </w:tcPr>
          <w:p>
            <w:pPr>
              <w:spacing w:after="0"/>
            </w:pPr>
            <w:r/>
            <w:r>
              <w:rPr>
                <w:rFonts w:ascii="Aptos" w:hAnsi="Aptos"/>
                <w:b w:val="0"/>
                <w:sz w:val="17"/>
              </w:rPr>
              <w:t>Understand minimum security expectations</w:t>
            </w:r>
          </w:p>
        </w:tc>
        <w:tc>
          <w:tcPr>
            <w:tcW w:type="dxa" w:w="4536"/>
            <w:vAlign w:val="center"/>
            <w:shd w:fill="F1F6F8"/>
          </w:tcPr>
          <w:p>
            <w:pPr>
              <w:spacing w:after="0"/>
            </w:pPr>
            <w:r/>
            <w:r>
              <w:rPr>
                <w:rFonts w:ascii="Aptos" w:hAnsi="Aptos"/>
                <w:b w:val="0"/>
                <w:sz w:val="17"/>
              </w:rPr>
              <w:t>Campaign pack plus onboarding link</w:t>
            </w:r>
          </w:p>
        </w:tc>
      </w:tr>
    </w:tbl>
    <w:p>
      <w:pPr>
        <w:spacing w:after="0"/>
      </w:pPr>
    </w:p>
    <w:p>
      <w:r>
        <w:t>Learning will be concise and accessible: plain language, realistic examples, captions for videos, mobile-friendly materials, and alternatives for employees who cannot attend live sessions. The campaign will focus on actions employees can take rather than technical jargon.</w:t>
      </w:r>
    </w:p>
    <w:p>
      <w:pPr>
        <w:pStyle w:val="Heading1"/>
      </w:pPr>
      <w:r>
        <w:t>4. Core Awareness Topics</w:t>
      </w:r>
    </w:p>
    <w:p>
      <w:pPr>
        <w:pStyle w:val="ListBullet"/>
        <w:spacing w:after="80"/>
      </w:pPr>
      <w:r>
        <w:rPr>
          <w:b/>
        </w:rPr>
        <w:t xml:space="preserve">Phishing and social engineering: </w:t>
      </w:r>
      <w:r>
        <w:t>Check the sender and domain, inspect links before opening, be cautious with unexpected attachments and QR codes, and verify unusual requests through a separate trusted channel.</w:t>
      </w:r>
    </w:p>
    <w:p>
      <w:pPr>
        <w:pStyle w:val="ListBullet"/>
        <w:spacing w:after="80"/>
      </w:pPr>
      <w:r>
        <w:rPr>
          <w:b/>
        </w:rPr>
        <w:t xml:space="preserve">Passwords and MFA: </w:t>
      </w:r>
      <w:r>
        <w:t>Use a unique password for each service, use an organization-approved password manager where available, never share one-time codes, and approve MFA prompts only when personally initiated.</w:t>
      </w:r>
    </w:p>
    <w:p>
      <w:pPr>
        <w:pStyle w:val="ListBullet"/>
        <w:spacing w:after="80"/>
      </w:pPr>
      <w:r>
        <w:rPr>
          <w:b/>
        </w:rPr>
        <w:t xml:space="preserve">Data handling and privacy: </w:t>
      </w:r>
      <w:r>
        <w:t>Classify information according to organizational rules, share files only with intended recipients, verify recipients before sending, and use approved storage and collaboration tools.</w:t>
      </w:r>
    </w:p>
    <w:p>
      <w:pPr>
        <w:pStyle w:val="ListBullet"/>
        <w:spacing w:after="80"/>
      </w:pPr>
      <w:r>
        <w:rPr>
          <w:b/>
        </w:rPr>
        <w:t xml:space="preserve">Device and software security: </w:t>
      </w:r>
      <w:r>
        <w:t>Lock screens, install approved updates promptly, use endpoint protection, avoid unapproved software, and report lost or stolen devices immediately.</w:t>
      </w:r>
    </w:p>
    <w:p>
      <w:pPr>
        <w:pStyle w:val="ListBullet"/>
        <w:spacing w:after="80"/>
      </w:pPr>
      <w:r>
        <w:rPr>
          <w:b/>
        </w:rPr>
        <w:t xml:space="preserve">Remote work and public networks: </w:t>
      </w:r>
      <w:r>
        <w:t>Use approved VPN or secure access methods, avoid sensitive work on untrusted networks, keep devices physically secure, and prevent others from viewing confidential information.</w:t>
      </w:r>
    </w:p>
    <w:p>
      <w:pPr>
        <w:pStyle w:val="ListBullet"/>
        <w:spacing w:after="80"/>
      </w:pPr>
      <w:r>
        <w:rPr>
          <w:b/>
        </w:rPr>
        <w:t xml:space="preserve">Payment and identity fraud: </w:t>
      </w:r>
      <w:r>
        <w:t>Independently verify urgent payment requests, bank-detail changes, password resets, and requests to bypass normal procedures. Use known contact details, not those in the suspicious message.</w:t>
      </w:r>
    </w:p>
    <w:p>
      <w:pPr>
        <w:pStyle w:val="ListBullet"/>
        <w:spacing w:after="80"/>
      </w:pPr>
      <w:r>
        <w:rPr>
          <w:b/>
        </w:rPr>
        <w:t xml:space="preserve">Incident reporting: </w:t>
      </w:r>
      <w:r>
        <w:t>Report suspicious emails, unexpected MFA prompts, lost devices, accidental disclosures, or suspected malware immediately through the approved channel. Do not hide mistakes or attempt risky self-remediation.</w:t>
      </w:r>
    </w:p>
    <w:p>
      <w:pPr>
        <w:pStyle w:val="ListBullet"/>
        <w:spacing w:after="80"/>
      </w:pPr>
      <w:r>
        <w:rPr>
          <w:b/>
        </w:rPr>
        <w:t xml:space="preserve">Physical security and clean desk: </w:t>
      </w:r>
      <w:r>
        <w:t>Challenge unknown visitors politely according to policy, prevent tailgating, secure paper records, and dispose of sensitive documents using approved methods.</w:t>
      </w:r>
    </w:p>
    <w:p>
      <w:pPr>
        <w:pStyle w:val="Heading1"/>
      </w:pPr>
      <w:r>
        <w:t>5. Campaign Theme and Creative Ideas</w:t>
      </w:r>
    </w:p>
    <w:p>
      <w:r>
        <w:t>Campaign slogan: “Pause. Check. Protect.” The theme encourages employees to pause before acting, check identity and context, and protect accounts, devices, and information.</w:t>
      </w:r>
    </w:p>
    <w:p>
      <w:pPr>
        <w:pStyle w:val="ListBullet"/>
        <w:spacing w:after="40"/>
      </w:pPr>
      <w:r>
        <w:t>The 60-second security tip: one concise weekly email or intranet post with one action employees can use immediately.</w:t>
      </w:r>
    </w:p>
    <w:p>
      <w:pPr>
        <w:pStyle w:val="ListBullet"/>
        <w:spacing w:after="40"/>
      </w:pPr>
      <w:r>
        <w:t>Spot the red flag: a short, fictional message displayed in a team meeting; employees identify suspicious signs together.</w:t>
      </w:r>
    </w:p>
    <w:p>
      <w:pPr>
        <w:pStyle w:val="ListBullet"/>
        <w:spacing w:after="40"/>
      </w:pPr>
      <w:r>
        <w:t>Security myth-buster: correct misconceptions such as “a familiar logo proves an email is genuine” or “MFA prompts are always safe to approve.”</w:t>
      </w:r>
    </w:p>
    <w:p>
      <w:pPr>
        <w:pStyle w:val="ListBullet"/>
        <w:spacing w:after="40"/>
      </w:pPr>
      <w:r>
        <w:t>Report-it reminder: a simple visual showing the approved reporting channel and what details to include.</w:t>
      </w:r>
    </w:p>
    <w:p>
      <w:pPr>
        <w:pStyle w:val="ListBullet"/>
        <w:spacing w:after="40"/>
      </w:pPr>
      <w:r>
        <w:t>Team security pledge: each team chooses one practical habit to maintain for the next month.</w:t>
      </w:r>
    </w:p>
    <w:p>
      <w:pPr>
        <w:pStyle w:val="ListBullet"/>
        <w:spacing w:after="40"/>
      </w:pPr>
      <w:r>
        <w:t>Positive recognition: thank teams for participation and useful reporting without publishing individual mistakes or shaming employees.</w:t>
      </w:r>
    </w:p>
    <w:p>
      <w:r>
        <w:t>Any simulated phishing activity must be approved by IT/security and HR, use a safe landing page, avoid collecting real passwords, protect employee privacy, and be followed by constructive education. Results should be aggregated where possible and used to improve training, not to embarrass individuals.</w:t>
      </w:r>
    </w:p>
    <w:p>
      <w:pPr>
        <w:pStyle w:val="Heading1"/>
      </w:pPr>
      <w:r>
        <w:t>6. Communication Channels and Materials</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63A5F"/>
          </w:tcPr>
          <w:p>
            <w:pPr>
              <w:spacing w:after="0"/>
            </w:pPr>
            <w:r/>
            <w:r>
              <w:rPr>
                <w:rFonts w:ascii="Aptos" w:hAnsi="Aptos"/>
                <w:b/>
                <w:color w:val="FFFFFF"/>
                <w:sz w:val="18"/>
              </w:rPr>
              <w:t>Channel</w:t>
            </w:r>
          </w:p>
        </w:tc>
        <w:tc>
          <w:tcPr>
            <w:tcW w:type="dxa" w:w="5400"/>
            <w:vAlign w:val="center"/>
            <w:shd w:fill="163A5F"/>
          </w:tcPr>
          <w:p>
            <w:pPr>
              <w:spacing w:after="0"/>
            </w:pPr>
            <w:r/>
            <w:r>
              <w:rPr>
                <w:rFonts w:ascii="Aptos" w:hAnsi="Aptos"/>
                <w:b/>
                <w:color w:val="FFFFFF"/>
                <w:sz w:val="18"/>
              </w:rPr>
              <w:t>Purpose and format</w:t>
            </w:r>
          </w:p>
        </w:tc>
        <w:tc>
          <w:tcPr>
            <w:tcW w:type="dxa" w:w="3024"/>
            <w:vAlign w:val="center"/>
            <w:shd w:fill="163A5F"/>
          </w:tcPr>
          <w:p>
            <w:pPr>
              <w:spacing w:after="0"/>
            </w:pPr>
            <w:r/>
            <w:r>
              <w:rPr>
                <w:rFonts w:ascii="Aptos" w:hAnsi="Aptos"/>
                <w:b/>
                <w:color w:val="FFFFFF"/>
                <w:sz w:val="18"/>
              </w:rPr>
              <w:t>Frequency / owner</w:t>
            </w:r>
          </w:p>
        </w:tc>
      </w:tr>
      <w:tr>
        <w:tc>
          <w:tcPr>
            <w:tcW w:type="dxa" w:w="2088"/>
            <w:vAlign w:val="center"/>
          </w:tcPr>
          <w:p>
            <w:pPr>
              <w:spacing w:after="0"/>
            </w:pPr>
            <w:r/>
            <w:r>
              <w:rPr>
                <w:rFonts w:ascii="Aptos" w:hAnsi="Aptos"/>
                <w:b w:val="0"/>
                <w:sz w:val="17"/>
              </w:rPr>
              <w:t>Email</w:t>
            </w:r>
          </w:p>
        </w:tc>
        <w:tc>
          <w:tcPr>
            <w:tcW w:type="dxa" w:w="5400"/>
            <w:vAlign w:val="center"/>
          </w:tcPr>
          <w:p>
            <w:pPr>
              <w:spacing w:after="0"/>
            </w:pPr>
            <w:r/>
            <w:r>
              <w:rPr>
                <w:rFonts w:ascii="Aptos" w:hAnsi="Aptos"/>
                <w:b w:val="0"/>
                <w:sz w:val="17"/>
              </w:rPr>
              <w:t>Campaign launch, weekly tips, reminders, and follow-up summary</w:t>
            </w:r>
          </w:p>
        </w:tc>
        <w:tc>
          <w:tcPr>
            <w:tcW w:type="dxa" w:w="3024"/>
            <w:vAlign w:val="center"/>
          </w:tcPr>
          <w:p>
            <w:pPr>
              <w:spacing w:after="0"/>
            </w:pPr>
            <w:r/>
            <w:r>
              <w:rPr>
                <w:rFonts w:ascii="Aptos" w:hAnsi="Aptos"/>
                <w:b w:val="0"/>
                <w:sz w:val="17"/>
              </w:rPr>
              <w:t>Launch + weekly; Communications</w:t>
            </w:r>
          </w:p>
        </w:tc>
      </w:tr>
      <w:tr>
        <w:tc>
          <w:tcPr>
            <w:tcW w:type="dxa" w:w="2088"/>
            <w:vAlign w:val="center"/>
            <w:shd w:fill="F1F6F8"/>
          </w:tcPr>
          <w:p>
            <w:pPr>
              <w:spacing w:after="0"/>
            </w:pPr>
            <w:r/>
            <w:r>
              <w:rPr>
                <w:rFonts w:ascii="Aptos" w:hAnsi="Aptos"/>
                <w:b w:val="0"/>
                <w:sz w:val="17"/>
              </w:rPr>
              <w:t>Intranet or staff portal</w:t>
            </w:r>
          </w:p>
        </w:tc>
        <w:tc>
          <w:tcPr>
            <w:tcW w:type="dxa" w:w="5400"/>
            <w:vAlign w:val="center"/>
            <w:shd w:fill="F1F6F8"/>
          </w:tcPr>
          <w:p>
            <w:pPr>
              <w:spacing w:after="0"/>
            </w:pPr>
            <w:r/>
            <w:r>
              <w:rPr>
                <w:rFonts w:ascii="Aptos" w:hAnsi="Aptos"/>
                <w:b w:val="0"/>
                <w:sz w:val="17"/>
              </w:rPr>
              <w:t>Central hub for guides, reporting instructions, FAQ, and quiz</w:t>
            </w:r>
          </w:p>
        </w:tc>
        <w:tc>
          <w:tcPr>
            <w:tcW w:type="dxa" w:w="3024"/>
            <w:vAlign w:val="center"/>
            <w:shd w:fill="F1F6F8"/>
          </w:tcPr>
          <w:p>
            <w:pPr>
              <w:spacing w:after="0"/>
            </w:pPr>
            <w:r/>
            <w:r>
              <w:rPr>
                <w:rFonts w:ascii="Aptos" w:hAnsi="Aptos"/>
                <w:b w:val="0"/>
                <w:sz w:val="17"/>
              </w:rPr>
              <w:t>Available throughout; IT/Security</w:t>
            </w:r>
          </w:p>
        </w:tc>
      </w:tr>
      <w:tr>
        <w:tc>
          <w:tcPr>
            <w:tcW w:type="dxa" w:w="2088"/>
            <w:vAlign w:val="center"/>
          </w:tcPr>
          <w:p>
            <w:pPr>
              <w:spacing w:after="0"/>
            </w:pPr>
            <w:r/>
            <w:r>
              <w:rPr>
                <w:rFonts w:ascii="Aptos" w:hAnsi="Aptos"/>
                <w:b w:val="0"/>
                <w:sz w:val="17"/>
              </w:rPr>
              <w:t>Team meetings</w:t>
            </w:r>
          </w:p>
        </w:tc>
        <w:tc>
          <w:tcPr>
            <w:tcW w:type="dxa" w:w="5400"/>
            <w:vAlign w:val="center"/>
          </w:tcPr>
          <w:p>
            <w:pPr>
              <w:spacing w:after="0"/>
            </w:pPr>
            <w:r/>
            <w:r>
              <w:rPr>
                <w:rFonts w:ascii="Aptos" w:hAnsi="Aptos"/>
                <w:b w:val="0"/>
                <w:sz w:val="17"/>
              </w:rPr>
              <w:t>Five-minute discussion using a realistic scenario</w:t>
            </w:r>
          </w:p>
        </w:tc>
        <w:tc>
          <w:tcPr>
            <w:tcW w:type="dxa" w:w="3024"/>
            <w:vAlign w:val="center"/>
          </w:tcPr>
          <w:p>
            <w:pPr>
              <w:spacing w:after="0"/>
            </w:pPr>
            <w:r/>
            <w:r>
              <w:rPr>
                <w:rFonts w:ascii="Aptos" w:hAnsi="Aptos"/>
                <w:b w:val="0"/>
                <w:sz w:val="17"/>
              </w:rPr>
              <w:t>Weekly; managers</w:t>
            </w:r>
          </w:p>
        </w:tc>
      </w:tr>
      <w:tr>
        <w:tc>
          <w:tcPr>
            <w:tcW w:type="dxa" w:w="2088"/>
            <w:vAlign w:val="center"/>
            <w:shd w:fill="F1F6F8"/>
          </w:tcPr>
          <w:p>
            <w:pPr>
              <w:spacing w:after="0"/>
            </w:pPr>
            <w:r/>
            <w:r>
              <w:rPr>
                <w:rFonts w:ascii="Aptos" w:hAnsi="Aptos"/>
                <w:b w:val="0"/>
                <w:sz w:val="17"/>
              </w:rPr>
              <w:t>Short live or recorded session</w:t>
            </w:r>
          </w:p>
        </w:tc>
        <w:tc>
          <w:tcPr>
            <w:tcW w:type="dxa" w:w="5400"/>
            <w:vAlign w:val="center"/>
            <w:shd w:fill="F1F6F8"/>
          </w:tcPr>
          <w:p>
            <w:pPr>
              <w:spacing w:after="0"/>
            </w:pPr>
            <w:r/>
            <w:r>
              <w:rPr>
                <w:rFonts w:ascii="Aptos" w:hAnsi="Aptos"/>
                <w:b w:val="0"/>
                <w:sz w:val="17"/>
              </w:rPr>
              <w:t>Demonstrate phishing checks, MFA safety, and reporting process</w:t>
            </w:r>
          </w:p>
        </w:tc>
        <w:tc>
          <w:tcPr>
            <w:tcW w:type="dxa" w:w="3024"/>
            <w:vAlign w:val="center"/>
            <w:shd w:fill="F1F6F8"/>
          </w:tcPr>
          <w:p>
            <w:pPr>
              <w:spacing w:after="0"/>
            </w:pPr>
            <w:r/>
            <w:r>
              <w:rPr>
                <w:rFonts w:ascii="Aptos" w:hAnsi="Aptos"/>
                <w:b w:val="0"/>
                <w:sz w:val="17"/>
              </w:rPr>
              <w:t>One session; Security lead</w:t>
            </w:r>
          </w:p>
        </w:tc>
      </w:tr>
      <w:tr>
        <w:tc>
          <w:tcPr>
            <w:tcW w:type="dxa" w:w="2088"/>
            <w:vAlign w:val="center"/>
          </w:tcPr>
          <w:p>
            <w:pPr>
              <w:spacing w:after="0"/>
            </w:pPr>
            <w:r/>
            <w:r>
              <w:rPr>
                <w:rFonts w:ascii="Aptos" w:hAnsi="Aptos"/>
                <w:b w:val="0"/>
                <w:sz w:val="17"/>
              </w:rPr>
              <w:t>Posters / digital signage</w:t>
            </w:r>
          </w:p>
        </w:tc>
        <w:tc>
          <w:tcPr>
            <w:tcW w:type="dxa" w:w="5400"/>
            <w:vAlign w:val="center"/>
          </w:tcPr>
          <w:p>
            <w:pPr>
              <w:spacing w:after="0"/>
            </w:pPr>
            <w:r/>
            <w:r>
              <w:rPr>
                <w:rFonts w:ascii="Aptos" w:hAnsi="Aptos"/>
                <w:b w:val="0"/>
                <w:sz w:val="17"/>
              </w:rPr>
              <w:t>Slogan, key warning signs, and reporting route</w:t>
            </w:r>
          </w:p>
        </w:tc>
        <w:tc>
          <w:tcPr>
            <w:tcW w:type="dxa" w:w="3024"/>
            <w:vAlign w:val="center"/>
          </w:tcPr>
          <w:p>
            <w:pPr>
              <w:spacing w:after="0"/>
            </w:pPr>
            <w:r/>
            <w:r>
              <w:rPr>
                <w:rFonts w:ascii="Aptos" w:hAnsi="Aptos"/>
                <w:b w:val="0"/>
                <w:sz w:val="17"/>
              </w:rPr>
              <w:t>Weeks 1–4; Communications</w:t>
            </w:r>
          </w:p>
        </w:tc>
      </w:tr>
      <w:tr>
        <w:tc>
          <w:tcPr>
            <w:tcW w:type="dxa" w:w="2088"/>
            <w:vAlign w:val="center"/>
            <w:shd w:fill="F1F6F8"/>
          </w:tcPr>
          <w:p>
            <w:pPr>
              <w:spacing w:after="0"/>
            </w:pPr>
            <w:r/>
            <w:r>
              <w:rPr>
                <w:rFonts w:ascii="Aptos" w:hAnsi="Aptos"/>
                <w:b w:val="0"/>
                <w:sz w:val="17"/>
              </w:rPr>
              <w:t>Knowledge check</w:t>
            </w:r>
          </w:p>
        </w:tc>
        <w:tc>
          <w:tcPr>
            <w:tcW w:type="dxa" w:w="5400"/>
            <w:vAlign w:val="center"/>
            <w:shd w:fill="F1F6F8"/>
          </w:tcPr>
          <w:p>
            <w:pPr>
              <w:spacing w:after="0"/>
            </w:pPr>
            <w:r/>
            <w:r>
              <w:rPr>
                <w:rFonts w:ascii="Aptos" w:hAnsi="Aptos"/>
                <w:b w:val="0"/>
                <w:sz w:val="17"/>
              </w:rPr>
              <w:t>Brief quiz to measure understanding and highlight gaps</w:t>
            </w:r>
          </w:p>
        </w:tc>
        <w:tc>
          <w:tcPr>
            <w:tcW w:type="dxa" w:w="3024"/>
            <w:vAlign w:val="center"/>
            <w:shd w:fill="F1F6F8"/>
          </w:tcPr>
          <w:p>
            <w:pPr>
              <w:spacing w:after="0"/>
            </w:pPr>
            <w:r/>
            <w:r>
              <w:rPr>
                <w:rFonts w:ascii="Aptos" w:hAnsi="Aptos"/>
                <w:b w:val="0"/>
                <w:sz w:val="17"/>
              </w:rPr>
              <w:t>Start and end; Security lead</w:t>
            </w:r>
          </w:p>
        </w:tc>
      </w:tr>
      <w:tr>
        <w:tc>
          <w:tcPr>
            <w:tcW w:type="dxa" w:w="2088"/>
            <w:vAlign w:val="center"/>
          </w:tcPr>
          <w:p>
            <w:pPr>
              <w:spacing w:after="0"/>
            </w:pPr>
            <w:r/>
            <w:r>
              <w:rPr>
                <w:rFonts w:ascii="Aptos" w:hAnsi="Aptos"/>
                <w:b w:val="0"/>
                <w:sz w:val="17"/>
              </w:rPr>
              <w:t>Approved phishing simulation</w:t>
            </w:r>
          </w:p>
        </w:tc>
        <w:tc>
          <w:tcPr>
            <w:tcW w:type="dxa" w:w="5400"/>
            <w:vAlign w:val="center"/>
          </w:tcPr>
          <w:p>
            <w:pPr>
              <w:spacing w:after="0"/>
            </w:pPr>
            <w:r/>
            <w:r>
              <w:rPr>
                <w:rFonts w:ascii="Aptos" w:hAnsi="Aptos"/>
                <w:b w:val="0"/>
                <w:sz w:val="17"/>
              </w:rPr>
              <w:t>Measure recognition and reporting behavior safely</w:t>
            </w:r>
          </w:p>
        </w:tc>
        <w:tc>
          <w:tcPr>
            <w:tcW w:type="dxa" w:w="3024"/>
            <w:vAlign w:val="center"/>
          </w:tcPr>
          <w:p>
            <w:pPr>
              <w:spacing w:after="0"/>
            </w:pPr>
            <w:r/>
            <w:r>
              <w:rPr>
                <w:rFonts w:ascii="Aptos" w:hAnsi="Aptos"/>
                <w:b w:val="0"/>
                <w:sz w:val="17"/>
              </w:rPr>
              <w:t>One approved exercise; IT/Security + HR</w:t>
            </w:r>
          </w:p>
        </w:tc>
      </w:tr>
    </w:tbl>
    <w:p>
      <w:pPr>
        <w:spacing w:after="0"/>
      </w:pPr>
    </w:p>
    <w:p>
      <w:r>
        <w:t>Example launch message:</w:t>
      </w:r>
    </w:p>
    <w:p>
      <w:pPr>
        <w:ind w:left="360" w:right="360"/>
      </w:pPr>
      <w:r>
        <w:rPr>
          <w:i/>
        </w:rPr>
        <w:t>“Cybersecurity is everyone’s responsibility. This month, take a moment to pause before clicking, check unexpected requests through a trusted channel, and protect your account with strong authentication. If something seems unusual, report it using the approved security reporting route. Reporting quickly helps us protect colleagues, customers, and our work.”</w:t>
      </w:r>
    </w:p>
    <w:p>
      <w:pPr>
        <w:pStyle w:val="Heading1"/>
      </w:pPr>
      <w:r>
        <w:t>7. Four-Week Campaign Schedule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152"/>
            <w:vAlign w:val="center"/>
            <w:shd w:fill="163A5F"/>
          </w:tcPr>
          <w:p>
            <w:pPr>
              <w:spacing w:after="0"/>
            </w:pPr>
            <w:r/>
            <w:r>
              <w:rPr>
                <w:rFonts w:ascii="Aptos" w:hAnsi="Aptos"/>
                <w:b/>
                <w:color w:val="FFFFFF"/>
                <w:sz w:val="18"/>
              </w:rPr>
              <w:t>Week</w:t>
            </w:r>
          </w:p>
        </w:tc>
        <w:tc>
          <w:tcPr>
            <w:tcW w:type="dxa" w:w="1944"/>
            <w:vAlign w:val="center"/>
            <w:shd w:fill="163A5F"/>
          </w:tcPr>
          <w:p>
            <w:pPr>
              <w:spacing w:after="0"/>
            </w:pPr>
            <w:r/>
            <w:r>
              <w:rPr>
                <w:rFonts w:ascii="Aptos" w:hAnsi="Aptos"/>
                <w:b/>
                <w:color w:val="FFFFFF"/>
                <w:sz w:val="18"/>
              </w:rPr>
              <w:t>Theme</w:t>
            </w:r>
          </w:p>
        </w:tc>
        <w:tc>
          <w:tcPr>
            <w:tcW w:type="dxa" w:w="4968"/>
            <w:vAlign w:val="center"/>
            <w:shd w:fill="163A5F"/>
          </w:tcPr>
          <w:p>
            <w:pPr>
              <w:spacing w:after="0"/>
            </w:pPr>
            <w:r/>
            <w:r>
              <w:rPr>
                <w:rFonts w:ascii="Aptos" w:hAnsi="Aptos"/>
                <w:b/>
                <w:color w:val="FFFFFF"/>
                <w:sz w:val="18"/>
              </w:rPr>
              <w:t>Activities</w:t>
            </w:r>
          </w:p>
        </w:tc>
        <w:tc>
          <w:tcPr>
            <w:tcW w:type="dxa" w:w="2448"/>
            <w:vAlign w:val="center"/>
            <w:shd w:fill="163A5F"/>
          </w:tcPr>
          <w:p>
            <w:pPr>
              <w:spacing w:after="0"/>
            </w:pPr>
            <w:r/>
            <w:r>
              <w:rPr>
                <w:rFonts w:ascii="Aptos" w:hAnsi="Aptos"/>
                <w:b/>
                <w:color w:val="FFFFFF"/>
                <w:sz w:val="18"/>
              </w:rPr>
              <w:t>Deliverables / evidence</w:t>
            </w:r>
          </w:p>
        </w:tc>
      </w:tr>
      <w:tr>
        <w:tc>
          <w:tcPr>
            <w:tcW w:type="dxa" w:w="1152"/>
            <w:vAlign w:val="center"/>
          </w:tcPr>
          <w:p>
            <w:pPr>
              <w:spacing w:after="0"/>
            </w:pPr>
            <w:r/>
            <w:r>
              <w:rPr>
                <w:rFonts w:ascii="Aptos" w:hAnsi="Aptos"/>
                <w:b w:val="0"/>
                <w:sz w:val="17"/>
              </w:rPr>
              <w:t>Week 1</w:t>
            </w:r>
          </w:p>
        </w:tc>
        <w:tc>
          <w:tcPr>
            <w:tcW w:type="dxa" w:w="1944"/>
            <w:vAlign w:val="center"/>
          </w:tcPr>
          <w:p>
            <w:pPr>
              <w:spacing w:after="0"/>
            </w:pPr>
            <w:r/>
            <w:r>
              <w:rPr>
                <w:rFonts w:ascii="Aptos" w:hAnsi="Aptos"/>
                <w:b w:val="0"/>
                <w:sz w:val="17"/>
              </w:rPr>
              <w:t>Recognize the threat</w:t>
            </w:r>
          </w:p>
        </w:tc>
        <w:tc>
          <w:tcPr>
            <w:tcW w:type="dxa" w:w="4968"/>
            <w:vAlign w:val="center"/>
          </w:tcPr>
          <w:p>
            <w:pPr>
              <w:spacing w:after="0"/>
            </w:pPr>
            <w:r/>
            <w:r>
              <w:rPr>
                <w:rFonts w:ascii="Aptos" w:hAnsi="Aptos"/>
                <w:b w:val="0"/>
                <w:sz w:val="17"/>
              </w:rPr>
              <w:t>Launch message; baseline knowledge check; explain phishing and social engineering; display campaign posters; manager discussion prompt.</w:t>
            </w:r>
          </w:p>
        </w:tc>
        <w:tc>
          <w:tcPr>
            <w:tcW w:type="dxa" w:w="2448"/>
            <w:vAlign w:val="center"/>
          </w:tcPr>
          <w:p>
            <w:pPr>
              <w:spacing w:after="0"/>
            </w:pPr>
            <w:r/>
            <w:r>
              <w:rPr>
                <w:rFonts w:ascii="Aptos" w:hAnsi="Aptos"/>
                <w:b w:val="0"/>
                <w:sz w:val="17"/>
              </w:rPr>
              <w:t>Launch email, baseline results, posters, attendance/engagement record</w:t>
            </w:r>
          </w:p>
        </w:tc>
      </w:tr>
      <w:tr>
        <w:tc>
          <w:tcPr>
            <w:tcW w:type="dxa" w:w="1152"/>
            <w:vAlign w:val="center"/>
            <w:shd w:fill="F1F6F8"/>
          </w:tcPr>
          <w:p>
            <w:pPr>
              <w:spacing w:after="0"/>
            </w:pPr>
            <w:r/>
            <w:r>
              <w:rPr>
                <w:rFonts w:ascii="Aptos" w:hAnsi="Aptos"/>
                <w:b w:val="0"/>
                <w:sz w:val="17"/>
              </w:rPr>
              <w:t>Week 2</w:t>
            </w:r>
          </w:p>
        </w:tc>
        <w:tc>
          <w:tcPr>
            <w:tcW w:type="dxa" w:w="1944"/>
            <w:vAlign w:val="center"/>
            <w:shd w:fill="F1F6F8"/>
          </w:tcPr>
          <w:p>
            <w:pPr>
              <w:spacing w:after="0"/>
            </w:pPr>
            <w:r/>
            <w:r>
              <w:rPr>
                <w:rFonts w:ascii="Aptos" w:hAnsi="Aptos"/>
                <w:b w:val="0"/>
                <w:sz w:val="17"/>
              </w:rPr>
              <w:t>Protect accounts and devices</w:t>
            </w:r>
          </w:p>
        </w:tc>
        <w:tc>
          <w:tcPr>
            <w:tcW w:type="dxa" w:w="4968"/>
            <w:vAlign w:val="center"/>
            <w:shd w:fill="F1F6F8"/>
          </w:tcPr>
          <w:p>
            <w:pPr>
              <w:spacing w:after="0"/>
            </w:pPr>
            <w:r/>
            <w:r>
              <w:rPr>
                <w:rFonts w:ascii="Aptos" w:hAnsi="Aptos"/>
                <w:b w:val="0"/>
                <w:sz w:val="17"/>
              </w:rPr>
              <w:t>Password and MFA tip; device-lock and update checklist; short demo; remote-work safety reminder.</w:t>
            </w:r>
          </w:p>
        </w:tc>
        <w:tc>
          <w:tcPr>
            <w:tcW w:type="dxa" w:w="2448"/>
            <w:vAlign w:val="center"/>
            <w:shd w:fill="F1F6F8"/>
          </w:tcPr>
          <w:p>
            <w:pPr>
              <w:spacing w:after="0"/>
            </w:pPr>
            <w:r/>
            <w:r>
              <w:rPr>
                <w:rFonts w:ascii="Aptos" w:hAnsi="Aptos"/>
                <w:b w:val="0"/>
                <w:sz w:val="17"/>
              </w:rPr>
              <w:t>Quick-reference guide, session notes, click-through/engagement metrics</w:t>
            </w:r>
          </w:p>
        </w:tc>
      </w:tr>
      <w:tr>
        <w:tc>
          <w:tcPr>
            <w:tcW w:type="dxa" w:w="1152"/>
            <w:vAlign w:val="center"/>
          </w:tcPr>
          <w:p>
            <w:pPr>
              <w:spacing w:after="0"/>
            </w:pPr>
            <w:r/>
            <w:r>
              <w:rPr>
                <w:rFonts w:ascii="Aptos" w:hAnsi="Aptos"/>
                <w:b w:val="0"/>
                <w:sz w:val="17"/>
              </w:rPr>
              <w:t>Week 3</w:t>
            </w:r>
          </w:p>
        </w:tc>
        <w:tc>
          <w:tcPr>
            <w:tcW w:type="dxa" w:w="1944"/>
            <w:vAlign w:val="center"/>
          </w:tcPr>
          <w:p>
            <w:pPr>
              <w:spacing w:after="0"/>
            </w:pPr>
            <w:r/>
            <w:r>
              <w:rPr>
                <w:rFonts w:ascii="Aptos" w:hAnsi="Aptos"/>
                <w:b w:val="0"/>
                <w:sz w:val="17"/>
              </w:rPr>
              <w:t>Protect information and verify requests</w:t>
            </w:r>
          </w:p>
        </w:tc>
        <w:tc>
          <w:tcPr>
            <w:tcW w:type="dxa" w:w="4968"/>
            <w:vAlign w:val="center"/>
          </w:tcPr>
          <w:p>
            <w:pPr>
              <w:spacing w:after="0"/>
            </w:pPr>
            <w:r/>
            <w:r>
              <w:rPr>
                <w:rFonts w:ascii="Aptos" w:hAnsi="Aptos"/>
                <w:b w:val="0"/>
                <w:sz w:val="17"/>
              </w:rPr>
              <w:t>Data-handling examples; finance/procurement fraud scenario; approved phishing simulation if authorized; explain reporting route.</w:t>
            </w:r>
          </w:p>
        </w:tc>
        <w:tc>
          <w:tcPr>
            <w:tcW w:type="dxa" w:w="2448"/>
            <w:vAlign w:val="center"/>
          </w:tcPr>
          <w:p>
            <w:pPr>
              <w:spacing w:after="0"/>
            </w:pPr>
            <w:r/>
            <w:r>
              <w:rPr>
                <w:rFonts w:ascii="Aptos" w:hAnsi="Aptos"/>
                <w:b w:val="0"/>
                <w:sz w:val="17"/>
              </w:rPr>
              <w:t>Scenario worksheet, simulation summary, reporting-channel reminder</w:t>
            </w:r>
          </w:p>
        </w:tc>
      </w:tr>
      <w:tr>
        <w:tc>
          <w:tcPr>
            <w:tcW w:type="dxa" w:w="1152"/>
            <w:vAlign w:val="center"/>
            <w:shd w:fill="F1F6F8"/>
          </w:tcPr>
          <w:p>
            <w:pPr>
              <w:spacing w:after="0"/>
            </w:pPr>
            <w:r/>
            <w:r>
              <w:rPr>
                <w:rFonts w:ascii="Aptos" w:hAnsi="Aptos"/>
                <w:b w:val="0"/>
                <w:sz w:val="17"/>
              </w:rPr>
              <w:t>Week 4</w:t>
            </w:r>
          </w:p>
        </w:tc>
        <w:tc>
          <w:tcPr>
            <w:tcW w:type="dxa" w:w="1944"/>
            <w:vAlign w:val="center"/>
            <w:shd w:fill="F1F6F8"/>
          </w:tcPr>
          <w:p>
            <w:pPr>
              <w:spacing w:after="0"/>
            </w:pPr>
            <w:r/>
            <w:r>
              <w:rPr>
                <w:rFonts w:ascii="Aptos" w:hAnsi="Aptos"/>
                <w:b w:val="0"/>
                <w:sz w:val="17"/>
              </w:rPr>
              <w:t>Report, review, and reinforce</w:t>
            </w:r>
          </w:p>
        </w:tc>
        <w:tc>
          <w:tcPr>
            <w:tcW w:type="dxa" w:w="4968"/>
            <w:vAlign w:val="center"/>
            <w:shd w:fill="F1F6F8"/>
          </w:tcPr>
          <w:p>
            <w:pPr>
              <w:spacing w:after="0"/>
            </w:pPr>
            <w:r/>
            <w:r>
              <w:rPr>
                <w:rFonts w:ascii="Aptos" w:hAnsi="Aptos"/>
                <w:b w:val="0"/>
                <w:sz w:val="17"/>
              </w:rPr>
              <w:t>Incident-reporting walkthrough; post-campaign quiz; team pledge; share lessons learned and thank participants.</w:t>
            </w:r>
          </w:p>
        </w:tc>
        <w:tc>
          <w:tcPr>
            <w:tcW w:type="dxa" w:w="2448"/>
            <w:vAlign w:val="center"/>
            <w:shd w:fill="F1F6F8"/>
          </w:tcPr>
          <w:p>
            <w:pPr>
              <w:spacing w:after="0"/>
            </w:pPr>
            <w:r/>
            <w:r>
              <w:rPr>
                <w:rFonts w:ascii="Aptos" w:hAnsi="Aptos"/>
                <w:b w:val="0"/>
                <w:sz w:val="17"/>
              </w:rPr>
              <w:t>Post-quiz results, campaign summary, 90-day follow-up actions</w:t>
            </w:r>
          </w:p>
        </w:tc>
      </w:tr>
    </w:tbl>
    <w:p>
      <w:pPr>
        <w:spacing w:after="0"/>
      </w:pPr>
    </w:p>
    <w:p>
      <w:r>
        <w:t>Before Week 1, obtain management approval, confirm the reporting channel, validate policies and contact details, prepare accessible materials, and collect baseline measures. After Week 4, review results and continue monthly micro-learning rather than treating awareness as a one-time event.</w:t>
      </w:r>
    </w:p>
    <w:p>
      <w:pPr>
        <w:pStyle w:val="Heading1"/>
      </w:pPr>
      <w:r>
        <w:t>8. Work Breakdown and Estimated Effort (32 Hours)</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3A5F"/>
          </w:tcPr>
          <w:p>
            <w:pPr>
              <w:spacing w:after="0"/>
            </w:pPr>
            <w:r/>
            <w:r>
              <w:rPr>
                <w:rFonts w:ascii="Aptos" w:hAnsi="Aptos"/>
                <w:b/>
                <w:color w:val="FFFFFF"/>
                <w:sz w:val="18"/>
              </w:rPr>
              <w:t>Work item</w:t>
            </w:r>
          </w:p>
        </w:tc>
        <w:tc>
          <w:tcPr>
            <w:tcW w:type="dxa" w:w="6840"/>
            <w:vAlign w:val="center"/>
            <w:shd w:fill="163A5F"/>
          </w:tcPr>
          <w:p>
            <w:pPr>
              <w:spacing w:after="0"/>
            </w:pPr>
            <w:r/>
            <w:r>
              <w:rPr>
                <w:rFonts w:ascii="Aptos" w:hAnsi="Aptos"/>
                <w:b/>
                <w:color w:val="FFFFFF"/>
                <w:sz w:val="18"/>
              </w:rPr>
              <w:t>Activities</w:t>
            </w:r>
          </w:p>
        </w:tc>
        <w:tc>
          <w:tcPr>
            <w:tcW w:type="dxa" w:w="1296"/>
            <w:vAlign w:val="center"/>
            <w:shd w:fill="163A5F"/>
          </w:tcPr>
          <w:p>
            <w:pPr>
              <w:spacing w:after="0"/>
            </w:pPr>
            <w:r/>
            <w:r>
              <w:rPr>
                <w:rFonts w:ascii="Aptos" w:hAnsi="Aptos"/>
                <w:b/>
                <w:color w:val="FFFFFF"/>
                <w:sz w:val="18"/>
              </w:rPr>
              <w:t>Estimated hours</w:t>
            </w:r>
          </w:p>
        </w:tc>
      </w:tr>
      <w:tr>
        <w:tc>
          <w:tcPr>
            <w:tcW w:type="dxa" w:w="2376"/>
            <w:vAlign w:val="center"/>
          </w:tcPr>
          <w:p>
            <w:pPr>
              <w:spacing w:after="0"/>
            </w:pPr>
            <w:r/>
            <w:r>
              <w:rPr>
                <w:rFonts w:ascii="Aptos" w:hAnsi="Aptos"/>
                <w:b w:val="0"/>
                <w:sz w:val="17"/>
              </w:rPr>
              <w:t>1. Scope and risk review</w:t>
            </w:r>
          </w:p>
        </w:tc>
        <w:tc>
          <w:tcPr>
            <w:tcW w:type="dxa" w:w="6840"/>
            <w:vAlign w:val="center"/>
          </w:tcPr>
          <w:p>
            <w:pPr>
              <w:spacing w:after="0"/>
            </w:pPr>
            <w:r/>
            <w:r>
              <w:rPr>
                <w:rFonts w:ascii="Aptos" w:hAnsi="Aptos"/>
                <w:b w:val="0"/>
                <w:sz w:val="17"/>
              </w:rPr>
              <w:t>Define organization profile, audience, likely risks, objectives, and approvals.</w:t>
            </w:r>
          </w:p>
        </w:tc>
        <w:tc>
          <w:tcPr>
            <w:tcW w:type="dxa" w:w="1296"/>
            <w:vAlign w:val="center"/>
          </w:tcPr>
          <w:p>
            <w:pPr>
              <w:spacing w:after="0"/>
            </w:pPr>
            <w:r/>
            <w:r>
              <w:rPr>
                <w:rFonts w:ascii="Aptos" w:hAnsi="Aptos"/>
                <w:b w:val="0"/>
                <w:sz w:val="17"/>
              </w:rPr>
              <w:t>3</w:t>
            </w:r>
          </w:p>
        </w:tc>
      </w:tr>
      <w:tr>
        <w:tc>
          <w:tcPr>
            <w:tcW w:type="dxa" w:w="2376"/>
            <w:vAlign w:val="center"/>
            <w:shd w:fill="F1F6F8"/>
          </w:tcPr>
          <w:p>
            <w:pPr>
              <w:spacing w:after="0"/>
            </w:pPr>
            <w:r/>
            <w:r>
              <w:rPr>
                <w:rFonts w:ascii="Aptos" w:hAnsi="Aptos"/>
                <w:b w:val="0"/>
                <w:sz w:val="17"/>
              </w:rPr>
              <w:t>2. Topic research and prioritization</w:t>
            </w:r>
          </w:p>
        </w:tc>
        <w:tc>
          <w:tcPr>
            <w:tcW w:type="dxa" w:w="6840"/>
            <w:vAlign w:val="center"/>
            <w:shd w:fill="F1F6F8"/>
          </w:tcPr>
          <w:p>
            <w:pPr>
              <w:spacing w:after="0"/>
            </w:pPr>
            <w:r/>
            <w:r>
              <w:rPr>
                <w:rFonts w:ascii="Aptos" w:hAnsi="Aptos"/>
                <w:b w:val="0"/>
                <w:sz w:val="17"/>
              </w:rPr>
              <w:t>Select relevant topics and align messages with organizational policies.</w:t>
            </w:r>
          </w:p>
        </w:tc>
        <w:tc>
          <w:tcPr>
            <w:tcW w:type="dxa" w:w="1296"/>
            <w:vAlign w:val="center"/>
            <w:shd w:fill="F1F6F8"/>
          </w:tcPr>
          <w:p>
            <w:pPr>
              <w:spacing w:after="0"/>
            </w:pPr>
            <w:r/>
            <w:r>
              <w:rPr>
                <w:rFonts w:ascii="Aptos" w:hAnsi="Aptos"/>
                <w:b w:val="0"/>
                <w:sz w:val="17"/>
              </w:rPr>
              <w:t>4</w:t>
            </w:r>
          </w:p>
        </w:tc>
      </w:tr>
      <w:tr>
        <w:tc>
          <w:tcPr>
            <w:tcW w:type="dxa" w:w="2376"/>
            <w:vAlign w:val="center"/>
          </w:tcPr>
          <w:p>
            <w:pPr>
              <w:spacing w:after="0"/>
            </w:pPr>
            <w:r/>
            <w:r>
              <w:rPr>
                <w:rFonts w:ascii="Aptos" w:hAnsi="Aptos"/>
                <w:b w:val="0"/>
                <w:sz w:val="17"/>
              </w:rPr>
              <w:t>3. Campaign design</w:t>
            </w:r>
          </w:p>
        </w:tc>
        <w:tc>
          <w:tcPr>
            <w:tcW w:type="dxa" w:w="6840"/>
            <w:vAlign w:val="center"/>
          </w:tcPr>
          <w:p>
            <w:pPr>
              <w:spacing w:after="0"/>
            </w:pPr>
            <w:r/>
            <w:r>
              <w:rPr>
                <w:rFonts w:ascii="Aptos" w:hAnsi="Aptos"/>
                <w:b w:val="0"/>
                <w:sz w:val="17"/>
              </w:rPr>
              <w:t>Create theme, key messages, learning outcomes, and creative activities.</w:t>
            </w:r>
          </w:p>
        </w:tc>
        <w:tc>
          <w:tcPr>
            <w:tcW w:type="dxa" w:w="1296"/>
            <w:vAlign w:val="center"/>
          </w:tcPr>
          <w:p>
            <w:pPr>
              <w:spacing w:after="0"/>
            </w:pPr>
            <w:r/>
            <w:r>
              <w:rPr>
                <w:rFonts w:ascii="Aptos" w:hAnsi="Aptos"/>
                <w:b w:val="0"/>
                <w:sz w:val="17"/>
              </w:rPr>
              <w:t>4</w:t>
            </w:r>
          </w:p>
        </w:tc>
      </w:tr>
      <w:tr>
        <w:tc>
          <w:tcPr>
            <w:tcW w:type="dxa" w:w="2376"/>
            <w:vAlign w:val="center"/>
            <w:shd w:fill="F1F6F8"/>
          </w:tcPr>
          <w:p>
            <w:pPr>
              <w:spacing w:after="0"/>
            </w:pPr>
            <w:r/>
            <w:r>
              <w:rPr>
                <w:rFonts w:ascii="Aptos" w:hAnsi="Aptos"/>
                <w:b w:val="0"/>
                <w:sz w:val="17"/>
              </w:rPr>
              <w:t>4. Content production</w:t>
            </w:r>
          </w:p>
        </w:tc>
        <w:tc>
          <w:tcPr>
            <w:tcW w:type="dxa" w:w="6840"/>
            <w:vAlign w:val="center"/>
            <w:shd w:fill="F1F6F8"/>
          </w:tcPr>
          <w:p>
            <w:pPr>
              <w:spacing w:after="0"/>
            </w:pPr>
            <w:r/>
            <w:r>
              <w:rPr>
                <w:rFonts w:ascii="Aptos" w:hAnsi="Aptos"/>
                <w:b w:val="0"/>
                <w:sz w:val="17"/>
              </w:rPr>
              <w:t>Draft emails, quick guides, quiz questions, scenarios, poster copy, and presentation notes.</w:t>
            </w:r>
          </w:p>
        </w:tc>
        <w:tc>
          <w:tcPr>
            <w:tcW w:type="dxa" w:w="1296"/>
            <w:vAlign w:val="center"/>
            <w:shd w:fill="F1F6F8"/>
          </w:tcPr>
          <w:p>
            <w:pPr>
              <w:spacing w:after="0"/>
            </w:pPr>
            <w:r/>
            <w:r>
              <w:rPr>
                <w:rFonts w:ascii="Aptos" w:hAnsi="Aptos"/>
                <w:b w:val="0"/>
                <w:sz w:val="17"/>
              </w:rPr>
              <w:t>7</w:t>
            </w:r>
          </w:p>
        </w:tc>
      </w:tr>
      <w:tr>
        <w:tc>
          <w:tcPr>
            <w:tcW w:type="dxa" w:w="2376"/>
            <w:vAlign w:val="center"/>
          </w:tcPr>
          <w:p>
            <w:pPr>
              <w:spacing w:after="0"/>
            </w:pPr>
            <w:r/>
            <w:r>
              <w:rPr>
                <w:rFonts w:ascii="Aptos" w:hAnsi="Aptos"/>
                <w:b w:val="0"/>
                <w:sz w:val="17"/>
              </w:rPr>
              <w:t>5. Schedule and coordination</w:t>
            </w:r>
          </w:p>
        </w:tc>
        <w:tc>
          <w:tcPr>
            <w:tcW w:type="dxa" w:w="6840"/>
            <w:vAlign w:val="center"/>
          </w:tcPr>
          <w:p>
            <w:pPr>
              <w:spacing w:after="0"/>
            </w:pPr>
            <w:r/>
            <w:r>
              <w:rPr>
                <w:rFonts w:ascii="Aptos" w:hAnsi="Aptos"/>
                <w:b w:val="0"/>
                <w:sz w:val="17"/>
              </w:rPr>
              <w:t>Build timeline, assign owners, plan distribution, and coordinate with managers/IT/HR.</w:t>
            </w:r>
          </w:p>
        </w:tc>
        <w:tc>
          <w:tcPr>
            <w:tcW w:type="dxa" w:w="1296"/>
            <w:vAlign w:val="center"/>
          </w:tcPr>
          <w:p>
            <w:pPr>
              <w:spacing w:after="0"/>
            </w:pPr>
            <w:r/>
            <w:r>
              <w:rPr>
                <w:rFonts w:ascii="Aptos" w:hAnsi="Aptos"/>
                <w:b w:val="0"/>
                <w:sz w:val="17"/>
              </w:rPr>
              <w:t>4</w:t>
            </w:r>
          </w:p>
        </w:tc>
      </w:tr>
      <w:tr>
        <w:tc>
          <w:tcPr>
            <w:tcW w:type="dxa" w:w="2376"/>
            <w:vAlign w:val="center"/>
            <w:shd w:fill="F1F6F8"/>
          </w:tcPr>
          <w:p>
            <w:pPr>
              <w:spacing w:after="0"/>
            </w:pPr>
            <w:r/>
            <w:r>
              <w:rPr>
                <w:rFonts w:ascii="Aptos" w:hAnsi="Aptos"/>
                <w:b w:val="0"/>
                <w:sz w:val="17"/>
              </w:rPr>
              <w:t>6. Delivery preparation</w:t>
            </w:r>
          </w:p>
        </w:tc>
        <w:tc>
          <w:tcPr>
            <w:tcW w:type="dxa" w:w="6840"/>
            <w:vAlign w:val="center"/>
            <w:shd w:fill="F1F6F8"/>
          </w:tcPr>
          <w:p>
            <w:pPr>
              <w:spacing w:after="0"/>
            </w:pPr>
            <w:r/>
            <w:r>
              <w:rPr>
                <w:rFonts w:ascii="Aptos" w:hAnsi="Aptos"/>
                <w:b w:val="0"/>
                <w:sz w:val="17"/>
              </w:rPr>
              <w:t>Test links and reporting instructions, prepare accessible formats, and brief presenters.</w:t>
            </w:r>
          </w:p>
        </w:tc>
        <w:tc>
          <w:tcPr>
            <w:tcW w:type="dxa" w:w="1296"/>
            <w:vAlign w:val="center"/>
            <w:shd w:fill="F1F6F8"/>
          </w:tcPr>
          <w:p>
            <w:pPr>
              <w:spacing w:after="0"/>
            </w:pPr>
            <w:r/>
            <w:r>
              <w:rPr>
                <w:rFonts w:ascii="Aptos" w:hAnsi="Aptos"/>
                <w:b w:val="0"/>
                <w:sz w:val="17"/>
              </w:rPr>
              <w:t>3</w:t>
            </w:r>
          </w:p>
        </w:tc>
      </w:tr>
      <w:tr>
        <w:tc>
          <w:tcPr>
            <w:tcW w:type="dxa" w:w="2376"/>
            <w:vAlign w:val="center"/>
          </w:tcPr>
          <w:p>
            <w:pPr>
              <w:spacing w:after="0"/>
            </w:pPr>
            <w:r/>
            <w:r>
              <w:rPr>
                <w:rFonts w:ascii="Aptos" w:hAnsi="Aptos"/>
                <w:b w:val="0"/>
                <w:sz w:val="17"/>
              </w:rPr>
              <w:t>7. Evaluation design</w:t>
            </w:r>
          </w:p>
        </w:tc>
        <w:tc>
          <w:tcPr>
            <w:tcW w:type="dxa" w:w="6840"/>
            <w:vAlign w:val="center"/>
          </w:tcPr>
          <w:p>
            <w:pPr>
              <w:spacing w:after="0"/>
            </w:pPr>
            <w:r/>
            <w:r>
              <w:rPr>
                <w:rFonts w:ascii="Aptos" w:hAnsi="Aptos"/>
                <w:b w:val="0"/>
                <w:sz w:val="17"/>
              </w:rPr>
              <w:t>Set baseline/post measures, feedback questions, and a reporting template.</w:t>
            </w:r>
          </w:p>
        </w:tc>
        <w:tc>
          <w:tcPr>
            <w:tcW w:type="dxa" w:w="1296"/>
            <w:vAlign w:val="center"/>
          </w:tcPr>
          <w:p>
            <w:pPr>
              <w:spacing w:after="0"/>
            </w:pPr>
            <w:r/>
            <w:r>
              <w:rPr>
                <w:rFonts w:ascii="Aptos" w:hAnsi="Aptos"/>
                <w:b w:val="0"/>
                <w:sz w:val="17"/>
              </w:rPr>
              <w:t>3</w:t>
            </w:r>
          </w:p>
        </w:tc>
      </w:tr>
      <w:tr>
        <w:tc>
          <w:tcPr>
            <w:tcW w:type="dxa" w:w="2376"/>
            <w:vAlign w:val="center"/>
            <w:shd w:fill="F1F6F8"/>
          </w:tcPr>
          <w:p>
            <w:pPr>
              <w:spacing w:after="0"/>
            </w:pPr>
            <w:r/>
            <w:r>
              <w:rPr>
                <w:rFonts w:ascii="Aptos" w:hAnsi="Aptos"/>
                <w:b w:val="0"/>
                <w:sz w:val="17"/>
              </w:rPr>
              <w:t>8. Review and final documentation</w:t>
            </w:r>
          </w:p>
        </w:tc>
        <w:tc>
          <w:tcPr>
            <w:tcW w:type="dxa" w:w="6840"/>
            <w:vAlign w:val="center"/>
            <w:shd w:fill="F1F6F8"/>
          </w:tcPr>
          <w:p>
            <w:pPr>
              <w:spacing w:after="0"/>
            </w:pPr>
            <w:r/>
            <w:r>
              <w:rPr>
                <w:rFonts w:ascii="Aptos" w:hAnsi="Aptos"/>
                <w:b w:val="0"/>
                <w:sz w:val="17"/>
              </w:rPr>
              <w:t>Proofread plan, check practicality, incorporate approval feedback, and prepare final report.</w:t>
            </w:r>
          </w:p>
        </w:tc>
        <w:tc>
          <w:tcPr>
            <w:tcW w:type="dxa" w:w="1296"/>
            <w:vAlign w:val="center"/>
            <w:shd w:fill="F1F6F8"/>
          </w:tcPr>
          <w:p>
            <w:pPr>
              <w:spacing w:after="0"/>
            </w:pPr>
            <w:r/>
            <w:r>
              <w:rPr>
                <w:rFonts w:ascii="Aptos" w:hAnsi="Aptos"/>
                <w:b w:val="0"/>
                <w:sz w:val="17"/>
              </w:rPr>
              <w:t>4</w:t>
            </w:r>
          </w:p>
        </w:tc>
      </w:tr>
      <w:tr>
        <w:tc>
          <w:tcPr>
            <w:tcW w:type="dxa" w:w="2376"/>
            <w:vAlign w:val="center"/>
          </w:tcPr>
          <w:p>
            <w:pPr>
              <w:spacing w:after="0"/>
            </w:pPr>
            <w:r/>
            <w:r>
              <w:rPr>
                <w:rFonts w:ascii="Aptos" w:hAnsi="Aptos"/>
                <w:b w:val="0"/>
                <w:sz w:val="17"/>
              </w:rPr>
              <w:t>Total</w:t>
            </w:r>
          </w:p>
        </w:tc>
        <w:tc>
          <w:tcPr>
            <w:tcW w:type="dxa" w:w="6840"/>
            <w:vAlign w:val="center"/>
          </w:tcPr>
          <w:p>
            <w:pPr>
              <w:spacing w:after="0"/>
            </w:pPr>
            <w:r/>
            <w:r>
              <w:rPr>
                <w:rFonts w:ascii="Aptos" w:hAnsi="Aptos"/>
                <w:b w:val="0"/>
                <w:sz w:val="17"/>
              </w:rPr>
            </w:r>
          </w:p>
        </w:tc>
        <w:tc>
          <w:tcPr>
            <w:tcW w:type="dxa" w:w="1296"/>
            <w:vAlign w:val="center"/>
          </w:tcPr>
          <w:p>
            <w:pPr>
              <w:spacing w:after="0"/>
            </w:pPr>
            <w:r/>
            <w:r>
              <w:rPr>
                <w:rFonts w:ascii="Aptos" w:hAnsi="Aptos"/>
                <w:b w:val="0"/>
                <w:sz w:val="17"/>
              </w:rPr>
              <w:t>32 hours</w:t>
            </w:r>
          </w:p>
        </w:tc>
      </w:tr>
    </w:tbl>
    <w:p>
      <w:pPr>
        <w:spacing w:after="0"/>
      </w:pPr>
    </w:p>
    <w:p>
      <w:pPr>
        <w:pStyle w:val="Heading1"/>
      </w:pPr>
      <w:r>
        <w:t>9. Roles and Responsibilities</w:t>
      </w:r>
    </w:p>
    <w:tbl>
      <w:tblPr>
        <w:tblStyle w:val="TableGrid"/>
        <w:tblW w:type="auto" w:w="0"/>
        <w:jc w:val="center"/>
        <w:tblLook w:firstColumn="1" w:firstRow="1" w:lastColumn="0" w:lastRow="0" w:noHBand="0" w:noVBand="1" w:val="04A0"/>
      </w:tblPr>
      <w:tblGrid>
        <w:gridCol w:w="4968"/>
        <w:gridCol w:w="4968"/>
      </w:tblGrid>
      <w:tr>
        <w:tc>
          <w:tcPr>
            <w:tcW w:type="dxa" w:w="2520"/>
            <w:vAlign w:val="center"/>
            <w:shd w:fill="163A5F"/>
          </w:tcPr>
          <w:p>
            <w:pPr>
              <w:spacing w:after="0"/>
            </w:pPr>
            <w:r/>
            <w:r>
              <w:rPr>
                <w:rFonts w:ascii="Aptos" w:hAnsi="Aptos"/>
                <w:b/>
                <w:color w:val="FFFFFF"/>
                <w:sz w:val="18"/>
              </w:rPr>
              <w:t>Role</w:t>
            </w:r>
          </w:p>
        </w:tc>
        <w:tc>
          <w:tcPr>
            <w:tcW w:type="dxa" w:w="7992"/>
            <w:vAlign w:val="center"/>
            <w:shd w:fill="163A5F"/>
          </w:tcPr>
          <w:p>
            <w:pPr>
              <w:spacing w:after="0"/>
            </w:pPr>
            <w:r/>
            <w:r>
              <w:rPr>
                <w:rFonts w:ascii="Aptos" w:hAnsi="Aptos"/>
                <w:b/>
                <w:color w:val="FFFFFF"/>
                <w:sz w:val="18"/>
              </w:rPr>
              <w:t>Responsibility</w:t>
            </w:r>
          </w:p>
        </w:tc>
      </w:tr>
      <w:tr>
        <w:tc>
          <w:tcPr>
            <w:tcW w:type="dxa" w:w="2520"/>
            <w:vAlign w:val="center"/>
          </w:tcPr>
          <w:p>
            <w:pPr>
              <w:spacing w:after="0"/>
            </w:pPr>
            <w:r/>
            <w:r>
              <w:rPr>
                <w:rFonts w:ascii="Aptos" w:hAnsi="Aptos"/>
                <w:b w:val="0"/>
                <w:sz w:val="17"/>
              </w:rPr>
              <w:t>Executive sponsor</w:t>
            </w:r>
          </w:p>
        </w:tc>
        <w:tc>
          <w:tcPr>
            <w:tcW w:type="dxa" w:w="7992"/>
            <w:vAlign w:val="center"/>
          </w:tcPr>
          <w:p>
            <w:pPr>
              <w:spacing w:after="0"/>
            </w:pPr>
            <w:r/>
            <w:r>
              <w:rPr>
                <w:rFonts w:ascii="Aptos" w:hAnsi="Aptos"/>
                <w:b w:val="0"/>
                <w:sz w:val="17"/>
              </w:rPr>
              <w:t>Approve campaign, communicate its importance, and support participation time.</w:t>
            </w:r>
          </w:p>
        </w:tc>
      </w:tr>
      <w:tr>
        <w:tc>
          <w:tcPr>
            <w:tcW w:type="dxa" w:w="2520"/>
            <w:vAlign w:val="center"/>
            <w:shd w:fill="F1F6F8"/>
          </w:tcPr>
          <w:p>
            <w:pPr>
              <w:spacing w:after="0"/>
            </w:pPr>
            <w:r/>
            <w:r>
              <w:rPr>
                <w:rFonts w:ascii="Aptos" w:hAnsi="Aptos"/>
                <w:b w:val="0"/>
                <w:sz w:val="17"/>
              </w:rPr>
              <w:t>Security / IT lead</w:t>
            </w:r>
          </w:p>
        </w:tc>
        <w:tc>
          <w:tcPr>
            <w:tcW w:type="dxa" w:w="7992"/>
            <w:vAlign w:val="center"/>
            <w:shd w:fill="F1F6F8"/>
          </w:tcPr>
          <w:p>
            <w:pPr>
              <w:spacing w:after="0"/>
            </w:pPr>
            <w:r/>
            <w:r>
              <w:rPr>
                <w:rFonts w:ascii="Aptos" w:hAnsi="Aptos"/>
                <w:b w:val="0"/>
                <w:sz w:val="17"/>
              </w:rPr>
              <w:t>Own technical accuracy, confirm reporting route, prepare training, handle simulation, and review metrics.</w:t>
            </w:r>
          </w:p>
        </w:tc>
      </w:tr>
      <w:tr>
        <w:tc>
          <w:tcPr>
            <w:tcW w:type="dxa" w:w="2520"/>
            <w:vAlign w:val="center"/>
          </w:tcPr>
          <w:p>
            <w:pPr>
              <w:spacing w:after="0"/>
            </w:pPr>
            <w:r/>
            <w:r>
              <w:rPr>
                <w:rFonts w:ascii="Aptos" w:hAnsi="Aptos"/>
                <w:b w:val="0"/>
                <w:sz w:val="17"/>
              </w:rPr>
              <w:t>HR</w:t>
            </w:r>
          </w:p>
        </w:tc>
        <w:tc>
          <w:tcPr>
            <w:tcW w:type="dxa" w:w="7992"/>
            <w:vAlign w:val="center"/>
          </w:tcPr>
          <w:p>
            <w:pPr>
              <w:spacing w:after="0"/>
            </w:pPr>
            <w:r/>
            <w:r>
              <w:rPr>
                <w:rFonts w:ascii="Aptos" w:hAnsi="Aptos"/>
                <w:b w:val="0"/>
                <w:sz w:val="17"/>
              </w:rPr>
              <w:t>Review employee communications, accessibility, privacy, and fairness; coordinate with managers where needed.</w:t>
            </w:r>
          </w:p>
        </w:tc>
      </w:tr>
      <w:tr>
        <w:tc>
          <w:tcPr>
            <w:tcW w:type="dxa" w:w="2520"/>
            <w:vAlign w:val="center"/>
            <w:shd w:fill="F1F6F8"/>
          </w:tcPr>
          <w:p>
            <w:pPr>
              <w:spacing w:after="0"/>
            </w:pPr>
            <w:r/>
            <w:r>
              <w:rPr>
                <w:rFonts w:ascii="Aptos" w:hAnsi="Aptos"/>
                <w:b w:val="0"/>
                <w:sz w:val="17"/>
              </w:rPr>
              <w:t>Communications team</w:t>
            </w:r>
          </w:p>
        </w:tc>
        <w:tc>
          <w:tcPr>
            <w:tcW w:type="dxa" w:w="7992"/>
            <w:vAlign w:val="center"/>
            <w:shd w:fill="F1F6F8"/>
          </w:tcPr>
          <w:p>
            <w:pPr>
              <w:spacing w:after="0"/>
            </w:pPr>
            <w:r/>
            <w:r>
              <w:rPr>
                <w:rFonts w:ascii="Aptos" w:hAnsi="Aptos"/>
                <w:b w:val="0"/>
                <w:sz w:val="17"/>
              </w:rPr>
              <w:t>Format and distribute emails, intranet content, posters, and campaign updates.</w:t>
            </w:r>
          </w:p>
        </w:tc>
      </w:tr>
      <w:tr>
        <w:tc>
          <w:tcPr>
            <w:tcW w:type="dxa" w:w="2520"/>
            <w:vAlign w:val="center"/>
          </w:tcPr>
          <w:p>
            <w:pPr>
              <w:spacing w:after="0"/>
            </w:pPr>
            <w:r/>
            <w:r>
              <w:rPr>
                <w:rFonts w:ascii="Aptos" w:hAnsi="Aptos"/>
                <w:b w:val="0"/>
                <w:sz w:val="17"/>
              </w:rPr>
              <w:t>Managers / team leads</w:t>
            </w:r>
          </w:p>
        </w:tc>
        <w:tc>
          <w:tcPr>
            <w:tcW w:type="dxa" w:w="7992"/>
            <w:vAlign w:val="center"/>
          </w:tcPr>
          <w:p>
            <w:pPr>
              <w:spacing w:after="0"/>
            </w:pPr>
            <w:r/>
            <w:r>
              <w:rPr>
                <w:rFonts w:ascii="Aptos" w:hAnsi="Aptos"/>
                <w:b w:val="0"/>
                <w:sz w:val="17"/>
              </w:rPr>
              <w:t>Allow time for activities, discuss scenarios, model safe behavior, and encourage no-blame reporting.</w:t>
            </w:r>
          </w:p>
        </w:tc>
      </w:tr>
      <w:tr>
        <w:tc>
          <w:tcPr>
            <w:tcW w:type="dxa" w:w="2520"/>
            <w:vAlign w:val="center"/>
            <w:shd w:fill="F1F6F8"/>
          </w:tcPr>
          <w:p>
            <w:pPr>
              <w:spacing w:after="0"/>
            </w:pPr>
            <w:r/>
            <w:r>
              <w:rPr>
                <w:rFonts w:ascii="Aptos" w:hAnsi="Aptos"/>
                <w:b w:val="0"/>
                <w:sz w:val="17"/>
              </w:rPr>
              <w:t>Employees and contractors</w:t>
            </w:r>
          </w:p>
        </w:tc>
        <w:tc>
          <w:tcPr>
            <w:tcW w:type="dxa" w:w="7992"/>
            <w:vAlign w:val="center"/>
            <w:shd w:fill="F1F6F8"/>
          </w:tcPr>
          <w:p>
            <w:pPr>
              <w:spacing w:after="0"/>
            </w:pPr>
            <w:r/>
            <w:r>
              <w:rPr>
                <w:rFonts w:ascii="Aptos" w:hAnsi="Aptos"/>
                <w:b w:val="0"/>
                <w:sz w:val="17"/>
              </w:rPr>
              <w:t>Participate, follow approved policies, and report suspicious activity promptly.</w:t>
            </w:r>
          </w:p>
        </w:tc>
      </w:tr>
    </w:tbl>
    <w:p>
      <w:pPr>
        <w:spacing w:after="0"/>
      </w:pPr>
    </w:p>
    <w:p>
      <w:pPr>
        <w:pStyle w:val="Heading1"/>
      </w:pPr>
      <w:r>
        <w:t>10. Resources and Practical Requirements</w:t>
      </w:r>
    </w:p>
    <w:p>
      <w:pPr>
        <w:pStyle w:val="ListBullet"/>
        <w:spacing w:after="40"/>
      </w:pPr>
      <w:r>
        <w:t>People: security/IT lead, HR representative, communications support, managers, and a campaign coordinator.</w:t>
      </w:r>
    </w:p>
    <w:p>
      <w:pPr>
        <w:pStyle w:val="ListBullet"/>
        <w:spacing w:after="40"/>
      </w:pPr>
      <w:r>
        <w:t>Tools: existing email and intranet, approved learning platform or video meeting tool, quiz form, and the organization’s reporting mechanism.</w:t>
      </w:r>
    </w:p>
    <w:p>
      <w:pPr>
        <w:pStyle w:val="ListBullet"/>
        <w:spacing w:after="40"/>
      </w:pPr>
      <w:r>
        <w:t>Materials: campaign banner, posters, quick-reference guides, sample suspicious messages, quiz, manager discussion prompts, and evaluation summary.</w:t>
      </w:r>
    </w:p>
    <w:p>
      <w:pPr>
        <w:pStyle w:val="ListBullet"/>
        <w:spacing w:after="40"/>
      </w:pPr>
      <w:r>
        <w:t>Accessibility: plain-language wording, readable contrast, captions or transcripts, mobile-friendly content, and an alternative to live attendance.</w:t>
      </w:r>
    </w:p>
    <w:p>
      <w:pPr>
        <w:pStyle w:val="ListBullet"/>
        <w:spacing w:after="40"/>
      </w:pPr>
      <w:r>
        <w:t>Approvals: management approval for the schedule; HR and security approval for simulations; privacy review where employee-level metrics are collected.</w:t>
      </w:r>
    </w:p>
    <w:p>
      <w:pPr>
        <w:pStyle w:val="ListBullet"/>
        <w:spacing w:after="40"/>
      </w:pPr>
      <w:r>
        <w:t>Operational protection: never include real credentials, customer data, live malicious links, or unapproved attachments in training examples.</w:t>
      </w:r>
    </w:p>
    <w:p>
      <w:pPr>
        <w:pStyle w:val="Heading1"/>
      </w:pPr>
      <w:r>
        <w:t>11. Measurement and Evaluation</w:t>
      </w:r>
    </w:p>
    <w:p>
      <w:r>
        <w:t>Use a combination of participation, learning, and behavior indicators. Compare results with a baseline wherever possible.</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63A5F"/>
          </w:tcPr>
          <w:p>
            <w:pPr>
              <w:spacing w:after="0"/>
            </w:pPr>
            <w:r/>
            <w:r>
              <w:rPr>
                <w:rFonts w:ascii="Aptos" w:hAnsi="Aptos"/>
                <w:b/>
                <w:color w:val="FFFFFF"/>
                <w:sz w:val="18"/>
              </w:rPr>
              <w:t>Measure</w:t>
            </w:r>
          </w:p>
        </w:tc>
        <w:tc>
          <w:tcPr>
            <w:tcW w:type="dxa" w:w="4536"/>
            <w:vAlign w:val="center"/>
            <w:shd w:fill="163A5F"/>
          </w:tcPr>
          <w:p>
            <w:pPr>
              <w:spacing w:after="0"/>
            </w:pPr>
            <w:r/>
            <w:r>
              <w:rPr>
                <w:rFonts w:ascii="Aptos" w:hAnsi="Aptos"/>
                <w:b/>
                <w:color w:val="FFFFFF"/>
                <w:sz w:val="18"/>
              </w:rPr>
              <w:t>How to collect it</w:t>
            </w:r>
          </w:p>
        </w:tc>
        <w:tc>
          <w:tcPr>
            <w:tcW w:type="dxa" w:w="3888"/>
            <w:vAlign w:val="center"/>
            <w:shd w:fill="163A5F"/>
          </w:tcPr>
          <w:p>
            <w:pPr>
              <w:spacing w:after="0"/>
            </w:pPr>
            <w:r/>
            <w:r>
              <w:rPr>
                <w:rFonts w:ascii="Aptos" w:hAnsi="Aptos"/>
                <w:b/>
                <w:color w:val="FFFFFF"/>
                <w:sz w:val="18"/>
              </w:rPr>
              <w:t>Success indicator</w:t>
            </w:r>
          </w:p>
        </w:tc>
      </w:tr>
      <w:tr>
        <w:tc>
          <w:tcPr>
            <w:tcW w:type="dxa" w:w="2088"/>
            <w:vAlign w:val="center"/>
          </w:tcPr>
          <w:p>
            <w:pPr>
              <w:spacing w:after="0"/>
            </w:pPr>
            <w:r/>
            <w:r>
              <w:rPr>
                <w:rFonts w:ascii="Aptos" w:hAnsi="Aptos"/>
                <w:b w:val="0"/>
                <w:sz w:val="17"/>
              </w:rPr>
              <w:t>Reach</w:t>
            </w:r>
          </w:p>
        </w:tc>
        <w:tc>
          <w:tcPr>
            <w:tcW w:type="dxa" w:w="4536"/>
            <w:vAlign w:val="center"/>
          </w:tcPr>
          <w:p>
            <w:pPr>
              <w:spacing w:after="0"/>
            </w:pPr>
            <w:r/>
            <w:r>
              <w:rPr>
                <w:rFonts w:ascii="Aptos" w:hAnsi="Aptos"/>
                <w:b w:val="0"/>
                <w:sz w:val="17"/>
              </w:rPr>
              <w:t>Count employees receiving campaign materials and visits to the campaign hub.</w:t>
            </w:r>
          </w:p>
        </w:tc>
        <w:tc>
          <w:tcPr>
            <w:tcW w:type="dxa" w:w="3888"/>
            <w:vAlign w:val="center"/>
          </w:tcPr>
          <w:p>
            <w:pPr>
              <w:spacing w:after="0"/>
            </w:pPr>
            <w:r/>
            <w:r>
              <w:rPr>
                <w:rFonts w:ascii="Aptos" w:hAnsi="Aptos"/>
                <w:b w:val="0"/>
                <w:sz w:val="17"/>
              </w:rPr>
              <w:t>At least 90% reach target, adjusted for leave and workforce changes.</w:t>
            </w:r>
          </w:p>
        </w:tc>
      </w:tr>
      <w:tr>
        <w:tc>
          <w:tcPr>
            <w:tcW w:type="dxa" w:w="2088"/>
            <w:vAlign w:val="center"/>
            <w:shd w:fill="F1F6F8"/>
          </w:tcPr>
          <w:p>
            <w:pPr>
              <w:spacing w:after="0"/>
            </w:pPr>
            <w:r/>
            <w:r>
              <w:rPr>
                <w:rFonts w:ascii="Aptos" w:hAnsi="Aptos"/>
                <w:b w:val="0"/>
                <w:sz w:val="17"/>
              </w:rPr>
              <w:t>Participation</w:t>
            </w:r>
          </w:p>
        </w:tc>
        <w:tc>
          <w:tcPr>
            <w:tcW w:type="dxa" w:w="4536"/>
            <w:vAlign w:val="center"/>
            <w:shd w:fill="F1F6F8"/>
          </w:tcPr>
          <w:p>
            <w:pPr>
              <w:spacing w:after="0"/>
            </w:pPr>
            <w:r/>
            <w:r>
              <w:rPr>
                <w:rFonts w:ascii="Aptos" w:hAnsi="Aptos"/>
                <w:b w:val="0"/>
                <w:sz w:val="17"/>
              </w:rPr>
              <w:t>Record session attendance or completion of the equivalent self-paced activity.</w:t>
            </w:r>
          </w:p>
        </w:tc>
        <w:tc>
          <w:tcPr>
            <w:tcW w:type="dxa" w:w="3888"/>
            <w:vAlign w:val="center"/>
            <w:shd w:fill="F1F6F8"/>
          </w:tcPr>
          <w:p>
            <w:pPr>
              <w:spacing w:after="0"/>
            </w:pPr>
            <w:r/>
            <w:r>
              <w:rPr>
                <w:rFonts w:ascii="Aptos" w:hAnsi="Aptos"/>
                <w:b w:val="0"/>
                <w:sz w:val="17"/>
              </w:rPr>
              <w:t>Participation trend improves across the four weeks.</w:t>
            </w:r>
          </w:p>
        </w:tc>
      </w:tr>
      <w:tr>
        <w:tc>
          <w:tcPr>
            <w:tcW w:type="dxa" w:w="2088"/>
            <w:vAlign w:val="center"/>
          </w:tcPr>
          <w:p>
            <w:pPr>
              <w:spacing w:after="0"/>
            </w:pPr>
            <w:r/>
            <w:r>
              <w:rPr>
                <w:rFonts w:ascii="Aptos" w:hAnsi="Aptos"/>
                <w:b w:val="0"/>
                <w:sz w:val="17"/>
              </w:rPr>
              <w:t>Knowledge</w:t>
            </w:r>
          </w:p>
        </w:tc>
        <w:tc>
          <w:tcPr>
            <w:tcW w:type="dxa" w:w="4536"/>
            <w:vAlign w:val="center"/>
          </w:tcPr>
          <w:p>
            <w:pPr>
              <w:spacing w:after="0"/>
            </w:pPr>
            <w:r/>
            <w:r>
              <w:rPr>
                <w:rFonts w:ascii="Aptos" w:hAnsi="Aptos"/>
                <w:b w:val="0"/>
                <w:sz w:val="17"/>
              </w:rPr>
              <w:t>Use a short pre- and post-campaign quiz with the same learning objectives.</w:t>
            </w:r>
          </w:p>
        </w:tc>
        <w:tc>
          <w:tcPr>
            <w:tcW w:type="dxa" w:w="3888"/>
            <w:vAlign w:val="center"/>
          </w:tcPr>
          <w:p>
            <w:pPr>
              <w:spacing w:after="0"/>
            </w:pPr>
            <w:r/>
            <w:r>
              <w:rPr>
                <w:rFonts w:ascii="Aptos" w:hAnsi="Aptos"/>
                <w:b w:val="0"/>
                <w:sz w:val="17"/>
              </w:rPr>
              <w:t>At least 85% of completers score 80% or higher after training.</w:t>
            </w:r>
          </w:p>
        </w:tc>
      </w:tr>
      <w:tr>
        <w:tc>
          <w:tcPr>
            <w:tcW w:type="dxa" w:w="2088"/>
            <w:vAlign w:val="center"/>
            <w:shd w:fill="F1F6F8"/>
          </w:tcPr>
          <w:p>
            <w:pPr>
              <w:spacing w:after="0"/>
            </w:pPr>
            <w:r/>
            <w:r>
              <w:rPr>
                <w:rFonts w:ascii="Aptos" w:hAnsi="Aptos"/>
                <w:b w:val="0"/>
                <w:sz w:val="17"/>
              </w:rPr>
              <w:t>Phishing recognition</w:t>
            </w:r>
          </w:p>
        </w:tc>
        <w:tc>
          <w:tcPr>
            <w:tcW w:type="dxa" w:w="4536"/>
            <w:vAlign w:val="center"/>
            <w:shd w:fill="F1F6F8"/>
          </w:tcPr>
          <w:p>
            <w:pPr>
              <w:spacing w:after="0"/>
            </w:pPr>
            <w:r/>
            <w:r>
              <w:rPr>
                <w:rFonts w:ascii="Aptos" w:hAnsi="Aptos"/>
                <w:b w:val="0"/>
                <w:sz w:val="17"/>
              </w:rPr>
              <w:t>If approved, compare safe simulation results with a baseline.</w:t>
            </w:r>
          </w:p>
        </w:tc>
        <w:tc>
          <w:tcPr>
            <w:tcW w:type="dxa" w:w="3888"/>
            <w:vAlign w:val="center"/>
            <w:shd w:fill="F1F6F8"/>
          </w:tcPr>
          <w:p>
            <w:pPr>
              <w:spacing w:after="0"/>
            </w:pPr>
            <w:r/>
            <w:r>
              <w:rPr>
                <w:rFonts w:ascii="Aptos" w:hAnsi="Aptos"/>
                <w:b w:val="0"/>
                <w:sz w:val="17"/>
              </w:rPr>
              <w:t>Fewer risky interactions and more appropriate reports than baseline.</w:t>
            </w:r>
          </w:p>
        </w:tc>
      </w:tr>
      <w:tr>
        <w:tc>
          <w:tcPr>
            <w:tcW w:type="dxa" w:w="2088"/>
            <w:vAlign w:val="center"/>
          </w:tcPr>
          <w:p>
            <w:pPr>
              <w:spacing w:after="0"/>
            </w:pPr>
            <w:r/>
            <w:r>
              <w:rPr>
                <w:rFonts w:ascii="Aptos" w:hAnsi="Aptos"/>
                <w:b w:val="0"/>
                <w:sz w:val="17"/>
              </w:rPr>
              <w:t>Reporting behavior</w:t>
            </w:r>
          </w:p>
        </w:tc>
        <w:tc>
          <w:tcPr>
            <w:tcW w:type="dxa" w:w="4536"/>
            <w:vAlign w:val="center"/>
          </w:tcPr>
          <w:p>
            <w:pPr>
              <w:spacing w:after="0"/>
            </w:pPr>
            <w:r/>
            <w:r>
              <w:rPr>
                <w:rFonts w:ascii="Aptos" w:hAnsi="Aptos"/>
                <w:b w:val="0"/>
                <w:sz w:val="17"/>
              </w:rPr>
              <w:t>Track aggregate volume and timeliness of reports through the approved channel.</w:t>
            </w:r>
          </w:p>
        </w:tc>
        <w:tc>
          <w:tcPr>
            <w:tcW w:type="dxa" w:w="3888"/>
            <w:vAlign w:val="center"/>
          </w:tcPr>
          <w:p>
            <w:pPr>
              <w:spacing w:after="0"/>
            </w:pPr>
            <w:r/>
            <w:r>
              <w:rPr>
                <w:rFonts w:ascii="Aptos" w:hAnsi="Aptos"/>
                <w:b w:val="0"/>
                <w:sz w:val="17"/>
              </w:rPr>
              <w:t>More timely, actionable reports; investigate unusual drops or spikes.</w:t>
            </w:r>
          </w:p>
        </w:tc>
      </w:tr>
      <w:tr>
        <w:tc>
          <w:tcPr>
            <w:tcW w:type="dxa" w:w="2088"/>
            <w:vAlign w:val="center"/>
            <w:shd w:fill="F1F6F8"/>
          </w:tcPr>
          <w:p>
            <w:pPr>
              <w:spacing w:after="0"/>
            </w:pPr>
            <w:r/>
            <w:r>
              <w:rPr>
                <w:rFonts w:ascii="Aptos" w:hAnsi="Aptos"/>
                <w:b w:val="0"/>
                <w:sz w:val="17"/>
              </w:rPr>
              <w:t>Feedback</w:t>
            </w:r>
          </w:p>
        </w:tc>
        <w:tc>
          <w:tcPr>
            <w:tcW w:type="dxa" w:w="4536"/>
            <w:vAlign w:val="center"/>
            <w:shd w:fill="F1F6F8"/>
          </w:tcPr>
          <w:p>
            <w:pPr>
              <w:spacing w:after="0"/>
            </w:pPr>
            <w:r/>
            <w:r>
              <w:rPr>
                <w:rFonts w:ascii="Aptos" w:hAnsi="Aptos"/>
                <w:b w:val="0"/>
                <w:sz w:val="17"/>
              </w:rPr>
              <w:t>Ask employees which content was useful and what remains unclear.</w:t>
            </w:r>
          </w:p>
        </w:tc>
        <w:tc>
          <w:tcPr>
            <w:tcW w:type="dxa" w:w="3888"/>
            <w:vAlign w:val="center"/>
            <w:shd w:fill="F1F6F8"/>
          </w:tcPr>
          <w:p>
            <w:pPr>
              <w:spacing w:after="0"/>
            </w:pPr>
            <w:r/>
            <w:r>
              <w:rPr>
                <w:rFonts w:ascii="Aptos" w:hAnsi="Aptos"/>
                <w:b w:val="0"/>
                <w:sz w:val="17"/>
              </w:rPr>
              <w:t>Identify at least three practical improvements for the next cycle.</w:t>
            </w:r>
          </w:p>
        </w:tc>
      </w:tr>
    </w:tbl>
    <w:p>
      <w:pPr>
        <w:spacing w:after="0"/>
      </w:pPr>
    </w:p>
    <w:p>
      <w:r>
        <w:t>Interpretation note: a rise in reports can be a positive sign of awareness, not necessarily a rise in attacks. Metrics should be interpreted alongside context and should not reward under-reporting. Establish a baseline before claiming that the campaign reduced incidents.</w:t>
      </w:r>
    </w:p>
    <w:p>
      <w:pPr>
        <w:pStyle w:val="Heading1"/>
      </w:pPr>
      <w:r>
        <w:t>12. Sample Knowledge-Check Questions</w:t>
      </w:r>
    </w:p>
    <w:p>
      <w:pPr>
        <w:spacing w:after="20"/>
      </w:pPr>
      <w:r>
        <w:rPr>
          <w:b/>
        </w:rPr>
        <w:t>1. You receive an unexpected email asking you to sign in immediately. What should you do?</w:t>
      </w:r>
    </w:p>
    <w:p>
      <w:pPr>
        <w:spacing w:after="100"/>
        <w:ind w:left="360"/>
      </w:pPr>
      <w:r>
        <w:t>Expected response: Do not use the email link. Check the sender and context, navigate through a trusted route, and report it if suspicious.</w:t>
      </w:r>
    </w:p>
    <w:p>
      <w:pPr>
        <w:spacing w:after="20"/>
      </w:pPr>
      <w:r>
        <w:rPr>
          <w:b/>
        </w:rPr>
        <w:t>2. An MFA prompt appears when you are not trying to sign in. What is the safest action?</w:t>
      </w:r>
    </w:p>
    <w:p>
      <w:pPr>
        <w:spacing w:after="100"/>
        <w:ind w:left="360"/>
      </w:pPr>
      <w:r>
        <w:t>Expected response: Deny or ignore the unexpected request and report it through the approved channel. Never share the code.</w:t>
      </w:r>
    </w:p>
    <w:p>
      <w:pPr>
        <w:spacing w:after="20"/>
      </w:pPr>
      <w:r>
        <w:rPr>
          <w:b/>
        </w:rPr>
        <w:t>3. A supplier emails new bank details and asks for urgent payment. What should you do?</w:t>
      </w:r>
    </w:p>
    <w:p>
      <w:pPr>
        <w:spacing w:after="100"/>
        <w:ind w:left="360"/>
      </w:pPr>
      <w:r>
        <w:t>Expected response: Verify the change using a known, independent contact method and follow normal approval procedures.</w:t>
      </w:r>
    </w:p>
    <w:p>
      <w:pPr>
        <w:spacing w:after="20"/>
      </w:pPr>
      <w:r>
        <w:rPr>
          <w:b/>
        </w:rPr>
        <w:t>4. You accidentally send a confidential file to the wrong person. What should you do?</w:t>
      </w:r>
    </w:p>
    <w:p>
      <w:pPr>
        <w:spacing w:after="100"/>
        <w:ind w:left="360"/>
      </w:pPr>
      <w:r>
        <w:t>Expected response: Report it promptly through the approved incident route and follow instructions. Do not conceal it or attempt an unauthorized fix.</w:t>
      </w:r>
    </w:p>
    <w:p>
      <w:pPr>
        <w:spacing w:after="20"/>
      </w:pPr>
      <w:r>
        <w:rPr>
          <w:b/>
        </w:rPr>
        <w:t>5. You find a USB drive in a public area. Should you plug it in to identify the owner?</w:t>
      </w:r>
    </w:p>
    <w:p>
      <w:pPr>
        <w:spacing w:after="100"/>
        <w:ind w:left="360"/>
      </w:pPr>
      <w:r>
        <w:t>Expected response: No. Do not connect unknown media; give it to IT/security according to policy.</w:t>
      </w:r>
    </w:p>
    <w:p>
      <w:pPr>
        <w:pStyle w:val="Heading1"/>
      </w:pPr>
      <w:r>
        <w:t>13. Risks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3A5F"/>
          </w:tcPr>
          <w:p>
            <w:pPr>
              <w:spacing w:after="0"/>
            </w:pPr>
            <w:r/>
            <w:r>
              <w:rPr>
                <w:rFonts w:ascii="Aptos" w:hAnsi="Aptos"/>
                <w:b/>
                <w:color w:val="FFFFFF"/>
                <w:sz w:val="18"/>
              </w:rPr>
              <w:t>Risk</w:t>
            </w:r>
          </w:p>
        </w:tc>
        <w:tc>
          <w:tcPr>
            <w:tcW w:type="dxa" w:w="3096"/>
            <w:vAlign w:val="center"/>
            <w:shd w:fill="163A5F"/>
          </w:tcPr>
          <w:p>
            <w:pPr>
              <w:spacing w:after="0"/>
            </w:pPr>
            <w:r/>
            <w:r>
              <w:rPr>
                <w:rFonts w:ascii="Aptos" w:hAnsi="Aptos"/>
                <w:b/>
                <w:color w:val="FFFFFF"/>
                <w:sz w:val="18"/>
              </w:rPr>
              <w:t>Potential impact</w:t>
            </w:r>
          </w:p>
        </w:tc>
        <w:tc>
          <w:tcPr>
            <w:tcW w:type="dxa" w:w="5184"/>
            <w:vAlign w:val="center"/>
            <w:shd w:fill="163A5F"/>
          </w:tcPr>
          <w:p>
            <w:pPr>
              <w:spacing w:after="0"/>
            </w:pPr>
            <w:r/>
            <w:r>
              <w:rPr>
                <w:rFonts w:ascii="Aptos" w:hAnsi="Aptos"/>
                <w:b/>
                <w:color w:val="FFFFFF"/>
                <w:sz w:val="18"/>
              </w:rPr>
              <w:t>Mitigation</w:t>
            </w:r>
          </w:p>
        </w:tc>
      </w:tr>
      <w:tr>
        <w:tc>
          <w:tcPr>
            <w:tcW w:type="dxa" w:w="2376"/>
            <w:vAlign w:val="center"/>
          </w:tcPr>
          <w:p>
            <w:pPr>
              <w:spacing w:after="0"/>
            </w:pPr>
            <w:r/>
            <w:r>
              <w:rPr>
                <w:rFonts w:ascii="Aptos" w:hAnsi="Aptos"/>
                <w:b w:val="0"/>
                <w:sz w:val="17"/>
              </w:rPr>
              <w:t>Low participation</w:t>
            </w:r>
          </w:p>
        </w:tc>
        <w:tc>
          <w:tcPr>
            <w:tcW w:type="dxa" w:w="3096"/>
            <w:vAlign w:val="center"/>
          </w:tcPr>
          <w:p>
            <w:pPr>
              <w:spacing w:after="0"/>
            </w:pPr>
            <w:r/>
            <w:r>
              <w:rPr>
                <w:rFonts w:ascii="Aptos" w:hAnsi="Aptos"/>
                <w:b w:val="0"/>
                <w:sz w:val="17"/>
              </w:rPr>
              <w:t>Employees miss key messages.</w:t>
            </w:r>
          </w:p>
        </w:tc>
        <w:tc>
          <w:tcPr>
            <w:tcW w:type="dxa" w:w="5184"/>
            <w:vAlign w:val="center"/>
          </w:tcPr>
          <w:p>
            <w:pPr>
              <w:spacing w:after="0"/>
            </w:pPr>
            <w:r/>
            <w:r>
              <w:rPr>
                <w:rFonts w:ascii="Aptos" w:hAnsi="Aptos"/>
                <w:b w:val="0"/>
                <w:sz w:val="17"/>
              </w:rPr>
              <w:t>Keep activities brief, schedule reminders, ask managers to provide time, and offer self-paced options.</w:t>
            </w:r>
          </w:p>
        </w:tc>
      </w:tr>
      <w:tr>
        <w:tc>
          <w:tcPr>
            <w:tcW w:type="dxa" w:w="2376"/>
            <w:vAlign w:val="center"/>
            <w:shd w:fill="F1F6F8"/>
          </w:tcPr>
          <w:p>
            <w:pPr>
              <w:spacing w:after="0"/>
            </w:pPr>
            <w:r/>
            <w:r>
              <w:rPr>
                <w:rFonts w:ascii="Aptos" w:hAnsi="Aptos"/>
                <w:b w:val="0"/>
                <w:sz w:val="17"/>
              </w:rPr>
              <w:t>Message fatigue</w:t>
            </w:r>
          </w:p>
        </w:tc>
        <w:tc>
          <w:tcPr>
            <w:tcW w:type="dxa" w:w="3096"/>
            <w:vAlign w:val="center"/>
            <w:shd w:fill="F1F6F8"/>
          </w:tcPr>
          <w:p>
            <w:pPr>
              <w:spacing w:after="0"/>
            </w:pPr>
            <w:r/>
            <w:r>
              <w:rPr>
                <w:rFonts w:ascii="Aptos" w:hAnsi="Aptos"/>
                <w:b w:val="0"/>
                <w:sz w:val="17"/>
              </w:rPr>
              <w:t>Employees ignore repeated communications.</w:t>
            </w:r>
          </w:p>
        </w:tc>
        <w:tc>
          <w:tcPr>
            <w:tcW w:type="dxa" w:w="5184"/>
            <w:vAlign w:val="center"/>
            <w:shd w:fill="F1F6F8"/>
          </w:tcPr>
          <w:p>
            <w:pPr>
              <w:spacing w:after="0"/>
            </w:pPr>
            <w:r/>
            <w:r>
              <w:rPr>
                <w:rFonts w:ascii="Aptos" w:hAnsi="Aptos"/>
                <w:b w:val="0"/>
                <w:sz w:val="17"/>
              </w:rPr>
              <w:t>Use varied formats, one action per message, and a predictable but limited cadence.</w:t>
            </w:r>
          </w:p>
        </w:tc>
      </w:tr>
      <w:tr>
        <w:tc>
          <w:tcPr>
            <w:tcW w:type="dxa" w:w="2376"/>
            <w:vAlign w:val="center"/>
          </w:tcPr>
          <w:p>
            <w:pPr>
              <w:spacing w:after="0"/>
            </w:pPr>
            <w:r/>
            <w:r>
              <w:rPr>
                <w:rFonts w:ascii="Aptos" w:hAnsi="Aptos"/>
                <w:b w:val="0"/>
                <w:sz w:val="17"/>
              </w:rPr>
              <w:t>Confusion about reporting</w:t>
            </w:r>
          </w:p>
        </w:tc>
        <w:tc>
          <w:tcPr>
            <w:tcW w:type="dxa" w:w="3096"/>
            <w:vAlign w:val="center"/>
          </w:tcPr>
          <w:p>
            <w:pPr>
              <w:spacing w:after="0"/>
            </w:pPr>
            <w:r/>
            <w:r>
              <w:rPr>
                <w:rFonts w:ascii="Aptos" w:hAnsi="Aptos"/>
                <w:b w:val="0"/>
                <w:sz w:val="17"/>
              </w:rPr>
              <w:t>Suspicious activity is not escalated.</w:t>
            </w:r>
          </w:p>
        </w:tc>
        <w:tc>
          <w:tcPr>
            <w:tcW w:type="dxa" w:w="5184"/>
            <w:vAlign w:val="center"/>
          </w:tcPr>
          <w:p>
            <w:pPr>
              <w:spacing w:after="0"/>
            </w:pPr>
            <w:r/>
            <w:r>
              <w:rPr>
                <w:rFonts w:ascii="Aptos" w:hAnsi="Aptos"/>
                <w:b w:val="0"/>
                <w:sz w:val="17"/>
              </w:rPr>
              <w:t>Validate the reporting route before launch and repeat it in every major asset.</w:t>
            </w:r>
          </w:p>
        </w:tc>
      </w:tr>
      <w:tr>
        <w:tc>
          <w:tcPr>
            <w:tcW w:type="dxa" w:w="2376"/>
            <w:vAlign w:val="center"/>
            <w:shd w:fill="F1F6F8"/>
          </w:tcPr>
          <w:p>
            <w:pPr>
              <w:spacing w:after="0"/>
            </w:pPr>
            <w:r/>
            <w:r>
              <w:rPr>
                <w:rFonts w:ascii="Aptos" w:hAnsi="Aptos"/>
                <w:b w:val="0"/>
                <w:sz w:val="17"/>
              </w:rPr>
              <w:t>Simulation causes anxiety</w:t>
            </w:r>
          </w:p>
        </w:tc>
        <w:tc>
          <w:tcPr>
            <w:tcW w:type="dxa" w:w="3096"/>
            <w:vAlign w:val="center"/>
            <w:shd w:fill="F1F6F8"/>
          </w:tcPr>
          <w:p>
            <w:pPr>
              <w:spacing w:after="0"/>
            </w:pPr>
            <w:r/>
            <w:r>
              <w:rPr>
                <w:rFonts w:ascii="Aptos" w:hAnsi="Aptos"/>
                <w:b w:val="0"/>
                <w:sz w:val="17"/>
              </w:rPr>
              <w:t>Employees feel blamed or lose trust.</w:t>
            </w:r>
          </w:p>
        </w:tc>
        <w:tc>
          <w:tcPr>
            <w:tcW w:type="dxa" w:w="5184"/>
            <w:vAlign w:val="center"/>
            <w:shd w:fill="F1F6F8"/>
          </w:tcPr>
          <w:p>
            <w:pPr>
              <w:spacing w:after="0"/>
            </w:pPr>
            <w:r/>
            <w:r>
              <w:rPr>
                <w:rFonts w:ascii="Aptos" w:hAnsi="Aptos"/>
                <w:b w:val="0"/>
                <w:sz w:val="17"/>
              </w:rPr>
              <w:t>Get approval, communicate the learning purpose, avoid shaming, and provide immediate constructive feedback.</w:t>
            </w:r>
          </w:p>
        </w:tc>
      </w:tr>
      <w:tr>
        <w:tc>
          <w:tcPr>
            <w:tcW w:type="dxa" w:w="2376"/>
            <w:vAlign w:val="center"/>
          </w:tcPr>
          <w:p>
            <w:pPr>
              <w:spacing w:after="0"/>
            </w:pPr>
            <w:r/>
            <w:r>
              <w:rPr>
                <w:rFonts w:ascii="Aptos" w:hAnsi="Aptos"/>
                <w:b w:val="0"/>
                <w:sz w:val="17"/>
              </w:rPr>
              <w:t>Outdated or inaccurate advice</w:t>
            </w:r>
          </w:p>
        </w:tc>
        <w:tc>
          <w:tcPr>
            <w:tcW w:type="dxa" w:w="3096"/>
            <w:vAlign w:val="center"/>
          </w:tcPr>
          <w:p>
            <w:pPr>
              <w:spacing w:after="0"/>
            </w:pPr>
            <w:r/>
            <w:r>
              <w:rPr>
                <w:rFonts w:ascii="Aptos" w:hAnsi="Aptos"/>
                <w:b w:val="0"/>
                <w:sz w:val="17"/>
              </w:rPr>
              <w:t>Employees follow unsafe instructions.</w:t>
            </w:r>
          </w:p>
        </w:tc>
        <w:tc>
          <w:tcPr>
            <w:tcW w:type="dxa" w:w="5184"/>
            <w:vAlign w:val="center"/>
          </w:tcPr>
          <w:p>
            <w:pPr>
              <w:spacing w:after="0"/>
            </w:pPr>
            <w:r/>
            <w:r>
              <w:rPr>
                <w:rFonts w:ascii="Aptos" w:hAnsi="Aptos"/>
                <w:b w:val="0"/>
                <w:sz w:val="17"/>
              </w:rPr>
              <w:t>Have the security/IT lead review all content and align it with current organizational policies.</w:t>
            </w:r>
          </w:p>
        </w:tc>
      </w:tr>
      <w:tr>
        <w:tc>
          <w:tcPr>
            <w:tcW w:type="dxa" w:w="2376"/>
            <w:vAlign w:val="center"/>
            <w:shd w:fill="F1F6F8"/>
          </w:tcPr>
          <w:p>
            <w:pPr>
              <w:spacing w:after="0"/>
            </w:pPr>
            <w:r/>
            <w:r>
              <w:rPr>
                <w:rFonts w:ascii="Aptos" w:hAnsi="Aptos"/>
                <w:b w:val="0"/>
                <w:sz w:val="17"/>
              </w:rPr>
              <w:t>Privacy concerns in metrics</w:t>
            </w:r>
          </w:p>
        </w:tc>
        <w:tc>
          <w:tcPr>
            <w:tcW w:type="dxa" w:w="3096"/>
            <w:vAlign w:val="center"/>
            <w:shd w:fill="F1F6F8"/>
          </w:tcPr>
          <w:p>
            <w:pPr>
              <w:spacing w:after="0"/>
            </w:pPr>
            <w:r/>
            <w:r>
              <w:rPr>
                <w:rFonts w:ascii="Aptos" w:hAnsi="Aptos"/>
                <w:b w:val="0"/>
                <w:sz w:val="17"/>
              </w:rPr>
              <w:t>Loss of trust or inappropriate use of results.</w:t>
            </w:r>
          </w:p>
        </w:tc>
        <w:tc>
          <w:tcPr>
            <w:tcW w:type="dxa" w:w="5184"/>
            <w:vAlign w:val="center"/>
            <w:shd w:fill="F1F6F8"/>
          </w:tcPr>
          <w:p>
            <w:pPr>
              <w:spacing w:after="0"/>
            </w:pPr>
            <w:r/>
            <w:r>
              <w:rPr>
                <w:rFonts w:ascii="Aptos" w:hAnsi="Aptos"/>
                <w:b w:val="0"/>
                <w:sz w:val="17"/>
              </w:rPr>
              <w:t>Collect only necessary data, restrict access, report aggregate results, and follow policy and applicable law.</w:t>
            </w:r>
          </w:p>
        </w:tc>
      </w:tr>
    </w:tbl>
    <w:p>
      <w:pPr>
        <w:spacing w:after="0"/>
      </w:pPr>
    </w:p>
    <w:p>
      <w:pPr>
        <w:pStyle w:val="Heading1"/>
      </w:pPr>
      <w:r>
        <w:t>14. Incident Reporting Guidance for Employees</w:t>
      </w:r>
    </w:p>
    <w:p>
      <w:r>
        <w:t>Campaign materials should display the organization’s real approved reporting route before launch. For this hypothetical plan, use the placeholder below and replace it with the correct internal details:</w:t>
      </w:r>
    </w:p>
    <w:p>
      <w:pPr>
        <w:pStyle w:val="ListBullet"/>
        <w:spacing w:after="40"/>
      </w:pPr>
      <w:r>
        <w:t>Suspicious email or message: use the organization’s approved “Report Phishing” function or forward it to the designated security mailbox.</w:t>
      </w:r>
    </w:p>
    <w:p>
      <w:pPr>
        <w:pStyle w:val="ListBullet"/>
        <w:spacing w:after="40"/>
      </w:pPr>
      <w:r>
        <w:t>Lost device, unexpected MFA prompt, suspected malware, or possible data exposure: contact the IT/security help desk immediately using the verified internal contact details.</w:t>
      </w:r>
    </w:p>
    <w:p>
      <w:pPr>
        <w:pStyle w:val="ListBullet"/>
        <w:spacing w:after="40"/>
      </w:pPr>
      <w:r>
        <w:t>Include useful context such as what happened, when it happened, the affected device or account, and any action already taken.</w:t>
      </w:r>
    </w:p>
    <w:p>
      <w:pPr>
        <w:pStyle w:val="ListBullet"/>
        <w:spacing w:after="40"/>
      </w:pPr>
      <w:r>
        <w:t>Do not forward suspicious content broadly, enter credentials into a suspected page, delete evidence unless instructed, or delay reporting while investigating alone.</w:t>
      </w:r>
    </w:p>
    <w:p>
      <w:r>
        <w:rPr>
          <w:b/>
        </w:rPr>
        <w:t xml:space="preserve">Placeholder to replace before launch: </w:t>
      </w:r>
      <w:r>
        <w:t>Security reporting channel: [insert approved email, portal, hotline, or reporting button].</w:t>
      </w:r>
    </w:p>
    <w:p>
      <w:pPr>
        <w:pStyle w:val="Heading1"/>
      </w:pPr>
      <w:r>
        <w:t>15. Post-Campaign and 90-Day Follow-Up</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63A5F"/>
          </w:tcPr>
          <w:p>
            <w:pPr>
              <w:spacing w:after="0"/>
            </w:pPr>
            <w:r/>
            <w:r>
              <w:rPr>
                <w:rFonts w:ascii="Aptos" w:hAnsi="Aptos"/>
                <w:b/>
                <w:color w:val="FFFFFF"/>
                <w:sz w:val="18"/>
              </w:rPr>
              <w:t>Timing</w:t>
            </w:r>
          </w:p>
        </w:tc>
        <w:tc>
          <w:tcPr>
            <w:tcW w:type="dxa" w:w="6552"/>
            <w:vAlign w:val="center"/>
            <w:shd w:fill="163A5F"/>
          </w:tcPr>
          <w:p>
            <w:pPr>
              <w:spacing w:after="0"/>
            </w:pPr>
            <w:r/>
            <w:r>
              <w:rPr>
                <w:rFonts w:ascii="Aptos" w:hAnsi="Aptos"/>
                <w:b/>
                <w:color w:val="FFFFFF"/>
                <w:sz w:val="18"/>
              </w:rPr>
              <w:t>Follow-up action</w:t>
            </w:r>
          </w:p>
        </w:tc>
        <w:tc>
          <w:tcPr>
            <w:tcW w:type="dxa" w:w="2376"/>
            <w:vAlign w:val="center"/>
            <w:shd w:fill="163A5F"/>
          </w:tcPr>
          <w:p>
            <w:pPr>
              <w:spacing w:after="0"/>
            </w:pPr>
            <w:r/>
            <w:r>
              <w:rPr>
                <w:rFonts w:ascii="Aptos" w:hAnsi="Aptos"/>
                <w:b/>
                <w:color w:val="FFFFFF"/>
                <w:sz w:val="18"/>
              </w:rPr>
              <w:t>Owner</w:t>
            </w:r>
          </w:p>
        </w:tc>
      </w:tr>
      <w:tr>
        <w:tc>
          <w:tcPr>
            <w:tcW w:type="dxa" w:w="1728"/>
            <w:vAlign w:val="center"/>
          </w:tcPr>
          <w:p>
            <w:pPr>
              <w:spacing w:after="0"/>
            </w:pPr>
            <w:r/>
            <w:r>
              <w:rPr>
                <w:rFonts w:ascii="Aptos" w:hAnsi="Aptos"/>
                <w:b w:val="0"/>
                <w:sz w:val="17"/>
              </w:rPr>
              <w:t>Within 1 week</w:t>
            </w:r>
          </w:p>
        </w:tc>
        <w:tc>
          <w:tcPr>
            <w:tcW w:type="dxa" w:w="6552"/>
            <w:vAlign w:val="center"/>
          </w:tcPr>
          <w:p>
            <w:pPr>
              <w:spacing w:after="0"/>
            </w:pPr>
            <w:r/>
            <w:r>
              <w:rPr>
                <w:rFonts w:ascii="Aptos" w:hAnsi="Aptos"/>
                <w:b w:val="0"/>
                <w:sz w:val="17"/>
              </w:rPr>
              <w:t>Share aggregate results, thank participants, and list the top three lessons.</w:t>
            </w:r>
          </w:p>
        </w:tc>
        <w:tc>
          <w:tcPr>
            <w:tcW w:type="dxa" w:w="2376"/>
            <w:vAlign w:val="center"/>
          </w:tcPr>
          <w:p>
            <w:pPr>
              <w:spacing w:after="0"/>
            </w:pPr>
            <w:r/>
            <w:r>
              <w:rPr>
                <w:rFonts w:ascii="Aptos" w:hAnsi="Aptos"/>
                <w:b w:val="0"/>
                <w:sz w:val="17"/>
              </w:rPr>
              <w:t>Security lead + Communications</w:t>
            </w:r>
          </w:p>
        </w:tc>
      </w:tr>
      <w:tr>
        <w:tc>
          <w:tcPr>
            <w:tcW w:type="dxa" w:w="1728"/>
            <w:vAlign w:val="center"/>
            <w:shd w:fill="F1F6F8"/>
          </w:tcPr>
          <w:p>
            <w:pPr>
              <w:spacing w:after="0"/>
            </w:pPr>
            <w:r/>
            <w:r>
              <w:rPr>
                <w:rFonts w:ascii="Aptos" w:hAnsi="Aptos"/>
                <w:b w:val="0"/>
                <w:sz w:val="17"/>
              </w:rPr>
              <w:t>Within 30 days</w:t>
            </w:r>
          </w:p>
        </w:tc>
        <w:tc>
          <w:tcPr>
            <w:tcW w:type="dxa" w:w="6552"/>
            <w:vAlign w:val="center"/>
            <w:shd w:fill="F1F6F8"/>
          </w:tcPr>
          <w:p>
            <w:pPr>
              <w:spacing w:after="0"/>
            </w:pPr>
            <w:r/>
            <w:r>
              <w:rPr>
                <w:rFonts w:ascii="Aptos" w:hAnsi="Aptos"/>
                <w:b w:val="0"/>
                <w:sz w:val="17"/>
              </w:rPr>
              <w:t>Publish a refresher on the weakest quiz topic and review any reporting bottlenecks.</w:t>
            </w:r>
          </w:p>
        </w:tc>
        <w:tc>
          <w:tcPr>
            <w:tcW w:type="dxa" w:w="2376"/>
            <w:vAlign w:val="center"/>
            <w:shd w:fill="F1F6F8"/>
          </w:tcPr>
          <w:p>
            <w:pPr>
              <w:spacing w:after="0"/>
            </w:pPr>
            <w:r/>
            <w:r>
              <w:rPr>
                <w:rFonts w:ascii="Aptos" w:hAnsi="Aptos"/>
                <w:b w:val="0"/>
                <w:sz w:val="17"/>
              </w:rPr>
              <w:t>Security lead + IT support</w:t>
            </w:r>
          </w:p>
        </w:tc>
      </w:tr>
      <w:tr>
        <w:tc>
          <w:tcPr>
            <w:tcW w:type="dxa" w:w="1728"/>
            <w:vAlign w:val="center"/>
          </w:tcPr>
          <w:p>
            <w:pPr>
              <w:spacing w:after="0"/>
            </w:pPr>
            <w:r/>
            <w:r>
              <w:rPr>
                <w:rFonts w:ascii="Aptos" w:hAnsi="Aptos"/>
                <w:b w:val="0"/>
                <w:sz w:val="17"/>
              </w:rPr>
              <w:t>Within 60 days</w:t>
            </w:r>
          </w:p>
        </w:tc>
        <w:tc>
          <w:tcPr>
            <w:tcW w:type="dxa" w:w="6552"/>
            <w:vAlign w:val="center"/>
          </w:tcPr>
          <w:p>
            <w:pPr>
              <w:spacing w:after="0"/>
            </w:pPr>
            <w:r/>
            <w:r>
              <w:rPr>
                <w:rFonts w:ascii="Aptos" w:hAnsi="Aptos"/>
                <w:b w:val="0"/>
                <w:sz w:val="17"/>
              </w:rPr>
              <w:t>Include a five-minute security discussion in a team meeting and update FAQs based on employee questions.</w:t>
            </w:r>
          </w:p>
        </w:tc>
        <w:tc>
          <w:tcPr>
            <w:tcW w:type="dxa" w:w="2376"/>
            <w:vAlign w:val="center"/>
          </w:tcPr>
          <w:p>
            <w:pPr>
              <w:spacing w:after="0"/>
            </w:pPr>
            <w:r/>
            <w:r>
              <w:rPr>
                <w:rFonts w:ascii="Aptos" w:hAnsi="Aptos"/>
                <w:b w:val="0"/>
                <w:sz w:val="17"/>
              </w:rPr>
              <w:t>Managers + HR</w:t>
            </w:r>
          </w:p>
        </w:tc>
      </w:tr>
      <w:tr>
        <w:tc>
          <w:tcPr>
            <w:tcW w:type="dxa" w:w="1728"/>
            <w:vAlign w:val="center"/>
            <w:shd w:fill="F1F6F8"/>
          </w:tcPr>
          <w:p>
            <w:pPr>
              <w:spacing w:after="0"/>
            </w:pPr>
            <w:r/>
            <w:r>
              <w:rPr>
                <w:rFonts w:ascii="Aptos" w:hAnsi="Aptos"/>
                <w:b w:val="0"/>
                <w:sz w:val="17"/>
              </w:rPr>
              <w:t>Within 90 days</w:t>
            </w:r>
          </w:p>
        </w:tc>
        <w:tc>
          <w:tcPr>
            <w:tcW w:type="dxa" w:w="6552"/>
            <w:vAlign w:val="center"/>
            <w:shd w:fill="F1F6F8"/>
          </w:tcPr>
          <w:p>
            <w:pPr>
              <w:spacing w:after="0"/>
            </w:pPr>
            <w:r/>
            <w:r>
              <w:rPr>
                <w:rFonts w:ascii="Aptos" w:hAnsi="Aptos"/>
                <w:b w:val="0"/>
                <w:sz w:val="17"/>
              </w:rPr>
              <w:t>Repeat a short knowledge check or approved simulation, compare trends, and propose the next campaign cycle.</w:t>
            </w:r>
          </w:p>
        </w:tc>
        <w:tc>
          <w:tcPr>
            <w:tcW w:type="dxa" w:w="2376"/>
            <w:vAlign w:val="center"/>
            <w:shd w:fill="F1F6F8"/>
          </w:tcPr>
          <w:p>
            <w:pPr>
              <w:spacing w:after="0"/>
            </w:pPr>
            <w:r/>
            <w:r>
              <w:rPr>
                <w:rFonts w:ascii="Aptos" w:hAnsi="Aptos"/>
                <w:b w:val="0"/>
                <w:sz w:val="17"/>
              </w:rPr>
              <w:t>Security lead + executive sponsor</w:t>
            </w:r>
          </w:p>
        </w:tc>
      </w:tr>
    </w:tbl>
    <w:p>
      <w:pPr>
        <w:spacing w:after="0"/>
      </w:pPr>
    </w:p>
    <w:p>
      <w:pPr>
        <w:pStyle w:val="Heading1"/>
      </w:pPr>
      <w:r>
        <w:t>16. Conclusion</w:t>
      </w:r>
    </w:p>
    <w:p>
      <w:r>
        <w:t>The “Pause. Check. Protect.” campaign provides a realistic, measurable, and employee-friendly approach to security awareness. It combines short learning activities with practical examples, clear reporting guidance, manager support, and evaluation. Its success depends on accurate policy-aligned content, leadership support, accessible communications, and a culture where employees can report mistakes and suspicious activity quickly without fear of embarrassment.</w:t>
      </w:r>
    </w:p>
    <w:p>
      <w:pPr>
        <w:pStyle w:val="Heading1"/>
      </w:pPr>
      <w:r>
        <w:t>Appendix A: Pre-Launch Checklist</w:t>
      </w:r>
    </w:p>
    <w:p>
      <w:pPr>
        <w:spacing w:after="60"/>
        <w:ind w:left="216"/>
      </w:pPr>
      <w:r>
        <w:t>☐  Management sponsor and campaign dates confirmed.</w:t>
      </w:r>
    </w:p>
    <w:p>
      <w:pPr>
        <w:spacing w:after="60"/>
        <w:ind w:left="216"/>
      </w:pPr>
      <w:r>
        <w:t>☐  Security/IT has approved all technical guidance and examples.</w:t>
      </w:r>
    </w:p>
    <w:p>
      <w:pPr>
        <w:spacing w:after="60"/>
        <w:ind w:left="216"/>
      </w:pPr>
      <w:r>
        <w:t>☐  HR/privacy review completed for any simulation or employee-level metrics.</w:t>
      </w:r>
    </w:p>
    <w:p>
      <w:pPr>
        <w:spacing w:after="60"/>
        <w:ind w:left="216"/>
      </w:pPr>
      <w:r>
        <w:t>☐  Reporting channel and escalation contacts tested and verified.</w:t>
      </w:r>
    </w:p>
    <w:p>
      <w:pPr>
        <w:spacing w:after="60"/>
        <w:ind w:left="216"/>
      </w:pPr>
      <w:r>
        <w:t>☐  All links, quiz forms, and learning materials checked.</w:t>
      </w:r>
    </w:p>
    <w:p>
      <w:pPr>
        <w:spacing w:after="60"/>
        <w:ind w:left="216"/>
      </w:pPr>
      <w:r>
        <w:t>☐  Accessible and mobile-friendly versions prepared.</w:t>
      </w:r>
    </w:p>
    <w:p>
      <w:pPr>
        <w:spacing w:after="60"/>
        <w:ind w:left="216"/>
      </w:pPr>
      <w:r>
        <w:t>☐  Managers briefed and participation time scheduled.</w:t>
      </w:r>
    </w:p>
    <w:p>
      <w:pPr>
        <w:spacing w:after="60"/>
        <w:ind w:left="216"/>
      </w:pPr>
      <w:r>
        <w:t>☐  Baseline measurement plan ready.</w:t>
      </w:r>
    </w:p>
    <w:p>
      <w:pPr>
        <w:spacing w:after="60"/>
        <w:ind w:left="216"/>
      </w:pPr>
      <w:r>
        <w:t>☐  Post-campaign owner and 90-day follow-up date assigned.</w:t>
      </w:r>
    </w:p>
    <w:p>
      <w:pPr>
        <w:pStyle w:val="Heading1"/>
      </w:pPr>
      <w:r>
        <w:t>Appendix B: Suggested Launch Poster Copy</w:t>
      </w:r>
    </w:p>
    <w:p>
      <w:pPr>
        <w:jc w:val="center"/>
      </w:pPr>
      <w:r>
        <w:rPr>
          <w:b/>
          <w:color w:val="007C91"/>
          <w:sz w:val="44"/>
        </w:rPr>
        <w:t>PAUSE. CHECK. PROTECT.</w:t>
      </w:r>
    </w:p>
    <w:p>
      <w:pPr>
        <w:jc w:val="center"/>
      </w:pPr>
      <w:r>
        <w:rPr>
          <w:sz w:val="24"/>
        </w:rPr>
        <w:t>Pause before you click.\nCheck unexpected requests through a trusted channel.\nProtect accounts, devices, and information.\nReport anything suspicious quickly.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7D"/>
        <w:sz w:val="16"/>
      </w:rPr>
      <w:t>Hypothetical Organization • Campaign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7D"/>
        <w:sz w:val="16"/>
      </w:rPr>
      <w:t>CYBERSECURITY AWARENESS CAMPAIGN  |  WEEK 4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45B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