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A5F"/>
          <w:sz w:val="60"/>
        </w:rPr>
        <w:t>VULNERABILITY\nASSESSMENT REPORT</w:t>
      </w:r>
    </w:p>
    <w:p>
      <w:pPr>
        <w:jc w:val="center"/>
      </w:pPr>
      <w:r>
        <w:rPr>
          <w:i/>
          <w:color w:val="007C91"/>
          <w:sz w:val="32"/>
        </w:rPr>
        <w:t>Identify. Prioritize. Remediate.</w:t>
      </w:r>
    </w:p>
    <w:p>
      <w:pPr>
        <w:spacing w:before="400"/>
        <w:jc w:val="center"/>
      </w:pPr>
      <w:r>
        <w:rPr>
          <w:sz w:val="24"/>
        </w:rPr>
        <w:t>A risk-based review of a hypothetical organization’s IT infrastructure\n</w:t>
      </w:r>
      <w:r>
        <w:rPr>
          <w:b/>
        </w:rPr>
        <w:t>Week 5 Task – Vulnerability Assessment Report</w:t>
      </w:r>
    </w:p>
    <w:p>
      <w:pPr>
        <w:spacing w:before="1300"/>
        <w:jc w:val="center"/>
      </w:pPr>
      <w:r>
        <w:t>Organization: Northstar Services (hypothetical)\n</w:t>
      </w:r>
      <w:r>
        <w:t>Prepared by: __________________________\n</w:t>
      </w:r>
      <w:r>
        <w:t>Date: _________________________________\n</w:t>
      </w:r>
      <w:r>
        <w:t>Assessment status: Illustrative / not a live technical scan</w:t>
      </w:r>
    </w:p>
    <w:p>
      <w:r>
        <w:br w:type="page"/>
      </w:r>
    </w:p>
    <w:p>
      <w:pPr>
        <w:pStyle w:val="Heading1"/>
      </w:pPr>
      <w:r>
        <w:t>Executive Summary</w:t>
      </w:r>
    </w:p>
    <w:p>
      <w:r>
        <w:t>This report presents an illustrative vulnerability assessment for Northstar Services, a fictional mid-sized organization with approximately 250 employees. Its assumed environment includes employee laptops, a small server environment, cloud productivity services, a customer information system, remote access, wireless networking, and backup infrastructure. The purpose is to identify plausible weaknesses, evaluate their potential business impact, and recommend proportionate mitigation actions.</w:t>
      </w:r>
    </w:p>
    <w:p>
      <w:r>
        <w:t>Because no real network inventory, configuration exports, scan results, or system-owner interviews were supplied, the findings in this document are hypothetical risk scenarios rather than verified vulnerabilities. They must be validated by authorized IT staff before being treated as confirmed findings. No live systems were scanned as part of preparing this report.</w:t>
      </w:r>
    </w:p>
    <w:p>
      <w:r>
        <w:t>The illustrative assessment prioritizes weak or missing multi-factor authentication, unpatched internet-facing systems, excessive access privileges, inadequate backup resilience, and insufficient monitoring. These weaknesses could contribute to account compromise, ransomware disruption, unauthorized disclosure, or delayed incident response. The report recommends a risk-based remediation plan, with urgent containment for any confirmed critical exposure, near-term improvements to identity and patch management, and ongoing monitoring and governance.</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63A5F"/>
          </w:tcPr>
          <w:p>
            <w:pPr>
              <w:spacing w:after="0"/>
            </w:pPr>
            <w:r/>
            <w:r>
              <w:rPr>
                <w:rFonts w:ascii="Aptos" w:hAnsi="Aptos"/>
                <w:b/>
                <w:color w:val="FFFFFF"/>
                <w:sz w:val="16"/>
              </w:rPr>
              <w:t>Report item</w:t>
            </w:r>
          </w:p>
        </w:tc>
        <w:tc>
          <w:tcPr>
            <w:tcW w:type="dxa" w:w="8064"/>
            <w:vAlign w:val="center"/>
            <w:shd w:fill="163A5F"/>
          </w:tcPr>
          <w:p>
            <w:pPr>
              <w:spacing w:after="0"/>
            </w:pPr>
            <w:r/>
            <w:r>
              <w:rPr>
                <w:rFonts w:ascii="Aptos" w:hAnsi="Aptos"/>
                <w:b/>
                <w:color w:val="FFFFFF"/>
                <w:sz w:val="16"/>
              </w:rPr>
              <w:t>Summary</w:t>
            </w:r>
          </w:p>
        </w:tc>
      </w:tr>
      <w:tr>
        <w:tc>
          <w:tcPr>
            <w:tcW w:type="dxa" w:w="2304"/>
            <w:vAlign w:val="center"/>
          </w:tcPr>
          <w:p>
            <w:pPr>
              <w:spacing w:after="0"/>
            </w:pPr>
            <w:r/>
            <w:r>
              <w:rPr>
                <w:rFonts w:ascii="Aptos" w:hAnsi="Aptos"/>
                <w:b w:val="0"/>
                <w:sz w:val="15"/>
              </w:rPr>
              <w:t>Organization</w:t>
            </w:r>
          </w:p>
        </w:tc>
        <w:tc>
          <w:tcPr>
            <w:tcW w:type="dxa" w:w="8064"/>
            <w:vAlign w:val="center"/>
          </w:tcPr>
          <w:p>
            <w:pPr>
              <w:spacing w:after="0"/>
            </w:pPr>
            <w:r/>
            <w:r>
              <w:rPr>
                <w:rFonts w:ascii="Aptos" w:hAnsi="Aptos"/>
                <w:b w:val="0"/>
                <w:sz w:val="15"/>
              </w:rPr>
              <w:t>Northstar Services (fictional; approximately 250 employees)</w:t>
            </w:r>
          </w:p>
        </w:tc>
      </w:tr>
      <w:tr>
        <w:tc>
          <w:tcPr>
            <w:tcW w:type="dxa" w:w="2304"/>
            <w:vAlign w:val="center"/>
            <w:shd w:fill="F1F6F8"/>
          </w:tcPr>
          <w:p>
            <w:pPr>
              <w:spacing w:after="0"/>
            </w:pPr>
            <w:r/>
            <w:r>
              <w:rPr>
                <w:rFonts w:ascii="Aptos" w:hAnsi="Aptos"/>
                <w:b w:val="0"/>
                <w:sz w:val="15"/>
              </w:rPr>
              <w:t>Scope assumed</w:t>
            </w:r>
          </w:p>
        </w:tc>
        <w:tc>
          <w:tcPr>
            <w:tcW w:type="dxa" w:w="8064"/>
            <w:vAlign w:val="center"/>
            <w:shd w:fill="F1F6F8"/>
          </w:tcPr>
          <w:p>
            <w:pPr>
              <w:spacing w:after="0"/>
            </w:pPr>
            <w:r/>
            <w:r>
              <w:rPr>
                <w:rFonts w:ascii="Aptos" w:hAnsi="Aptos"/>
                <w:b w:val="0"/>
                <w:sz w:val="15"/>
              </w:rPr>
              <w:t>Endpoints, servers, cloud identity and collaboration, remote access, network, backups, and security processes</w:t>
            </w:r>
          </w:p>
        </w:tc>
      </w:tr>
      <w:tr>
        <w:tc>
          <w:tcPr>
            <w:tcW w:type="dxa" w:w="2304"/>
            <w:vAlign w:val="center"/>
          </w:tcPr>
          <w:p>
            <w:pPr>
              <w:spacing w:after="0"/>
            </w:pPr>
            <w:r/>
            <w:r>
              <w:rPr>
                <w:rFonts w:ascii="Aptos" w:hAnsi="Aptos"/>
                <w:b w:val="0"/>
                <w:sz w:val="15"/>
              </w:rPr>
              <w:t>Approach</w:t>
            </w:r>
          </w:p>
        </w:tc>
        <w:tc>
          <w:tcPr>
            <w:tcW w:type="dxa" w:w="8064"/>
            <w:vAlign w:val="center"/>
          </w:tcPr>
          <w:p>
            <w:pPr>
              <w:spacing w:after="0"/>
            </w:pPr>
            <w:r/>
            <w:r>
              <w:rPr>
                <w:rFonts w:ascii="Aptos" w:hAnsi="Aptos"/>
                <w:b w:val="0"/>
                <w:sz w:val="15"/>
              </w:rPr>
              <w:t>Asset and threat review, hypothetical weakness identification, likelihood-impact scoring, and mitigation planning</w:t>
            </w:r>
          </w:p>
        </w:tc>
      </w:tr>
      <w:tr>
        <w:tc>
          <w:tcPr>
            <w:tcW w:type="dxa" w:w="2304"/>
            <w:vAlign w:val="center"/>
            <w:shd w:fill="F1F6F8"/>
          </w:tcPr>
          <w:p>
            <w:pPr>
              <w:spacing w:after="0"/>
            </w:pPr>
            <w:r/>
            <w:r>
              <w:rPr>
                <w:rFonts w:ascii="Aptos" w:hAnsi="Aptos"/>
                <w:b w:val="0"/>
                <w:sz w:val="15"/>
              </w:rPr>
              <w:t>Main limitation</w:t>
            </w:r>
          </w:p>
        </w:tc>
        <w:tc>
          <w:tcPr>
            <w:tcW w:type="dxa" w:w="8064"/>
            <w:vAlign w:val="center"/>
            <w:shd w:fill="F1F6F8"/>
          </w:tcPr>
          <w:p>
            <w:pPr>
              <w:spacing w:after="0"/>
            </w:pPr>
            <w:r/>
            <w:r>
              <w:rPr>
                <w:rFonts w:ascii="Aptos" w:hAnsi="Aptos"/>
                <w:b w:val="0"/>
                <w:sz w:val="15"/>
              </w:rPr>
              <w:t>No live testing or evidence collection; all listed findings require validation</w:t>
            </w:r>
          </w:p>
        </w:tc>
      </w:tr>
      <w:tr>
        <w:tc>
          <w:tcPr>
            <w:tcW w:type="dxa" w:w="2304"/>
            <w:vAlign w:val="center"/>
          </w:tcPr>
          <w:p>
            <w:pPr>
              <w:spacing w:after="0"/>
            </w:pPr>
            <w:r/>
            <w:r>
              <w:rPr>
                <w:rFonts w:ascii="Aptos" w:hAnsi="Aptos"/>
                <w:b w:val="0"/>
                <w:sz w:val="15"/>
              </w:rPr>
              <w:t>Recommended next step</w:t>
            </w:r>
          </w:p>
        </w:tc>
        <w:tc>
          <w:tcPr>
            <w:tcW w:type="dxa" w:w="8064"/>
            <w:vAlign w:val="center"/>
          </w:tcPr>
          <w:p>
            <w:pPr>
              <w:spacing w:after="0"/>
            </w:pPr>
            <w:r/>
            <w:r>
              <w:rPr>
                <w:rFonts w:ascii="Aptos" w:hAnsi="Aptos"/>
                <w:b w:val="0"/>
                <w:sz w:val="15"/>
              </w:rPr>
              <w:t>Authorize a controlled assessment and verify the highest-risk scenarios first</w:t>
            </w:r>
          </w:p>
        </w:tc>
      </w:tr>
    </w:tbl>
    <w:p>
      <w:pPr>
        <w:spacing w:after="0"/>
      </w:pPr>
    </w:p>
    <w:p>
      <w:pPr>
        <w:pStyle w:val="Heading1"/>
      </w:pPr>
      <w:r>
        <w:t>1. Introduction and Objectives</w:t>
      </w:r>
    </w:p>
    <w:p>
      <w:r>
        <w:t>A vulnerability assessment is a structured process for identifying weaknesses in technology, configurations, and operational practices that could be exploited or could cause security failures. It differs from a penetration test: an assessment primarily inventories and prioritizes weaknesses, while a penetration test attempts to validate exploitability within a separately authorized scope.</w:t>
      </w:r>
    </w:p>
    <w:p>
      <w:r>
        <w:t>The objectives of this report are to:</w:t>
      </w:r>
    </w:p>
    <w:p>
      <w:pPr>
        <w:pStyle w:val="ListBullet"/>
        <w:spacing w:after="40"/>
      </w:pPr>
      <w:r>
        <w:t>Describe the assumed IT environment and the boundaries of the assessment.</w:t>
      </w:r>
    </w:p>
    <w:p>
      <w:pPr>
        <w:pStyle w:val="ListBullet"/>
        <w:spacing w:after="40"/>
      </w:pPr>
      <w:r>
        <w:t>Identify plausible technical and procedural weaknesses that require verification.</w:t>
      </w:r>
    </w:p>
    <w:p>
      <w:pPr>
        <w:pStyle w:val="ListBullet"/>
        <w:spacing w:after="40"/>
      </w:pPr>
      <w:r>
        <w:t>Estimate likelihood and business impact using a consistent risk-rating method.</w:t>
      </w:r>
    </w:p>
    <w:p>
      <w:pPr>
        <w:pStyle w:val="ListBullet"/>
        <w:spacing w:after="40"/>
      </w:pPr>
      <w:r>
        <w:t>Recommend practical remediation actions, owners, and target timeframes.</w:t>
      </w:r>
    </w:p>
    <w:p>
      <w:pPr>
        <w:pStyle w:val="ListBullet"/>
        <w:spacing w:after="40"/>
      </w:pPr>
      <w:r>
        <w:t>Define validation, reporting, and continuous-improvement activities.</w:t>
      </w:r>
    </w:p>
    <w:p>
      <w:pPr>
        <w:pStyle w:val="Heading1"/>
      </w:pPr>
      <w:r>
        <w:t>2. Organization and Assumed IT Environment</w:t>
      </w:r>
    </w:p>
    <w:p>
      <w:r>
        <w:t>Northstar Services is assumed to store customer contact details, internal documents, employee information, and business records. Employees access cloud applications and internal resources from office and remote locations. IT operations are managed by a small support team, with some services provided by external vendors.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63A5F"/>
          </w:tcPr>
          <w:p>
            <w:pPr>
              <w:spacing w:after="0"/>
            </w:pPr>
            <w:r/>
            <w:r>
              <w:rPr>
                <w:rFonts w:ascii="Aptos" w:hAnsi="Aptos"/>
                <w:b/>
                <w:color w:val="FFFFFF"/>
                <w:sz w:val="16"/>
              </w:rPr>
              <w:t>Asset group</w:t>
            </w:r>
          </w:p>
        </w:tc>
        <w:tc>
          <w:tcPr>
            <w:tcW w:type="dxa" w:w="3888"/>
            <w:vAlign w:val="center"/>
            <w:shd w:fill="163A5F"/>
          </w:tcPr>
          <w:p>
            <w:pPr>
              <w:spacing w:after="0"/>
            </w:pPr>
            <w:r/>
            <w:r>
              <w:rPr>
                <w:rFonts w:ascii="Aptos" w:hAnsi="Aptos"/>
                <w:b/>
                <w:color w:val="FFFFFF"/>
                <w:sz w:val="16"/>
              </w:rPr>
              <w:t>Assumed components</w:t>
            </w:r>
          </w:p>
        </w:tc>
        <w:tc>
          <w:tcPr>
            <w:tcW w:type="dxa" w:w="4392"/>
            <w:vAlign w:val="center"/>
            <w:shd w:fill="163A5F"/>
          </w:tcPr>
          <w:p>
            <w:pPr>
              <w:spacing w:after="0"/>
            </w:pPr>
            <w:r/>
            <w:r>
              <w:rPr>
                <w:rFonts w:ascii="Aptos" w:hAnsi="Aptos"/>
                <w:b/>
                <w:color w:val="FFFFFF"/>
                <w:sz w:val="16"/>
              </w:rPr>
              <w:t>Security importance</w:t>
            </w:r>
          </w:p>
        </w:tc>
      </w:tr>
      <w:tr>
        <w:tc>
          <w:tcPr>
            <w:tcW w:type="dxa" w:w="2088"/>
            <w:vAlign w:val="center"/>
          </w:tcPr>
          <w:p>
            <w:pPr>
              <w:spacing w:after="0"/>
            </w:pPr>
            <w:r/>
            <w:r>
              <w:rPr>
                <w:rFonts w:ascii="Aptos" w:hAnsi="Aptos"/>
                <w:b w:val="0"/>
                <w:sz w:val="15"/>
              </w:rPr>
              <w:t>Identity and email</w:t>
            </w:r>
          </w:p>
        </w:tc>
        <w:tc>
          <w:tcPr>
            <w:tcW w:type="dxa" w:w="3888"/>
            <w:vAlign w:val="center"/>
          </w:tcPr>
          <w:p>
            <w:pPr>
              <w:spacing w:after="0"/>
            </w:pPr>
            <w:r/>
            <w:r>
              <w:rPr>
                <w:rFonts w:ascii="Aptos" w:hAnsi="Aptos"/>
                <w:b w:val="0"/>
                <w:sz w:val="15"/>
              </w:rPr>
              <w:t>Cloud identity provider, email, single sign-on, MFA settings</w:t>
            </w:r>
          </w:p>
        </w:tc>
        <w:tc>
          <w:tcPr>
            <w:tcW w:type="dxa" w:w="4392"/>
            <w:vAlign w:val="center"/>
          </w:tcPr>
          <w:p>
            <w:pPr>
              <w:spacing w:after="0"/>
            </w:pPr>
            <w:r/>
            <w:r>
              <w:rPr>
                <w:rFonts w:ascii="Aptos" w:hAnsi="Aptos"/>
                <w:b w:val="0"/>
                <w:sz w:val="15"/>
              </w:rPr>
              <w:t>Controls access to most business services and is a common attack target</w:t>
            </w:r>
          </w:p>
        </w:tc>
      </w:tr>
      <w:tr>
        <w:tc>
          <w:tcPr>
            <w:tcW w:type="dxa" w:w="2088"/>
            <w:vAlign w:val="center"/>
            <w:shd w:fill="F1F6F8"/>
          </w:tcPr>
          <w:p>
            <w:pPr>
              <w:spacing w:after="0"/>
            </w:pPr>
            <w:r/>
            <w:r>
              <w:rPr>
                <w:rFonts w:ascii="Aptos" w:hAnsi="Aptos"/>
                <w:b w:val="0"/>
                <w:sz w:val="15"/>
              </w:rPr>
              <w:t>Endpoints</w:t>
            </w:r>
          </w:p>
        </w:tc>
        <w:tc>
          <w:tcPr>
            <w:tcW w:type="dxa" w:w="3888"/>
            <w:vAlign w:val="center"/>
            <w:shd w:fill="F1F6F8"/>
          </w:tcPr>
          <w:p>
            <w:pPr>
              <w:spacing w:after="0"/>
            </w:pPr>
            <w:r/>
            <w:r>
              <w:rPr>
                <w:rFonts w:ascii="Aptos" w:hAnsi="Aptos"/>
                <w:b w:val="0"/>
                <w:sz w:val="15"/>
              </w:rPr>
              <w:t>Employee laptops, mobile devices, endpoint protection</w:t>
            </w:r>
          </w:p>
        </w:tc>
        <w:tc>
          <w:tcPr>
            <w:tcW w:type="dxa" w:w="4392"/>
            <w:vAlign w:val="center"/>
            <w:shd w:fill="F1F6F8"/>
          </w:tcPr>
          <w:p>
            <w:pPr>
              <w:spacing w:after="0"/>
            </w:pPr>
            <w:r/>
            <w:r>
              <w:rPr>
                <w:rFonts w:ascii="Aptos" w:hAnsi="Aptos"/>
                <w:b w:val="0"/>
                <w:sz w:val="15"/>
              </w:rPr>
              <w:t>May store data and provide an entry point into the environment</w:t>
            </w:r>
          </w:p>
        </w:tc>
      </w:tr>
      <w:tr>
        <w:tc>
          <w:tcPr>
            <w:tcW w:type="dxa" w:w="2088"/>
            <w:vAlign w:val="center"/>
          </w:tcPr>
          <w:p>
            <w:pPr>
              <w:spacing w:after="0"/>
            </w:pPr>
            <w:r/>
            <w:r>
              <w:rPr>
                <w:rFonts w:ascii="Aptos" w:hAnsi="Aptos"/>
                <w:b w:val="0"/>
                <w:sz w:val="15"/>
              </w:rPr>
              <w:t>Servers and applications</w:t>
            </w:r>
          </w:p>
        </w:tc>
        <w:tc>
          <w:tcPr>
            <w:tcW w:type="dxa" w:w="3888"/>
            <w:vAlign w:val="center"/>
          </w:tcPr>
          <w:p>
            <w:pPr>
              <w:spacing w:after="0"/>
            </w:pPr>
            <w:r/>
            <w:r>
              <w:rPr>
                <w:rFonts w:ascii="Aptos" w:hAnsi="Aptos"/>
                <w:b w:val="0"/>
                <w:sz w:val="15"/>
              </w:rPr>
              <w:t>File server, customer system, internal business applications</w:t>
            </w:r>
          </w:p>
        </w:tc>
        <w:tc>
          <w:tcPr>
            <w:tcW w:type="dxa" w:w="4392"/>
            <w:vAlign w:val="center"/>
          </w:tcPr>
          <w:p>
            <w:pPr>
              <w:spacing w:after="0"/>
            </w:pPr>
            <w:r/>
            <w:r>
              <w:rPr>
                <w:rFonts w:ascii="Aptos" w:hAnsi="Aptos"/>
                <w:b w:val="0"/>
                <w:sz w:val="15"/>
              </w:rPr>
              <w:t>Availability, confidentiality, and integrity of business data</w:t>
            </w:r>
          </w:p>
        </w:tc>
      </w:tr>
      <w:tr>
        <w:tc>
          <w:tcPr>
            <w:tcW w:type="dxa" w:w="2088"/>
            <w:vAlign w:val="center"/>
            <w:shd w:fill="F1F6F8"/>
          </w:tcPr>
          <w:p>
            <w:pPr>
              <w:spacing w:after="0"/>
            </w:pPr>
            <w:r/>
            <w:r>
              <w:rPr>
                <w:rFonts w:ascii="Aptos" w:hAnsi="Aptos"/>
                <w:b w:val="0"/>
                <w:sz w:val="15"/>
              </w:rPr>
              <w:t>Network and remote access</w:t>
            </w:r>
          </w:p>
        </w:tc>
        <w:tc>
          <w:tcPr>
            <w:tcW w:type="dxa" w:w="3888"/>
            <w:vAlign w:val="center"/>
            <w:shd w:fill="F1F6F8"/>
          </w:tcPr>
          <w:p>
            <w:pPr>
              <w:spacing w:after="0"/>
            </w:pPr>
            <w:r/>
            <w:r>
              <w:rPr>
                <w:rFonts w:ascii="Aptos" w:hAnsi="Aptos"/>
                <w:b w:val="0"/>
                <w:sz w:val="15"/>
              </w:rPr>
              <w:t>Firewall, Wi-Fi, VPN or remote access gateway</w:t>
            </w:r>
          </w:p>
        </w:tc>
        <w:tc>
          <w:tcPr>
            <w:tcW w:type="dxa" w:w="4392"/>
            <w:vAlign w:val="center"/>
            <w:shd w:fill="F1F6F8"/>
          </w:tcPr>
          <w:p>
            <w:pPr>
              <w:spacing w:after="0"/>
            </w:pPr>
            <w:r/>
            <w:r>
              <w:rPr>
                <w:rFonts w:ascii="Aptos" w:hAnsi="Aptos"/>
                <w:b w:val="0"/>
                <w:sz w:val="15"/>
              </w:rPr>
              <w:t>Separates systems and controls external connectivity</w:t>
            </w:r>
          </w:p>
        </w:tc>
      </w:tr>
      <w:tr>
        <w:tc>
          <w:tcPr>
            <w:tcW w:type="dxa" w:w="2088"/>
            <w:vAlign w:val="center"/>
          </w:tcPr>
          <w:p>
            <w:pPr>
              <w:spacing w:after="0"/>
            </w:pPr>
            <w:r/>
            <w:r>
              <w:rPr>
                <w:rFonts w:ascii="Aptos" w:hAnsi="Aptos"/>
                <w:b w:val="0"/>
                <w:sz w:val="15"/>
              </w:rPr>
              <w:t>Cloud storage and collaboration</w:t>
            </w:r>
          </w:p>
        </w:tc>
        <w:tc>
          <w:tcPr>
            <w:tcW w:type="dxa" w:w="3888"/>
            <w:vAlign w:val="center"/>
          </w:tcPr>
          <w:p>
            <w:pPr>
              <w:spacing w:after="0"/>
            </w:pPr>
            <w:r/>
            <w:r>
              <w:rPr>
                <w:rFonts w:ascii="Aptos" w:hAnsi="Aptos"/>
                <w:b w:val="0"/>
                <w:sz w:val="15"/>
              </w:rPr>
              <w:t>Shared drives, document repositories, collaboration tools</w:t>
            </w:r>
          </w:p>
        </w:tc>
        <w:tc>
          <w:tcPr>
            <w:tcW w:type="dxa" w:w="4392"/>
            <w:vAlign w:val="center"/>
          </w:tcPr>
          <w:p>
            <w:pPr>
              <w:spacing w:after="0"/>
            </w:pPr>
            <w:r/>
            <w:r>
              <w:rPr>
                <w:rFonts w:ascii="Aptos" w:hAnsi="Aptos"/>
                <w:b w:val="0"/>
                <w:sz w:val="15"/>
              </w:rPr>
              <w:t>Risk of oversharing, misconfiguration, and data leakage</w:t>
            </w:r>
          </w:p>
        </w:tc>
      </w:tr>
      <w:tr>
        <w:tc>
          <w:tcPr>
            <w:tcW w:type="dxa" w:w="2088"/>
            <w:vAlign w:val="center"/>
            <w:shd w:fill="F1F6F8"/>
          </w:tcPr>
          <w:p>
            <w:pPr>
              <w:spacing w:after="0"/>
            </w:pPr>
            <w:r/>
            <w:r>
              <w:rPr>
                <w:rFonts w:ascii="Aptos" w:hAnsi="Aptos"/>
                <w:b w:val="0"/>
                <w:sz w:val="15"/>
              </w:rPr>
              <w:t>Backup and recovery</w:t>
            </w:r>
          </w:p>
        </w:tc>
        <w:tc>
          <w:tcPr>
            <w:tcW w:type="dxa" w:w="3888"/>
            <w:vAlign w:val="center"/>
            <w:shd w:fill="F1F6F8"/>
          </w:tcPr>
          <w:p>
            <w:pPr>
              <w:spacing w:after="0"/>
            </w:pPr>
            <w:r/>
            <w:r>
              <w:rPr>
                <w:rFonts w:ascii="Aptos" w:hAnsi="Aptos"/>
                <w:b w:val="0"/>
                <w:sz w:val="15"/>
              </w:rPr>
              <w:t>Backup repository and recovery procedures</w:t>
            </w:r>
          </w:p>
        </w:tc>
        <w:tc>
          <w:tcPr>
            <w:tcW w:type="dxa" w:w="4392"/>
            <w:vAlign w:val="center"/>
            <w:shd w:fill="F1F6F8"/>
          </w:tcPr>
          <w:p>
            <w:pPr>
              <w:spacing w:after="0"/>
            </w:pPr>
            <w:r/>
            <w:r>
              <w:rPr>
                <w:rFonts w:ascii="Aptos" w:hAnsi="Aptos"/>
                <w:b w:val="0"/>
                <w:sz w:val="15"/>
              </w:rPr>
              <w:t>Critical to restoring operations after deletion, failure, or ransomware</w:t>
            </w:r>
          </w:p>
        </w:tc>
      </w:tr>
      <w:tr>
        <w:tc>
          <w:tcPr>
            <w:tcW w:type="dxa" w:w="2088"/>
            <w:vAlign w:val="center"/>
          </w:tcPr>
          <w:p>
            <w:pPr>
              <w:spacing w:after="0"/>
            </w:pPr>
            <w:r/>
            <w:r>
              <w:rPr>
                <w:rFonts w:ascii="Aptos" w:hAnsi="Aptos"/>
                <w:b w:val="0"/>
                <w:sz w:val="15"/>
              </w:rPr>
              <w:t>Security operations</w:t>
            </w:r>
          </w:p>
        </w:tc>
        <w:tc>
          <w:tcPr>
            <w:tcW w:type="dxa" w:w="3888"/>
            <w:vAlign w:val="center"/>
          </w:tcPr>
          <w:p>
            <w:pPr>
              <w:spacing w:after="0"/>
            </w:pPr>
            <w:r/>
            <w:r>
              <w:rPr>
                <w:rFonts w:ascii="Aptos" w:hAnsi="Aptos"/>
                <w:b w:val="0"/>
                <w:sz w:val="15"/>
              </w:rPr>
              <w:t>Logs, alerting, incident response, access reviews</w:t>
            </w:r>
          </w:p>
        </w:tc>
        <w:tc>
          <w:tcPr>
            <w:tcW w:type="dxa" w:w="4392"/>
            <w:vAlign w:val="center"/>
          </w:tcPr>
          <w:p>
            <w:pPr>
              <w:spacing w:after="0"/>
            </w:pPr>
            <w:r/>
            <w:r>
              <w:rPr>
                <w:rFonts w:ascii="Aptos" w:hAnsi="Aptos"/>
                <w:b w:val="0"/>
                <w:sz w:val="15"/>
              </w:rPr>
              <w:t>Supports early detection, investigation, and accountability</w:t>
            </w:r>
          </w:p>
        </w:tc>
      </w:tr>
    </w:tbl>
    <w:p>
      <w:pPr>
        <w:spacing w:after="0"/>
      </w:pPr>
    </w:p>
    <w:p>
      <w:pPr>
        <w:pStyle w:val="Heading1"/>
      </w:pPr>
      <w:r>
        <w:t>3. Scope, Assumptions, and Rules of Engagement</w:t>
      </w:r>
    </w:p>
    <w:p>
      <w:pPr>
        <w:pStyle w:val="Heading2"/>
      </w:pPr>
      <w:r>
        <w:t>3.1 In scope (assumed)</w:t>
      </w:r>
    </w:p>
    <w:p>
      <w:pPr>
        <w:pStyle w:val="ListBullet"/>
        <w:spacing w:after="40"/>
      </w:pPr>
      <w:r>
        <w:t>Asset inventory and ownership for approved endpoints, servers, applications, and network devices.</w:t>
      </w:r>
    </w:p>
    <w:p>
      <w:pPr>
        <w:pStyle w:val="ListBullet"/>
        <w:spacing w:after="40"/>
      </w:pPr>
      <w:r>
        <w:t>Patch and configuration management practices.</w:t>
      </w:r>
    </w:p>
    <w:p>
      <w:pPr>
        <w:pStyle w:val="ListBullet"/>
        <w:spacing w:after="40"/>
      </w:pPr>
      <w:r>
        <w:t>Identity security, MFA coverage, account lifecycle, and privileged access.</w:t>
      </w:r>
    </w:p>
    <w:p>
      <w:pPr>
        <w:pStyle w:val="ListBullet"/>
        <w:spacing w:after="40"/>
      </w:pPr>
      <w:r>
        <w:t>Cloud sharing permissions, logging, backup protection, and incident response readiness.</w:t>
      </w:r>
    </w:p>
    <w:p>
      <w:pPr>
        <w:pStyle w:val="ListBullet"/>
        <w:spacing w:after="40"/>
      </w:pPr>
      <w:r>
        <w:t>Employee-facing security processes and vendor access controls.</w:t>
      </w:r>
    </w:p>
    <w:p>
      <w:pPr>
        <w:pStyle w:val="Heading2"/>
      </w:pPr>
      <w:r>
        <w:t>3.2 Out of scope unless separately authorized</w:t>
      </w:r>
    </w:p>
    <w:p>
      <w:pPr>
        <w:pStyle w:val="ListBullet"/>
        <w:spacing w:after="40"/>
      </w:pPr>
      <w:r>
        <w:t>Attempting to exploit production systems, disrupt services, or access real customer records.</w:t>
      </w:r>
    </w:p>
    <w:p>
      <w:pPr>
        <w:pStyle w:val="ListBullet"/>
        <w:spacing w:after="40"/>
      </w:pPr>
      <w:r>
        <w:t>Social engineering real employees, password guessing, denial-of-service testing, or destructive testing.</w:t>
      </w:r>
    </w:p>
    <w:p>
      <w:pPr>
        <w:pStyle w:val="ListBullet"/>
        <w:spacing w:after="40"/>
      </w:pPr>
      <w:r>
        <w:t>Third-party systems not owned by the organization or explicitly covered by written authorization.</w:t>
      </w:r>
    </w:p>
    <w:p>
      <w:pPr>
        <w:pStyle w:val="ListBullet"/>
        <w:spacing w:after="40"/>
      </w:pPr>
      <w:r>
        <w:t>Any scan or test outside the approved time window, asset list, or rules of engagement.</w:t>
      </w:r>
    </w:p>
    <w:p>
      <w:r>
        <w:t>A real assessment should have written authorization, a confirmed asset list, named contacts, an agreed test window, backup and rollback arrangements, data-handling rules, and an escalation path for critical findings.</w:t>
      </w:r>
    </w:p>
    <w:p>
      <w:pPr>
        <w:pStyle w:val="Heading1"/>
      </w:pPr>
      <w:r>
        <w:t>4. Methodology</w:t>
      </w:r>
    </w:p>
    <w:p>
      <w:pPr>
        <w:pStyle w:val="ListNumber"/>
        <w:spacing w:after="40"/>
      </w:pPr>
      <w:r>
        <w:t>Planning: confirm business objectives, owners, asset boundaries, test permissions, and safety requirements.</w:t>
      </w:r>
    </w:p>
    <w:p>
      <w:pPr>
        <w:pStyle w:val="ListNumber"/>
        <w:spacing w:after="40"/>
      </w:pPr>
      <w:r>
        <w:t>Asset discovery: review an authoritative inventory, cloud resource lists, network diagrams, and system ownership records.</w:t>
      </w:r>
    </w:p>
    <w:p>
      <w:pPr>
        <w:pStyle w:val="ListNumber"/>
        <w:spacing w:after="40"/>
      </w:pPr>
      <w:r>
        <w:t>Evidence gathering: examine approved vulnerability scanner results, software versions, configuration baselines, access settings, logs, and relevant policies.</w:t>
      </w:r>
    </w:p>
    <w:p>
      <w:pPr>
        <w:pStyle w:val="ListNumber"/>
        <w:spacing w:after="40"/>
      </w:pPr>
      <w:r>
        <w:t>Analysis: distinguish confirmed evidence from assumptions; assess exposure, exploitability, business criticality, and existing controls.</w:t>
      </w:r>
    </w:p>
    <w:p>
      <w:pPr>
        <w:pStyle w:val="ListNumber"/>
        <w:spacing w:after="40"/>
      </w:pPr>
      <w:r>
        <w:t>Risk rating: assign likelihood and impact scores using the model below; prioritize remediation by risk rather than raw issue count.</w:t>
      </w:r>
    </w:p>
    <w:p>
      <w:pPr>
        <w:pStyle w:val="ListNumber"/>
        <w:spacing w:after="40"/>
      </w:pPr>
      <w:r>
        <w:t>Reporting: document the finding, evidence needed, affected assets, business consequences, recommended fix, owner, and due date.</w:t>
      </w:r>
    </w:p>
    <w:p>
      <w:pPr>
        <w:pStyle w:val="ListNumber"/>
        <w:spacing w:after="40"/>
      </w:pPr>
      <w:r>
        <w:t>Validation: retest remediated items safely, document residual risk, and obtain risk-owner acceptance for any exception.</w:t>
      </w:r>
    </w:p>
    <w:p>
      <w:r>
        <w:t>For an authorized technical assessment, the organization may use a reputable vulnerability scanner and configuration review tools selected by its security team. Tool output should be reviewed manually because scanners can produce false positives, miss context, or misclassify asset criticality.</w:t>
      </w:r>
    </w:p>
    <w:p>
      <w:pPr>
        <w:pStyle w:val="Heading1"/>
      </w:pPr>
      <w:r>
        <w:t>5. Risk Rating Framework</w:t>
      </w:r>
    </w:p>
    <w:p>
      <w:r>
        <w:t>Each scenario is rated from 1 to 5 for likelihood and impact. Likelihood considers exposure, ease of exploitation, known threat activity, and existing controls. Impact considers confidentiality, integrity, availability, legal or contractual obligations, and operational disruption.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63A5F"/>
          </w:tcPr>
          <w:p>
            <w:pPr>
              <w:spacing w:after="0"/>
            </w:pPr>
            <w:r/>
            <w:r>
              <w:rPr>
                <w:rFonts w:ascii="Aptos" w:hAnsi="Aptos"/>
                <w:b/>
                <w:color w:val="FFFFFF"/>
                <w:sz w:val="16"/>
              </w:rPr>
              <w:t>Score</w:t>
            </w:r>
          </w:p>
        </w:tc>
        <w:tc>
          <w:tcPr>
            <w:tcW w:type="dxa" w:w="4176"/>
            <w:vAlign w:val="center"/>
            <w:shd w:fill="163A5F"/>
          </w:tcPr>
          <w:p>
            <w:pPr>
              <w:spacing w:after="0"/>
            </w:pPr>
            <w:r/>
            <w:r>
              <w:rPr>
                <w:rFonts w:ascii="Aptos" w:hAnsi="Aptos"/>
                <w:b/>
                <w:color w:val="FFFFFF"/>
                <w:sz w:val="16"/>
              </w:rPr>
              <w:t>Likelihood guide</w:t>
            </w:r>
          </w:p>
        </w:tc>
        <w:tc>
          <w:tcPr>
            <w:tcW w:type="dxa" w:w="4464"/>
            <w:vAlign w:val="center"/>
            <w:shd w:fill="163A5F"/>
          </w:tcPr>
          <w:p>
            <w:pPr>
              <w:spacing w:after="0"/>
            </w:pPr>
            <w:r/>
            <w:r>
              <w:rPr>
                <w:rFonts w:ascii="Aptos" w:hAnsi="Aptos"/>
                <w:b/>
                <w:color w:val="FFFFFF"/>
                <w:sz w:val="16"/>
              </w:rPr>
              <w:t>Impact guide</w:t>
            </w:r>
          </w:p>
        </w:tc>
      </w:tr>
      <w:tr>
        <w:tc>
          <w:tcPr>
            <w:tcW w:type="dxa" w:w="1728"/>
            <w:vAlign w:val="center"/>
          </w:tcPr>
          <w:p>
            <w:pPr>
              <w:spacing w:after="0"/>
            </w:pPr>
            <w:r/>
            <w:r>
              <w:rPr>
                <w:rFonts w:ascii="Aptos" w:hAnsi="Aptos"/>
                <w:b w:val="0"/>
                <w:sz w:val="15"/>
              </w:rPr>
              <w:t>1 – Very low</w:t>
            </w:r>
          </w:p>
        </w:tc>
        <w:tc>
          <w:tcPr>
            <w:tcW w:type="dxa" w:w="4176"/>
            <w:vAlign w:val="center"/>
          </w:tcPr>
          <w:p>
            <w:pPr>
              <w:spacing w:after="0"/>
            </w:pPr>
            <w:r/>
            <w:r>
              <w:rPr>
                <w:rFonts w:ascii="Aptos" w:hAnsi="Aptos"/>
                <w:b w:val="0"/>
                <w:sz w:val="15"/>
              </w:rPr>
              <w:t>Unlikely in the current environment</w:t>
            </w:r>
          </w:p>
        </w:tc>
        <w:tc>
          <w:tcPr>
            <w:tcW w:type="dxa" w:w="4464"/>
            <w:vAlign w:val="center"/>
          </w:tcPr>
          <w:p>
            <w:pPr>
              <w:spacing w:after="0"/>
            </w:pPr>
            <w:r/>
            <w:r>
              <w:rPr>
                <w:rFonts w:ascii="Aptos" w:hAnsi="Aptos"/>
                <w:b w:val="0"/>
                <w:sz w:val="15"/>
              </w:rPr>
              <w:t>Minor inconvenience; little business effect</w:t>
            </w:r>
          </w:p>
        </w:tc>
      </w:tr>
      <w:tr>
        <w:tc>
          <w:tcPr>
            <w:tcW w:type="dxa" w:w="1728"/>
            <w:vAlign w:val="center"/>
            <w:shd w:fill="F1F6F8"/>
          </w:tcPr>
          <w:p>
            <w:pPr>
              <w:spacing w:after="0"/>
            </w:pPr>
            <w:r/>
            <w:r>
              <w:rPr>
                <w:rFonts w:ascii="Aptos" w:hAnsi="Aptos"/>
                <w:b w:val="0"/>
                <w:sz w:val="15"/>
              </w:rPr>
              <w:t>2 – Low</w:t>
            </w:r>
          </w:p>
        </w:tc>
        <w:tc>
          <w:tcPr>
            <w:tcW w:type="dxa" w:w="4176"/>
            <w:vAlign w:val="center"/>
            <w:shd w:fill="F1F6F8"/>
          </w:tcPr>
          <w:p>
            <w:pPr>
              <w:spacing w:after="0"/>
            </w:pPr>
            <w:r/>
            <w:r>
              <w:rPr>
                <w:rFonts w:ascii="Aptos" w:hAnsi="Aptos"/>
                <w:b w:val="0"/>
                <w:sz w:val="15"/>
              </w:rPr>
              <w:t>Possible but requires unusual conditions</w:t>
            </w:r>
          </w:p>
        </w:tc>
        <w:tc>
          <w:tcPr>
            <w:tcW w:type="dxa" w:w="4464"/>
            <w:vAlign w:val="center"/>
            <w:shd w:fill="F1F6F8"/>
          </w:tcPr>
          <w:p>
            <w:pPr>
              <w:spacing w:after="0"/>
            </w:pPr>
            <w:r/>
            <w:r>
              <w:rPr>
                <w:rFonts w:ascii="Aptos" w:hAnsi="Aptos"/>
                <w:b w:val="0"/>
                <w:sz w:val="15"/>
              </w:rPr>
              <w:t>Limited impact to a small team or non-sensitive asset</w:t>
            </w:r>
          </w:p>
        </w:tc>
      </w:tr>
      <w:tr>
        <w:tc>
          <w:tcPr>
            <w:tcW w:type="dxa" w:w="1728"/>
            <w:vAlign w:val="center"/>
          </w:tcPr>
          <w:p>
            <w:pPr>
              <w:spacing w:after="0"/>
            </w:pPr>
            <w:r/>
            <w:r>
              <w:rPr>
                <w:rFonts w:ascii="Aptos" w:hAnsi="Aptos"/>
                <w:b w:val="0"/>
                <w:sz w:val="15"/>
              </w:rPr>
              <w:t>3 – Medium</w:t>
            </w:r>
          </w:p>
        </w:tc>
        <w:tc>
          <w:tcPr>
            <w:tcW w:type="dxa" w:w="4176"/>
            <w:vAlign w:val="center"/>
          </w:tcPr>
          <w:p>
            <w:pPr>
              <w:spacing w:after="0"/>
            </w:pPr>
            <w:r/>
            <w:r>
              <w:rPr>
                <w:rFonts w:ascii="Aptos" w:hAnsi="Aptos"/>
                <w:b w:val="0"/>
                <w:sz w:val="15"/>
              </w:rPr>
              <w:t>Plausible with a realistic attack path</w:t>
            </w:r>
          </w:p>
        </w:tc>
        <w:tc>
          <w:tcPr>
            <w:tcW w:type="dxa" w:w="4464"/>
            <w:vAlign w:val="center"/>
          </w:tcPr>
          <w:p>
            <w:pPr>
              <w:spacing w:after="0"/>
            </w:pPr>
            <w:r/>
            <w:r>
              <w:rPr>
                <w:rFonts w:ascii="Aptos" w:hAnsi="Aptos"/>
                <w:b w:val="0"/>
                <w:sz w:val="15"/>
              </w:rPr>
              <w:t>Noticeable service disruption or limited data exposure</w:t>
            </w:r>
          </w:p>
        </w:tc>
      </w:tr>
      <w:tr>
        <w:tc>
          <w:tcPr>
            <w:tcW w:type="dxa" w:w="1728"/>
            <w:vAlign w:val="center"/>
            <w:shd w:fill="F1F6F8"/>
          </w:tcPr>
          <w:p>
            <w:pPr>
              <w:spacing w:after="0"/>
            </w:pPr>
            <w:r/>
            <w:r>
              <w:rPr>
                <w:rFonts w:ascii="Aptos" w:hAnsi="Aptos"/>
                <w:b w:val="0"/>
                <w:sz w:val="15"/>
              </w:rPr>
              <w:t>4 – High</w:t>
            </w:r>
          </w:p>
        </w:tc>
        <w:tc>
          <w:tcPr>
            <w:tcW w:type="dxa" w:w="4176"/>
            <w:vAlign w:val="center"/>
            <w:shd w:fill="F1F6F8"/>
          </w:tcPr>
          <w:p>
            <w:pPr>
              <w:spacing w:after="0"/>
            </w:pPr>
            <w:r/>
            <w:r>
              <w:rPr>
                <w:rFonts w:ascii="Aptos" w:hAnsi="Aptos"/>
                <w:b w:val="0"/>
                <w:sz w:val="15"/>
              </w:rPr>
              <w:t>Likely where exposure and weaknesses exist</w:t>
            </w:r>
          </w:p>
        </w:tc>
        <w:tc>
          <w:tcPr>
            <w:tcW w:type="dxa" w:w="4464"/>
            <w:vAlign w:val="center"/>
            <w:shd w:fill="F1F6F8"/>
          </w:tcPr>
          <w:p>
            <w:pPr>
              <w:spacing w:after="0"/>
            </w:pPr>
            <w:r/>
            <w:r>
              <w:rPr>
                <w:rFonts w:ascii="Aptos" w:hAnsi="Aptos"/>
                <w:b w:val="0"/>
                <w:sz w:val="15"/>
              </w:rPr>
              <w:t>Major disruption, sensitive data exposure, or significant recovery cost</w:t>
            </w:r>
          </w:p>
        </w:tc>
      </w:tr>
      <w:tr>
        <w:tc>
          <w:tcPr>
            <w:tcW w:type="dxa" w:w="1728"/>
            <w:vAlign w:val="center"/>
          </w:tcPr>
          <w:p>
            <w:pPr>
              <w:spacing w:after="0"/>
            </w:pPr>
            <w:r/>
            <w:r>
              <w:rPr>
                <w:rFonts w:ascii="Aptos" w:hAnsi="Aptos"/>
                <w:b w:val="0"/>
                <w:sz w:val="15"/>
              </w:rPr>
              <w:t>5 – Very high</w:t>
            </w:r>
          </w:p>
        </w:tc>
        <w:tc>
          <w:tcPr>
            <w:tcW w:type="dxa" w:w="4176"/>
            <w:vAlign w:val="center"/>
          </w:tcPr>
          <w:p>
            <w:pPr>
              <w:spacing w:after="0"/>
            </w:pPr>
            <w:r/>
            <w:r>
              <w:rPr>
                <w:rFonts w:ascii="Aptos" w:hAnsi="Aptos"/>
                <w:b w:val="0"/>
                <w:sz w:val="15"/>
              </w:rPr>
              <w:t>Strongly exposed or readily exploitable conditions</w:t>
            </w:r>
          </w:p>
        </w:tc>
        <w:tc>
          <w:tcPr>
            <w:tcW w:type="dxa" w:w="4464"/>
            <w:vAlign w:val="center"/>
          </w:tcPr>
          <w:p>
            <w:pPr>
              <w:spacing w:after="0"/>
            </w:pPr>
            <w:r/>
            <w:r>
              <w:rPr>
                <w:rFonts w:ascii="Aptos" w:hAnsi="Aptos"/>
                <w:b w:val="0"/>
                <w:sz w:val="15"/>
              </w:rPr>
              <w:t>Severe business interruption, broad compromise, or major regulatory/contractual consequences</w:t>
            </w:r>
          </w:p>
        </w:tc>
      </w:tr>
    </w:tbl>
    <w:p>
      <w:pPr>
        <w:spacing w:after="0"/>
      </w:pPr>
    </w:p>
    <w:p>
      <w:r>
        <w:t>Risk score = Likelihood × Impact.</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63A5F"/>
          </w:tcPr>
          <w:p>
            <w:pPr>
              <w:spacing w:after="0"/>
            </w:pPr>
            <w:r/>
            <w:r>
              <w:rPr>
                <w:rFonts w:ascii="Aptos" w:hAnsi="Aptos"/>
                <w:b/>
                <w:color w:val="FFFFFF"/>
                <w:sz w:val="16"/>
              </w:rPr>
              <w:t>Score range</w:t>
            </w:r>
          </w:p>
        </w:tc>
        <w:tc>
          <w:tcPr>
            <w:tcW w:type="dxa" w:w="1872"/>
            <w:vAlign w:val="center"/>
            <w:shd w:fill="163A5F"/>
          </w:tcPr>
          <w:p>
            <w:pPr>
              <w:spacing w:after="0"/>
            </w:pPr>
            <w:r/>
            <w:r>
              <w:rPr>
                <w:rFonts w:ascii="Aptos" w:hAnsi="Aptos"/>
                <w:b/>
                <w:color w:val="FFFFFF"/>
                <w:sz w:val="16"/>
              </w:rPr>
              <w:t>Rating</w:t>
            </w:r>
          </w:p>
        </w:tc>
        <w:tc>
          <w:tcPr>
            <w:tcW w:type="dxa" w:w="6480"/>
            <w:vAlign w:val="center"/>
            <w:shd w:fill="163A5F"/>
          </w:tcPr>
          <w:p>
            <w:pPr>
              <w:spacing w:after="0"/>
            </w:pPr>
            <w:r/>
            <w:r>
              <w:rPr>
                <w:rFonts w:ascii="Aptos" w:hAnsi="Aptos"/>
                <w:b/>
                <w:color w:val="FFFFFF"/>
                <w:sz w:val="16"/>
              </w:rPr>
              <w:t>Suggested response</w:t>
            </w:r>
          </w:p>
        </w:tc>
      </w:tr>
      <w:tr>
        <w:tc>
          <w:tcPr>
            <w:tcW w:type="dxa" w:w="2016"/>
            <w:vAlign w:val="center"/>
          </w:tcPr>
          <w:p>
            <w:pPr>
              <w:spacing w:after="0"/>
            </w:pPr>
            <w:r/>
            <w:r>
              <w:rPr>
                <w:rFonts w:ascii="Aptos" w:hAnsi="Aptos"/>
                <w:b w:val="0"/>
                <w:sz w:val="15"/>
              </w:rPr>
              <w:t>20–25</w:t>
            </w:r>
          </w:p>
        </w:tc>
        <w:tc>
          <w:tcPr>
            <w:tcW w:type="dxa" w:w="1872"/>
            <w:vAlign w:val="center"/>
          </w:tcPr>
          <w:p>
            <w:pPr>
              <w:spacing w:after="0"/>
            </w:pPr>
            <w:r/>
            <w:r>
              <w:rPr>
                <w:rFonts w:ascii="Aptos" w:hAnsi="Aptos"/>
                <w:b w:val="0"/>
                <w:sz w:val="15"/>
              </w:rPr>
              <w:t>Critical</w:t>
            </w:r>
          </w:p>
        </w:tc>
        <w:tc>
          <w:tcPr>
            <w:tcW w:type="dxa" w:w="6480"/>
            <w:vAlign w:val="center"/>
          </w:tcPr>
          <w:p>
            <w:pPr>
              <w:spacing w:after="0"/>
            </w:pPr>
            <w:r/>
            <w:r>
              <w:rPr>
                <w:rFonts w:ascii="Aptos" w:hAnsi="Aptos"/>
                <w:b w:val="0"/>
                <w:sz w:val="15"/>
              </w:rPr>
              <w:t>Immediate review and containment if confirmed; executive escalation</w:t>
            </w:r>
          </w:p>
        </w:tc>
      </w:tr>
      <w:tr>
        <w:tc>
          <w:tcPr>
            <w:tcW w:type="dxa" w:w="2016"/>
            <w:vAlign w:val="center"/>
            <w:shd w:fill="F1F6F8"/>
          </w:tcPr>
          <w:p>
            <w:pPr>
              <w:spacing w:after="0"/>
            </w:pPr>
            <w:r/>
            <w:r>
              <w:rPr>
                <w:rFonts w:ascii="Aptos" w:hAnsi="Aptos"/>
                <w:b w:val="0"/>
                <w:sz w:val="15"/>
              </w:rPr>
              <w:t>15–19</w:t>
            </w:r>
          </w:p>
        </w:tc>
        <w:tc>
          <w:tcPr>
            <w:tcW w:type="dxa" w:w="1872"/>
            <w:vAlign w:val="center"/>
            <w:shd w:fill="F1F6F8"/>
          </w:tcPr>
          <w:p>
            <w:pPr>
              <w:spacing w:after="0"/>
            </w:pPr>
            <w:r/>
            <w:r>
              <w:rPr>
                <w:rFonts w:ascii="Aptos" w:hAnsi="Aptos"/>
                <w:b w:val="0"/>
                <w:sz w:val="15"/>
              </w:rPr>
              <w:t>High</w:t>
            </w:r>
          </w:p>
        </w:tc>
        <w:tc>
          <w:tcPr>
            <w:tcW w:type="dxa" w:w="6480"/>
            <w:vAlign w:val="center"/>
            <w:shd w:fill="F1F6F8"/>
          </w:tcPr>
          <w:p>
            <w:pPr>
              <w:spacing w:after="0"/>
            </w:pPr>
            <w:r/>
            <w:r>
              <w:rPr>
                <w:rFonts w:ascii="Aptos" w:hAnsi="Aptos"/>
                <w:b w:val="0"/>
                <w:sz w:val="15"/>
              </w:rPr>
              <w:t>Prioritize urgent remediation and monitor until resolved</w:t>
            </w:r>
          </w:p>
        </w:tc>
      </w:tr>
      <w:tr>
        <w:tc>
          <w:tcPr>
            <w:tcW w:type="dxa" w:w="2016"/>
            <w:vAlign w:val="center"/>
          </w:tcPr>
          <w:p>
            <w:pPr>
              <w:spacing w:after="0"/>
            </w:pPr>
            <w:r/>
            <w:r>
              <w:rPr>
                <w:rFonts w:ascii="Aptos" w:hAnsi="Aptos"/>
                <w:b w:val="0"/>
                <w:sz w:val="15"/>
              </w:rPr>
              <w:t>8–14</w:t>
            </w:r>
          </w:p>
        </w:tc>
        <w:tc>
          <w:tcPr>
            <w:tcW w:type="dxa" w:w="1872"/>
            <w:vAlign w:val="center"/>
          </w:tcPr>
          <w:p>
            <w:pPr>
              <w:spacing w:after="0"/>
            </w:pPr>
            <w:r/>
            <w:r>
              <w:rPr>
                <w:rFonts w:ascii="Aptos" w:hAnsi="Aptos"/>
                <w:b w:val="0"/>
                <w:sz w:val="15"/>
              </w:rPr>
              <w:t>Medium</w:t>
            </w:r>
          </w:p>
        </w:tc>
        <w:tc>
          <w:tcPr>
            <w:tcW w:type="dxa" w:w="6480"/>
            <w:vAlign w:val="center"/>
          </w:tcPr>
          <w:p>
            <w:pPr>
              <w:spacing w:after="0"/>
            </w:pPr>
            <w:r/>
            <w:r>
              <w:rPr>
                <w:rFonts w:ascii="Aptos" w:hAnsi="Aptos"/>
                <w:b w:val="0"/>
                <w:sz w:val="15"/>
              </w:rPr>
              <w:t>Plan remediation with a defined owner and deadline</w:t>
            </w:r>
          </w:p>
        </w:tc>
      </w:tr>
      <w:tr>
        <w:tc>
          <w:tcPr>
            <w:tcW w:type="dxa" w:w="2016"/>
            <w:vAlign w:val="center"/>
            <w:shd w:fill="F1F6F8"/>
          </w:tcPr>
          <w:p>
            <w:pPr>
              <w:spacing w:after="0"/>
            </w:pPr>
            <w:r/>
            <w:r>
              <w:rPr>
                <w:rFonts w:ascii="Aptos" w:hAnsi="Aptos"/>
                <w:b w:val="0"/>
                <w:sz w:val="15"/>
              </w:rPr>
              <w:t>1–7</w:t>
            </w:r>
          </w:p>
        </w:tc>
        <w:tc>
          <w:tcPr>
            <w:tcW w:type="dxa" w:w="1872"/>
            <w:vAlign w:val="center"/>
            <w:shd w:fill="F1F6F8"/>
          </w:tcPr>
          <w:p>
            <w:pPr>
              <w:spacing w:after="0"/>
            </w:pPr>
            <w:r/>
            <w:r>
              <w:rPr>
                <w:rFonts w:ascii="Aptos" w:hAnsi="Aptos"/>
                <w:b w:val="0"/>
                <w:sz w:val="15"/>
              </w:rPr>
              <w:t>Low</w:t>
            </w:r>
          </w:p>
        </w:tc>
        <w:tc>
          <w:tcPr>
            <w:tcW w:type="dxa" w:w="6480"/>
            <w:vAlign w:val="center"/>
            <w:shd w:fill="F1F6F8"/>
          </w:tcPr>
          <w:p>
            <w:pPr>
              <w:spacing w:after="0"/>
            </w:pPr>
            <w:r/>
            <w:r>
              <w:rPr>
                <w:rFonts w:ascii="Aptos" w:hAnsi="Aptos"/>
                <w:b w:val="0"/>
                <w:sz w:val="15"/>
              </w:rPr>
              <w:t>Address through routine maintenance or documented risk acceptance</w:t>
            </w:r>
          </w:p>
        </w:tc>
      </w:tr>
    </w:tbl>
    <w:p>
      <w:pPr>
        <w:spacing w:after="0"/>
      </w:pPr>
    </w:p>
    <w:p>
      <w:r>
        <w:t>These score bands are a planning model, not a universal standard. Northstar Services should adapt them to its risk appetite, regulatory requirements, and business criticality. A credible critical exposure may require urgent action even if a simple numeric score is lower.</w:t>
      </w:r>
    </w:p>
    <w:p>
      <w:pPr>
        <w:pStyle w:val="Heading1"/>
      </w:pPr>
      <w:r>
        <w:t>6. Illustrative Findings and Recommended Mitigations</w:t>
      </w:r>
    </w:p>
    <w:p>
      <w:r>
        <w:t>The following findings are hypothetical examples to guide the assessment. They are not confirmed defects. The likelihood and impact ratings should be updated when evidence is collected.</w:t>
      </w:r>
    </w:p>
    <w:p>
      <w:pPr>
        <w:pStyle w:val="Heading2"/>
      </w:pPr>
      <w:r>
        <w:t>V-01: MFA coverage may be incomplete for email or remote access</w:t>
      </w:r>
    </w:p>
    <w:p>
      <w:r>
        <w:rPr>
          <w:b/>
        </w:rPr>
        <w:t xml:space="preserve">Area: </w:t>
      </w:r>
      <w:r>
        <w:t xml:space="preserve">Identity / cloud services  |  </w:t>
      </w:r>
      <w:r>
        <w:rPr>
          <w:b/>
        </w:rPr>
        <w:t xml:space="preserve">Illustrative risk: </w:t>
      </w:r>
      <w:r>
        <w:t>5 × 5 = 25 Critical</w:t>
      </w:r>
    </w:p>
    <w:p>
      <w:r>
        <w:rPr>
          <w:b/>
        </w:rPr>
        <w:t xml:space="preserve">Potential impact: </w:t>
      </w:r>
      <w:r>
        <w:t>An attacker who obtains a password could access email or business services, potentially enabling data theft, impersonation, or further compromise.</w:t>
      </w:r>
    </w:p>
    <w:p>
      <w:r>
        <w:rPr>
          <w:b/>
        </w:rPr>
        <w:t xml:space="preserve">Recommended mitigation: </w:t>
      </w:r>
      <w:r>
        <w:t>Verify MFA coverage for all users, administrators, remote access, and sensitive applications. Enforce phishing-resistant MFA for privileged accounts where feasible; block legacy authentication; monitor risky sign-ins.</w:t>
      </w:r>
    </w:p>
    <w:p>
      <w:r>
        <w:rPr>
          <w:b/>
        </w:rPr>
        <w:t xml:space="preserve">Suggested owner: </w:t>
      </w:r>
      <w:r>
        <w:t xml:space="preserve">IT / Identity owner  |  </w:t>
      </w:r>
      <w:r>
        <w:rPr>
          <w:b/>
        </w:rPr>
        <w:t xml:space="preserve">Target: </w:t>
      </w:r>
      <w:r>
        <w:t>0–7 days if confirmed</w:t>
      </w:r>
    </w:p>
    <w:p>
      <w:pPr>
        <w:pStyle w:val="Heading2"/>
      </w:pPr>
      <w:r>
        <w:t>V-02: Internet-facing systems may be missing security updates</w:t>
      </w:r>
    </w:p>
    <w:p>
      <w:r>
        <w:rPr>
          <w:b/>
        </w:rPr>
        <w:t xml:space="preserve">Area: </w:t>
      </w:r>
      <w:r>
        <w:t xml:space="preserve">Public-facing servers and gateways  |  </w:t>
      </w:r>
      <w:r>
        <w:rPr>
          <w:b/>
        </w:rPr>
        <w:t xml:space="preserve">Illustrative risk: </w:t>
      </w:r>
      <w:r>
        <w:t>4 × 5 = 20 Critical</w:t>
      </w:r>
    </w:p>
    <w:p>
      <w:r>
        <w:rPr>
          <w:b/>
        </w:rPr>
        <w:t xml:space="preserve">Potential impact: </w:t>
      </w:r>
      <w:r>
        <w:t>Known exploitable flaws can provide an initial foothold, leading to service compromise, data exposure, or lateral movement.</w:t>
      </w:r>
    </w:p>
    <w:p>
      <w:r>
        <w:rPr>
          <w:b/>
        </w:rPr>
        <w:t xml:space="preserve">Recommended mitigation: </w:t>
      </w:r>
      <w:r>
        <w:t>Inventory exposed assets, scan within authorization, compare versions against vendor advisories, patch or temporarily restrict vulnerable services, and verify fixes. Use an emergency patch process for actively exploited flaws.</w:t>
      </w:r>
    </w:p>
    <w:p>
      <w:r>
        <w:rPr>
          <w:b/>
        </w:rPr>
        <w:t xml:space="preserve">Suggested owner: </w:t>
      </w:r>
      <w:r>
        <w:t xml:space="preserve">Infrastructure owner  |  </w:t>
      </w:r>
      <w:r>
        <w:rPr>
          <w:b/>
        </w:rPr>
        <w:t xml:space="preserve">Target: </w:t>
      </w:r>
      <w:r>
        <w:t>Immediate triage; target 7 days for critical fixes</w:t>
      </w:r>
    </w:p>
    <w:p>
      <w:pPr>
        <w:pStyle w:val="Heading2"/>
      </w:pPr>
      <w:r>
        <w:t>V-03: Excessive or stale user and administrator privileges</w:t>
      </w:r>
    </w:p>
    <w:p>
      <w:r>
        <w:rPr>
          <w:b/>
        </w:rPr>
        <w:t xml:space="preserve">Area: </w:t>
      </w:r>
      <w:r>
        <w:t xml:space="preserve">Identity, servers, cloud apps  |  </w:t>
      </w:r>
      <w:r>
        <w:rPr>
          <w:b/>
        </w:rPr>
        <w:t xml:space="preserve">Illustrative risk: </w:t>
      </w:r>
      <w:r>
        <w:t>4 × 5 = 20 Critical</w:t>
      </w:r>
    </w:p>
    <w:p>
      <w:r>
        <w:rPr>
          <w:b/>
        </w:rPr>
        <w:t xml:space="preserve">Potential impact: </w:t>
      </w:r>
      <w:r>
        <w:t>A compromised account may have more access than needed, increasing the scale of data theft or system damage.</w:t>
      </w:r>
    </w:p>
    <w:p>
      <w:r>
        <w:rPr>
          <w:b/>
        </w:rPr>
        <w:t xml:space="preserve">Recommended mitigation: </w:t>
      </w:r>
      <w:r>
        <w:t>Review role assignments and privileged groups, remove unnecessary permissions, separate administrator accounts, apply least privilege, require MFA, and perform quarterly access reviews.</w:t>
      </w:r>
    </w:p>
    <w:p>
      <w:r>
        <w:rPr>
          <w:b/>
        </w:rPr>
        <w:t xml:space="preserve">Suggested owner: </w:t>
      </w:r>
      <w:r>
        <w:t xml:space="preserve">IT + application owners  |  </w:t>
      </w:r>
      <w:r>
        <w:rPr>
          <w:b/>
        </w:rPr>
        <w:t xml:space="preserve">Target: </w:t>
      </w:r>
      <w:r>
        <w:t>7–14 days for high-risk access</w:t>
      </w:r>
    </w:p>
    <w:p>
      <w:pPr>
        <w:pStyle w:val="Heading2"/>
      </w:pPr>
      <w:r>
        <w:t>V-04: Backup immutability and restoration may not be tested</w:t>
      </w:r>
    </w:p>
    <w:p>
      <w:r>
        <w:rPr>
          <w:b/>
        </w:rPr>
        <w:t xml:space="preserve">Area: </w:t>
      </w:r>
      <w:r>
        <w:t xml:space="preserve">Backup and recovery systems  |  </w:t>
      </w:r>
      <w:r>
        <w:rPr>
          <w:b/>
        </w:rPr>
        <w:t xml:space="preserve">Illustrative risk: </w:t>
      </w:r>
      <w:r>
        <w:t>4 × 5 = 20 Critical</w:t>
      </w:r>
    </w:p>
    <w:p>
      <w:r>
        <w:rPr>
          <w:b/>
        </w:rPr>
        <w:t xml:space="preserve">Potential impact: </w:t>
      </w:r>
      <w:r>
        <w:t>Ransomware, accidental deletion, or administrator compromise could affect both production systems and backups, extending downtime.</w:t>
      </w:r>
    </w:p>
    <w:p>
      <w:r>
        <w:rPr>
          <w:b/>
        </w:rPr>
        <w:t xml:space="preserve">Recommended mitigation: </w:t>
      </w:r>
      <w:r>
        <w:t>Maintain isolated or immutable backups, restrict backup administration, protect backup credentials, follow a 3-2-1-style strategy where practical, and test restoration of critical services regularly.</w:t>
      </w:r>
    </w:p>
    <w:p>
      <w:r>
        <w:rPr>
          <w:b/>
        </w:rPr>
        <w:t xml:space="preserve">Suggested owner: </w:t>
      </w:r>
      <w:r>
        <w:t xml:space="preserve">IT operations / business continuity  |  </w:t>
      </w:r>
      <w:r>
        <w:rPr>
          <w:b/>
        </w:rPr>
        <w:t xml:space="preserve">Target: </w:t>
      </w:r>
      <w:r>
        <w:t>Plan within 14 days; test within 30 days</w:t>
      </w:r>
    </w:p>
    <w:p>
      <w:pPr>
        <w:pStyle w:val="Heading2"/>
      </w:pPr>
      <w:r>
        <w:t>V-05: Endpoint patching and security configuration may be inconsistent</w:t>
      </w:r>
    </w:p>
    <w:p>
      <w:r>
        <w:rPr>
          <w:b/>
        </w:rPr>
        <w:t xml:space="preserve">Area: </w:t>
      </w:r>
      <w:r>
        <w:t xml:space="preserve">Employee laptops and servers  |  </w:t>
      </w:r>
      <w:r>
        <w:rPr>
          <w:b/>
        </w:rPr>
        <w:t xml:space="preserve">Illustrative risk: </w:t>
      </w:r>
      <w:r>
        <w:t>4 × 4 = 16 High</w:t>
      </w:r>
    </w:p>
    <w:p>
      <w:r>
        <w:rPr>
          <w:b/>
        </w:rPr>
        <w:t xml:space="preserve">Potential impact: </w:t>
      </w:r>
      <w:r>
        <w:t>Unpatched software or weak configurations can enable malware execution, credential theft, or unauthorized access.</w:t>
      </w:r>
    </w:p>
    <w:p>
      <w:r>
        <w:rPr>
          <w:b/>
        </w:rPr>
        <w:t xml:space="preserve">Recommended mitigation: </w:t>
      </w:r>
      <w:r>
        <w:t>Use centralized asset and patch management, deploy supported software, enforce disk encryption and screen lock, enable endpoint detection/protection, and track exceptions.</w:t>
      </w:r>
    </w:p>
    <w:p>
      <w:r>
        <w:rPr>
          <w:b/>
        </w:rPr>
        <w:t xml:space="preserve">Suggested owner: </w:t>
      </w:r>
      <w:r>
        <w:t xml:space="preserve">Endpoint management owner  |  </w:t>
      </w:r>
      <w:r>
        <w:rPr>
          <w:b/>
        </w:rPr>
        <w:t xml:space="preserve">Target: </w:t>
      </w:r>
      <w:r>
        <w:t>30 days; urgent fixes sooner</w:t>
      </w:r>
    </w:p>
    <w:p>
      <w:pPr>
        <w:pStyle w:val="Heading2"/>
      </w:pPr>
      <w:r>
        <w:t>V-06: Cloud file-sharing permissions may be too broad</w:t>
      </w:r>
    </w:p>
    <w:p>
      <w:r>
        <w:rPr>
          <w:b/>
        </w:rPr>
        <w:t xml:space="preserve">Area: </w:t>
      </w:r>
      <w:r>
        <w:t xml:space="preserve">Cloud storage and collaboration  |  </w:t>
      </w:r>
      <w:r>
        <w:rPr>
          <w:b/>
        </w:rPr>
        <w:t xml:space="preserve">Illustrative risk: </w:t>
      </w:r>
      <w:r>
        <w:t>3 × 5 = 15 High</w:t>
      </w:r>
    </w:p>
    <w:p>
      <w:r>
        <w:rPr>
          <w:b/>
        </w:rPr>
        <w:t xml:space="preserve">Potential impact: </w:t>
      </w:r>
      <w:r>
        <w:t>Sensitive documents could be exposed to unintended internal users or external recipients.</w:t>
      </w:r>
    </w:p>
    <w:p>
      <w:r>
        <w:rPr>
          <w:b/>
        </w:rPr>
        <w:t xml:space="preserve">Recommended mitigation: </w:t>
      </w:r>
      <w:r>
        <w:t>Audit public links and external sharing, remove unnecessary access, use approved sensitivity labels and expiration settings, and alert on unusual bulk downloads or sharing changes.</w:t>
      </w:r>
    </w:p>
    <w:p>
      <w:r>
        <w:rPr>
          <w:b/>
        </w:rPr>
        <w:t xml:space="preserve">Suggested owner: </w:t>
      </w:r>
      <w:r>
        <w:t xml:space="preserve">Cloud service owner / data owners  |  </w:t>
      </w:r>
      <w:r>
        <w:rPr>
          <w:b/>
        </w:rPr>
        <w:t xml:space="preserve">Target: </w:t>
      </w:r>
      <w:r>
        <w:t>Within 30 days</w:t>
      </w:r>
    </w:p>
    <w:p>
      <w:pPr>
        <w:pStyle w:val="Heading2"/>
      </w:pPr>
      <w:r>
        <w:t>V-07: Security logging and alert review may be insufficient</w:t>
      </w:r>
    </w:p>
    <w:p>
      <w:r>
        <w:rPr>
          <w:b/>
        </w:rPr>
        <w:t xml:space="preserve">Area: </w:t>
      </w:r>
      <w:r>
        <w:t xml:space="preserve">Cloud, endpoints, servers, network  |  </w:t>
      </w:r>
      <w:r>
        <w:rPr>
          <w:b/>
        </w:rPr>
        <w:t xml:space="preserve">Illustrative risk: </w:t>
      </w:r>
      <w:r>
        <w:t>4 × 4 = 16 High</w:t>
      </w:r>
    </w:p>
    <w:p>
      <w:r>
        <w:rPr>
          <w:b/>
        </w:rPr>
        <w:t xml:space="preserve">Potential impact: </w:t>
      </w:r>
      <w:r>
        <w:t>Suspicious activity may go undetected, increasing attacker dwell time and delaying containment.</w:t>
      </w:r>
    </w:p>
    <w:p>
      <w:r>
        <w:rPr>
          <w:b/>
        </w:rPr>
        <w:t xml:space="preserve">Recommended mitigation: </w:t>
      </w:r>
      <w:r>
        <w:t>Centralize key logs, synchronize system time, protect logs from alteration, define alert ownership and escalation, and test alerts for risky sign-ins, endpoint threats, and privileged changes.</w:t>
      </w:r>
    </w:p>
    <w:p>
      <w:r>
        <w:rPr>
          <w:b/>
        </w:rPr>
        <w:t xml:space="preserve">Suggested owner: </w:t>
      </w:r>
      <w:r>
        <w:t xml:space="preserve">Security operations / IT  |  </w:t>
      </w:r>
      <w:r>
        <w:rPr>
          <w:b/>
        </w:rPr>
        <w:t xml:space="preserve">Target: </w:t>
      </w:r>
      <w:r>
        <w:t>30–45 days</w:t>
      </w:r>
    </w:p>
    <w:p>
      <w:pPr>
        <w:pStyle w:val="Heading2"/>
      </w:pPr>
      <w:r>
        <w:t>V-08: Network segmentation may not adequately separate critical systems</w:t>
      </w:r>
    </w:p>
    <w:p>
      <w:r>
        <w:rPr>
          <w:b/>
        </w:rPr>
        <w:t xml:space="preserve">Area: </w:t>
      </w:r>
      <w:r>
        <w:t xml:space="preserve">Office network, servers, guest Wi-Fi  |  </w:t>
      </w:r>
      <w:r>
        <w:rPr>
          <w:b/>
        </w:rPr>
        <w:t xml:space="preserve">Illustrative risk: </w:t>
      </w:r>
      <w:r>
        <w:t>3 × 5 = 15 High</w:t>
      </w:r>
    </w:p>
    <w:p>
      <w:r>
        <w:rPr>
          <w:b/>
        </w:rPr>
        <w:t xml:space="preserve">Potential impact: </w:t>
      </w:r>
      <w:r>
        <w:t>Compromise of a user device could permit movement toward servers or sensitive systems.</w:t>
      </w:r>
    </w:p>
    <w:p>
      <w:r>
        <w:rPr>
          <w:b/>
        </w:rPr>
        <w:t xml:space="preserve">Recommended mitigation: </w:t>
      </w:r>
      <w:r>
        <w:t>Review network diagrams and firewall rules, isolate guest Wi-Fi, restrict administrative interfaces, allow only required flows, and test access controls with approved methods.</w:t>
      </w:r>
    </w:p>
    <w:p>
      <w:r>
        <w:rPr>
          <w:b/>
        </w:rPr>
        <w:t xml:space="preserve">Suggested owner: </w:t>
      </w:r>
      <w:r>
        <w:t xml:space="preserve">Network owner  |  </w:t>
      </w:r>
      <w:r>
        <w:rPr>
          <w:b/>
        </w:rPr>
        <w:t xml:space="preserve">Target: </w:t>
      </w:r>
      <w:r>
        <w:t>30–60 days</w:t>
      </w:r>
    </w:p>
    <w:p>
      <w:pPr>
        <w:pStyle w:val="Heading2"/>
      </w:pPr>
      <w:r>
        <w:t>V-09: Vendor access may not be reviewed regularly</w:t>
      </w:r>
    </w:p>
    <w:p>
      <w:r>
        <w:rPr>
          <w:b/>
        </w:rPr>
        <w:t xml:space="preserve">Area: </w:t>
      </w:r>
      <w:r>
        <w:t xml:space="preserve">Third-party accounts and remote support  |  </w:t>
      </w:r>
      <w:r>
        <w:rPr>
          <w:b/>
        </w:rPr>
        <w:t xml:space="preserve">Illustrative risk: </w:t>
      </w:r>
      <w:r>
        <w:t>3 × 4 = 12 Medium</w:t>
      </w:r>
    </w:p>
    <w:p>
      <w:r>
        <w:rPr>
          <w:b/>
        </w:rPr>
        <w:t xml:space="preserve">Potential impact: </w:t>
      </w:r>
      <w:r>
        <w:t>An abandoned or overprivileged vendor account could be abused to access internal systems.</w:t>
      </w:r>
    </w:p>
    <w:p>
      <w:r>
        <w:rPr>
          <w:b/>
        </w:rPr>
        <w:t xml:space="preserve">Recommended mitigation: </w:t>
      </w:r>
      <w:r>
        <w:t>Maintain a vendor access register, require named accounts and MFA, limit access by time and purpose, log sessions where supported, and remove access when contracts end.</w:t>
      </w:r>
    </w:p>
    <w:p>
      <w:r>
        <w:rPr>
          <w:b/>
        </w:rPr>
        <w:t xml:space="preserve">Suggested owner: </w:t>
      </w:r>
      <w:r>
        <w:t xml:space="preserve">Vendor manager + IT  |  </w:t>
      </w:r>
      <w:r>
        <w:rPr>
          <w:b/>
        </w:rPr>
        <w:t xml:space="preserve">Target: </w:t>
      </w:r>
      <w:r>
        <w:t>Within 45 days</w:t>
      </w:r>
    </w:p>
    <w:p>
      <w:pPr>
        <w:pStyle w:val="Heading2"/>
      </w:pPr>
      <w:r>
        <w:t>V-10: Incident response procedures may be untested</w:t>
      </w:r>
    </w:p>
    <w:p>
      <w:r>
        <w:rPr>
          <w:b/>
        </w:rPr>
        <w:t xml:space="preserve">Area: </w:t>
      </w:r>
      <w:r>
        <w:t xml:space="preserve">Organization-wide process  |  </w:t>
      </w:r>
      <w:r>
        <w:rPr>
          <w:b/>
        </w:rPr>
        <w:t xml:space="preserve">Illustrative risk: </w:t>
      </w:r>
      <w:r>
        <w:t>3 × 4 = 12 Medium</w:t>
      </w:r>
    </w:p>
    <w:p>
      <w:r>
        <w:rPr>
          <w:b/>
        </w:rPr>
        <w:t xml:space="preserve">Potential impact: </w:t>
      </w:r>
      <w:r>
        <w:t>Teams may respond inconsistently to ransomware, data exposure, or compromised accounts, increasing recovery time.</w:t>
      </w:r>
    </w:p>
    <w:p>
      <w:r>
        <w:rPr>
          <w:b/>
        </w:rPr>
        <w:t xml:space="preserve">Recommended mitigation: </w:t>
      </w:r>
      <w:r>
        <w:t>Publish a concise incident playbook, identify contacts and decision-makers, preserve evidence, define notification and escalation steps, and run a tabletop exercise.</w:t>
      </w:r>
    </w:p>
    <w:p>
      <w:r>
        <w:rPr>
          <w:b/>
        </w:rPr>
        <w:t xml:space="preserve">Suggested owner: </w:t>
      </w:r>
      <w:r>
        <w:t xml:space="preserve">Security lead + management  |  </w:t>
      </w:r>
      <w:r>
        <w:rPr>
          <w:b/>
        </w:rPr>
        <w:t xml:space="preserve">Target: </w:t>
      </w:r>
      <w:r>
        <w:t>Within 60 days</w:t>
      </w:r>
    </w:p>
    <w:p>
      <w:pPr>
        <w:pStyle w:val="Heading1"/>
      </w:pPr>
      <w:r>
        <w:t>7. Risk Register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792"/>
            <w:vAlign w:val="center"/>
            <w:shd w:fill="163A5F"/>
          </w:tcPr>
          <w:p>
            <w:pPr>
              <w:spacing w:after="0"/>
            </w:pPr>
            <w:r/>
            <w:r>
              <w:rPr>
                <w:rFonts w:ascii="Aptos" w:hAnsi="Aptos"/>
                <w:b/>
                <w:color w:val="FFFFFF"/>
                <w:sz w:val="16"/>
              </w:rPr>
              <w:t>ID</w:t>
            </w:r>
          </w:p>
        </w:tc>
        <w:tc>
          <w:tcPr>
            <w:tcW w:type="dxa" w:w="3240"/>
            <w:vAlign w:val="center"/>
            <w:shd w:fill="163A5F"/>
          </w:tcPr>
          <w:p>
            <w:pPr>
              <w:spacing w:after="0"/>
            </w:pPr>
            <w:r/>
            <w:r>
              <w:rPr>
                <w:rFonts w:ascii="Aptos" w:hAnsi="Aptos"/>
                <w:b/>
                <w:color w:val="FFFFFF"/>
                <w:sz w:val="16"/>
              </w:rPr>
              <w:t>Illustrative finding</w:t>
            </w:r>
          </w:p>
        </w:tc>
        <w:tc>
          <w:tcPr>
            <w:tcW w:type="dxa" w:w="1008"/>
            <w:vAlign w:val="center"/>
            <w:shd w:fill="163A5F"/>
          </w:tcPr>
          <w:p>
            <w:pPr>
              <w:spacing w:after="0"/>
            </w:pPr>
            <w:r/>
            <w:r>
              <w:rPr>
                <w:rFonts w:ascii="Aptos" w:hAnsi="Aptos"/>
                <w:b/>
                <w:color w:val="FFFFFF"/>
                <w:sz w:val="16"/>
              </w:rPr>
              <w:t>Likelihood</w:t>
            </w:r>
          </w:p>
        </w:tc>
        <w:tc>
          <w:tcPr>
            <w:tcW w:type="dxa" w:w="792"/>
            <w:vAlign w:val="center"/>
            <w:shd w:fill="163A5F"/>
          </w:tcPr>
          <w:p>
            <w:pPr>
              <w:spacing w:after="0"/>
            </w:pPr>
            <w:r/>
            <w:r>
              <w:rPr>
                <w:rFonts w:ascii="Aptos" w:hAnsi="Aptos"/>
                <w:b/>
                <w:color w:val="FFFFFF"/>
                <w:sz w:val="16"/>
              </w:rPr>
              <w:t>Impact</w:t>
            </w:r>
          </w:p>
        </w:tc>
        <w:tc>
          <w:tcPr>
            <w:tcW w:type="dxa" w:w="1728"/>
            <w:vAlign w:val="center"/>
            <w:shd w:fill="163A5F"/>
          </w:tcPr>
          <w:p>
            <w:pPr>
              <w:spacing w:after="0"/>
            </w:pPr>
            <w:r/>
            <w:r>
              <w:rPr>
                <w:rFonts w:ascii="Aptos" w:hAnsi="Aptos"/>
                <w:b/>
                <w:color w:val="FFFFFF"/>
                <w:sz w:val="16"/>
              </w:rPr>
              <w:t>Score / level</w:t>
            </w:r>
          </w:p>
        </w:tc>
        <w:tc>
          <w:tcPr>
            <w:tcW w:type="dxa" w:w="2088"/>
            <w:vAlign w:val="center"/>
            <w:shd w:fill="163A5F"/>
          </w:tcPr>
          <w:p>
            <w:pPr>
              <w:spacing w:after="0"/>
            </w:pPr>
            <w:r/>
            <w:r>
              <w:rPr>
                <w:rFonts w:ascii="Aptos" w:hAnsi="Aptos"/>
                <w:b/>
                <w:color w:val="FFFFFF"/>
                <w:sz w:val="16"/>
              </w:rPr>
              <w:t>Target</w:t>
            </w:r>
          </w:p>
        </w:tc>
      </w:tr>
      <w:tr>
        <w:tc>
          <w:tcPr>
            <w:tcW w:type="dxa" w:w="792"/>
            <w:vAlign w:val="center"/>
          </w:tcPr>
          <w:p>
            <w:pPr>
              <w:spacing w:after="0"/>
            </w:pPr>
            <w:r/>
            <w:r>
              <w:rPr>
                <w:rFonts w:ascii="Aptos" w:hAnsi="Aptos"/>
                <w:b w:val="0"/>
                <w:sz w:val="15"/>
              </w:rPr>
              <w:t>V-01</w:t>
            </w:r>
          </w:p>
        </w:tc>
        <w:tc>
          <w:tcPr>
            <w:tcW w:type="dxa" w:w="3240"/>
            <w:vAlign w:val="center"/>
          </w:tcPr>
          <w:p>
            <w:pPr>
              <w:spacing w:after="0"/>
            </w:pPr>
            <w:r/>
            <w:r>
              <w:rPr>
                <w:rFonts w:ascii="Aptos" w:hAnsi="Aptos"/>
                <w:b w:val="0"/>
                <w:sz w:val="15"/>
              </w:rPr>
              <w:t>MFA gaps</w:t>
            </w:r>
          </w:p>
        </w:tc>
        <w:tc>
          <w:tcPr>
            <w:tcW w:type="dxa" w:w="1008"/>
            <w:vAlign w:val="center"/>
          </w:tcPr>
          <w:p>
            <w:pPr>
              <w:spacing w:after="0"/>
            </w:pPr>
            <w:r/>
            <w:r>
              <w:rPr>
                <w:rFonts w:ascii="Aptos" w:hAnsi="Aptos"/>
                <w:b w:val="0"/>
                <w:sz w:val="15"/>
              </w:rPr>
              <w:t>5</w:t>
            </w:r>
          </w:p>
        </w:tc>
        <w:tc>
          <w:tcPr>
            <w:tcW w:type="dxa" w:w="792"/>
            <w:vAlign w:val="center"/>
          </w:tcPr>
          <w:p>
            <w:pPr>
              <w:spacing w:after="0"/>
            </w:pPr>
            <w:r/>
            <w:r>
              <w:rPr>
                <w:rFonts w:ascii="Aptos" w:hAnsi="Aptos"/>
                <w:b w:val="0"/>
                <w:sz w:val="15"/>
              </w:rPr>
              <w:t>5</w:t>
            </w:r>
          </w:p>
        </w:tc>
        <w:tc>
          <w:tcPr>
            <w:tcW w:type="dxa" w:w="1728"/>
            <w:vAlign w:val="center"/>
          </w:tcPr>
          <w:p>
            <w:pPr>
              <w:spacing w:after="0"/>
            </w:pPr>
            <w:r/>
            <w:r>
              <w:rPr>
                <w:rFonts w:ascii="Aptos" w:hAnsi="Aptos"/>
                <w:b w:val="0"/>
                <w:sz w:val="15"/>
              </w:rPr>
              <w:t>25 Critical</w:t>
            </w:r>
          </w:p>
        </w:tc>
        <w:tc>
          <w:tcPr>
            <w:tcW w:type="dxa" w:w="2088"/>
            <w:vAlign w:val="center"/>
          </w:tcPr>
          <w:p>
            <w:pPr>
              <w:spacing w:after="0"/>
            </w:pPr>
            <w:r/>
            <w:r>
              <w:rPr>
                <w:rFonts w:ascii="Aptos" w:hAnsi="Aptos"/>
                <w:b w:val="0"/>
                <w:sz w:val="15"/>
              </w:rPr>
              <w:t>0–7 days</w:t>
            </w:r>
          </w:p>
        </w:tc>
      </w:tr>
      <w:tr>
        <w:tc>
          <w:tcPr>
            <w:tcW w:type="dxa" w:w="792"/>
            <w:vAlign w:val="center"/>
            <w:shd w:fill="F1F6F8"/>
          </w:tcPr>
          <w:p>
            <w:pPr>
              <w:spacing w:after="0"/>
            </w:pPr>
            <w:r/>
            <w:r>
              <w:rPr>
                <w:rFonts w:ascii="Aptos" w:hAnsi="Aptos"/>
                <w:b w:val="0"/>
                <w:sz w:val="15"/>
              </w:rPr>
              <w:t>V-02</w:t>
            </w:r>
          </w:p>
        </w:tc>
        <w:tc>
          <w:tcPr>
            <w:tcW w:type="dxa" w:w="3240"/>
            <w:vAlign w:val="center"/>
            <w:shd w:fill="F1F6F8"/>
          </w:tcPr>
          <w:p>
            <w:pPr>
              <w:spacing w:after="0"/>
            </w:pPr>
            <w:r/>
            <w:r>
              <w:rPr>
                <w:rFonts w:ascii="Aptos" w:hAnsi="Aptos"/>
                <w:b w:val="0"/>
                <w:sz w:val="15"/>
              </w:rPr>
              <w:t>Unpatched exposed systems</w:t>
            </w:r>
          </w:p>
        </w:tc>
        <w:tc>
          <w:tcPr>
            <w:tcW w:type="dxa" w:w="1008"/>
            <w:vAlign w:val="center"/>
            <w:shd w:fill="F1F6F8"/>
          </w:tcPr>
          <w:p>
            <w:pPr>
              <w:spacing w:after="0"/>
            </w:pPr>
            <w:r/>
            <w:r>
              <w:rPr>
                <w:rFonts w:ascii="Aptos" w:hAnsi="Aptos"/>
                <w:b w:val="0"/>
                <w:sz w:val="15"/>
              </w:rPr>
              <w:t>4</w:t>
            </w:r>
          </w:p>
        </w:tc>
        <w:tc>
          <w:tcPr>
            <w:tcW w:type="dxa" w:w="792"/>
            <w:vAlign w:val="center"/>
            <w:shd w:fill="F1F6F8"/>
          </w:tcPr>
          <w:p>
            <w:pPr>
              <w:spacing w:after="0"/>
            </w:pPr>
            <w:r/>
            <w:r>
              <w:rPr>
                <w:rFonts w:ascii="Aptos" w:hAnsi="Aptos"/>
                <w:b w:val="0"/>
                <w:sz w:val="15"/>
              </w:rPr>
              <w:t>5</w:t>
            </w:r>
          </w:p>
        </w:tc>
        <w:tc>
          <w:tcPr>
            <w:tcW w:type="dxa" w:w="1728"/>
            <w:vAlign w:val="center"/>
            <w:shd w:fill="F1F6F8"/>
          </w:tcPr>
          <w:p>
            <w:pPr>
              <w:spacing w:after="0"/>
            </w:pPr>
            <w:r/>
            <w:r>
              <w:rPr>
                <w:rFonts w:ascii="Aptos" w:hAnsi="Aptos"/>
                <w:b w:val="0"/>
                <w:sz w:val="15"/>
              </w:rPr>
              <w:t>20 Critical</w:t>
            </w:r>
          </w:p>
        </w:tc>
        <w:tc>
          <w:tcPr>
            <w:tcW w:type="dxa" w:w="2088"/>
            <w:vAlign w:val="center"/>
            <w:shd w:fill="F1F6F8"/>
          </w:tcPr>
          <w:p>
            <w:pPr>
              <w:spacing w:after="0"/>
            </w:pPr>
            <w:r/>
            <w:r>
              <w:rPr>
                <w:rFonts w:ascii="Aptos" w:hAnsi="Aptos"/>
                <w:b w:val="0"/>
                <w:sz w:val="15"/>
              </w:rPr>
              <w:t>Immediate triage</w:t>
            </w:r>
          </w:p>
        </w:tc>
      </w:tr>
      <w:tr>
        <w:tc>
          <w:tcPr>
            <w:tcW w:type="dxa" w:w="792"/>
            <w:vAlign w:val="center"/>
          </w:tcPr>
          <w:p>
            <w:pPr>
              <w:spacing w:after="0"/>
            </w:pPr>
            <w:r/>
            <w:r>
              <w:rPr>
                <w:rFonts w:ascii="Aptos" w:hAnsi="Aptos"/>
                <w:b w:val="0"/>
                <w:sz w:val="15"/>
              </w:rPr>
              <w:t>V-03</w:t>
            </w:r>
          </w:p>
        </w:tc>
        <w:tc>
          <w:tcPr>
            <w:tcW w:type="dxa" w:w="3240"/>
            <w:vAlign w:val="center"/>
          </w:tcPr>
          <w:p>
            <w:pPr>
              <w:spacing w:after="0"/>
            </w:pPr>
            <w:r/>
            <w:r>
              <w:rPr>
                <w:rFonts w:ascii="Aptos" w:hAnsi="Aptos"/>
                <w:b w:val="0"/>
                <w:sz w:val="15"/>
              </w:rPr>
              <w:t>Excessive privileges</w:t>
            </w:r>
          </w:p>
        </w:tc>
        <w:tc>
          <w:tcPr>
            <w:tcW w:type="dxa" w:w="1008"/>
            <w:vAlign w:val="center"/>
          </w:tcPr>
          <w:p>
            <w:pPr>
              <w:spacing w:after="0"/>
            </w:pPr>
            <w:r/>
            <w:r>
              <w:rPr>
                <w:rFonts w:ascii="Aptos" w:hAnsi="Aptos"/>
                <w:b w:val="0"/>
                <w:sz w:val="15"/>
              </w:rPr>
              <w:t>4</w:t>
            </w:r>
          </w:p>
        </w:tc>
        <w:tc>
          <w:tcPr>
            <w:tcW w:type="dxa" w:w="792"/>
            <w:vAlign w:val="center"/>
          </w:tcPr>
          <w:p>
            <w:pPr>
              <w:spacing w:after="0"/>
            </w:pPr>
            <w:r/>
            <w:r>
              <w:rPr>
                <w:rFonts w:ascii="Aptos" w:hAnsi="Aptos"/>
                <w:b w:val="0"/>
                <w:sz w:val="15"/>
              </w:rPr>
              <w:t>5</w:t>
            </w:r>
          </w:p>
        </w:tc>
        <w:tc>
          <w:tcPr>
            <w:tcW w:type="dxa" w:w="1728"/>
            <w:vAlign w:val="center"/>
          </w:tcPr>
          <w:p>
            <w:pPr>
              <w:spacing w:after="0"/>
            </w:pPr>
            <w:r/>
            <w:r>
              <w:rPr>
                <w:rFonts w:ascii="Aptos" w:hAnsi="Aptos"/>
                <w:b w:val="0"/>
                <w:sz w:val="15"/>
              </w:rPr>
              <w:t>20 Critical</w:t>
            </w:r>
          </w:p>
        </w:tc>
        <w:tc>
          <w:tcPr>
            <w:tcW w:type="dxa" w:w="2088"/>
            <w:vAlign w:val="center"/>
          </w:tcPr>
          <w:p>
            <w:pPr>
              <w:spacing w:after="0"/>
            </w:pPr>
            <w:r/>
            <w:r>
              <w:rPr>
                <w:rFonts w:ascii="Aptos" w:hAnsi="Aptos"/>
                <w:b w:val="0"/>
                <w:sz w:val="15"/>
              </w:rPr>
              <w:t>7–14 days</w:t>
            </w:r>
          </w:p>
        </w:tc>
      </w:tr>
      <w:tr>
        <w:tc>
          <w:tcPr>
            <w:tcW w:type="dxa" w:w="792"/>
            <w:vAlign w:val="center"/>
            <w:shd w:fill="F1F6F8"/>
          </w:tcPr>
          <w:p>
            <w:pPr>
              <w:spacing w:after="0"/>
            </w:pPr>
            <w:r/>
            <w:r>
              <w:rPr>
                <w:rFonts w:ascii="Aptos" w:hAnsi="Aptos"/>
                <w:b w:val="0"/>
                <w:sz w:val="15"/>
              </w:rPr>
              <w:t>V-04</w:t>
            </w:r>
          </w:p>
        </w:tc>
        <w:tc>
          <w:tcPr>
            <w:tcW w:type="dxa" w:w="3240"/>
            <w:vAlign w:val="center"/>
            <w:shd w:fill="F1F6F8"/>
          </w:tcPr>
          <w:p>
            <w:pPr>
              <w:spacing w:after="0"/>
            </w:pPr>
            <w:r/>
            <w:r>
              <w:rPr>
                <w:rFonts w:ascii="Aptos" w:hAnsi="Aptos"/>
                <w:b w:val="0"/>
                <w:sz w:val="15"/>
              </w:rPr>
              <w:t>Backup resilience unverified</w:t>
            </w:r>
          </w:p>
        </w:tc>
        <w:tc>
          <w:tcPr>
            <w:tcW w:type="dxa" w:w="1008"/>
            <w:vAlign w:val="center"/>
            <w:shd w:fill="F1F6F8"/>
          </w:tcPr>
          <w:p>
            <w:pPr>
              <w:spacing w:after="0"/>
            </w:pPr>
            <w:r/>
            <w:r>
              <w:rPr>
                <w:rFonts w:ascii="Aptos" w:hAnsi="Aptos"/>
                <w:b w:val="0"/>
                <w:sz w:val="15"/>
              </w:rPr>
              <w:t>4</w:t>
            </w:r>
          </w:p>
        </w:tc>
        <w:tc>
          <w:tcPr>
            <w:tcW w:type="dxa" w:w="792"/>
            <w:vAlign w:val="center"/>
            <w:shd w:fill="F1F6F8"/>
          </w:tcPr>
          <w:p>
            <w:pPr>
              <w:spacing w:after="0"/>
            </w:pPr>
            <w:r/>
            <w:r>
              <w:rPr>
                <w:rFonts w:ascii="Aptos" w:hAnsi="Aptos"/>
                <w:b w:val="0"/>
                <w:sz w:val="15"/>
              </w:rPr>
              <w:t>5</w:t>
            </w:r>
          </w:p>
        </w:tc>
        <w:tc>
          <w:tcPr>
            <w:tcW w:type="dxa" w:w="1728"/>
            <w:vAlign w:val="center"/>
            <w:shd w:fill="F1F6F8"/>
          </w:tcPr>
          <w:p>
            <w:pPr>
              <w:spacing w:after="0"/>
            </w:pPr>
            <w:r/>
            <w:r>
              <w:rPr>
                <w:rFonts w:ascii="Aptos" w:hAnsi="Aptos"/>
                <w:b w:val="0"/>
                <w:sz w:val="15"/>
              </w:rPr>
              <w:t>20 Critical</w:t>
            </w:r>
          </w:p>
        </w:tc>
        <w:tc>
          <w:tcPr>
            <w:tcW w:type="dxa" w:w="2088"/>
            <w:vAlign w:val="center"/>
            <w:shd w:fill="F1F6F8"/>
          </w:tcPr>
          <w:p>
            <w:pPr>
              <w:spacing w:after="0"/>
            </w:pPr>
            <w:r/>
            <w:r>
              <w:rPr>
                <w:rFonts w:ascii="Aptos" w:hAnsi="Aptos"/>
                <w:b w:val="0"/>
                <w:sz w:val="15"/>
              </w:rPr>
              <w:t>Plan 14 days; test 30 days</w:t>
            </w:r>
          </w:p>
        </w:tc>
      </w:tr>
      <w:tr>
        <w:tc>
          <w:tcPr>
            <w:tcW w:type="dxa" w:w="792"/>
            <w:vAlign w:val="center"/>
          </w:tcPr>
          <w:p>
            <w:pPr>
              <w:spacing w:after="0"/>
            </w:pPr>
            <w:r/>
            <w:r>
              <w:rPr>
                <w:rFonts w:ascii="Aptos" w:hAnsi="Aptos"/>
                <w:b w:val="0"/>
                <w:sz w:val="15"/>
              </w:rPr>
              <w:t>V-05</w:t>
            </w:r>
          </w:p>
        </w:tc>
        <w:tc>
          <w:tcPr>
            <w:tcW w:type="dxa" w:w="3240"/>
            <w:vAlign w:val="center"/>
          </w:tcPr>
          <w:p>
            <w:pPr>
              <w:spacing w:after="0"/>
            </w:pPr>
            <w:r/>
            <w:r>
              <w:rPr>
                <w:rFonts w:ascii="Aptos" w:hAnsi="Aptos"/>
                <w:b w:val="0"/>
                <w:sz w:val="15"/>
              </w:rPr>
              <w:t>Inconsistent endpoint patching</w:t>
            </w:r>
          </w:p>
        </w:tc>
        <w:tc>
          <w:tcPr>
            <w:tcW w:type="dxa" w:w="1008"/>
            <w:vAlign w:val="center"/>
          </w:tcPr>
          <w:p>
            <w:pPr>
              <w:spacing w:after="0"/>
            </w:pPr>
            <w:r/>
            <w:r>
              <w:rPr>
                <w:rFonts w:ascii="Aptos" w:hAnsi="Aptos"/>
                <w:b w:val="0"/>
                <w:sz w:val="15"/>
              </w:rPr>
              <w:t>4</w:t>
            </w:r>
          </w:p>
        </w:tc>
        <w:tc>
          <w:tcPr>
            <w:tcW w:type="dxa" w:w="792"/>
            <w:vAlign w:val="center"/>
          </w:tcPr>
          <w:p>
            <w:pPr>
              <w:spacing w:after="0"/>
            </w:pPr>
            <w:r/>
            <w:r>
              <w:rPr>
                <w:rFonts w:ascii="Aptos" w:hAnsi="Aptos"/>
                <w:b w:val="0"/>
                <w:sz w:val="15"/>
              </w:rPr>
              <w:t>4</w:t>
            </w:r>
          </w:p>
        </w:tc>
        <w:tc>
          <w:tcPr>
            <w:tcW w:type="dxa" w:w="1728"/>
            <w:vAlign w:val="center"/>
          </w:tcPr>
          <w:p>
            <w:pPr>
              <w:spacing w:after="0"/>
            </w:pPr>
            <w:r/>
            <w:r>
              <w:rPr>
                <w:rFonts w:ascii="Aptos" w:hAnsi="Aptos"/>
                <w:b w:val="0"/>
                <w:sz w:val="15"/>
              </w:rPr>
              <w:t>16 High</w:t>
            </w:r>
          </w:p>
        </w:tc>
        <w:tc>
          <w:tcPr>
            <w:tcW w:type="dxa" w:w="2088"/>
            <w:vAlign w:val="center"/>
          </w:tcPr>
          <w:p>
            <w:pPr>
              <w:spacing w:after="0"/>
            </w:pPr>
            <w:r/>
            <w:r>
              <w:rPr>
                <w:rFonts w:ascii="Aptos" w:hAnsi="Aptos"/>
                <w:b w:val="0"/>
                <w:sz w:val="15"/>
              </w:rPr>
              <w:t>30 days</w:t>
            </w:r>
          </w:p>
        </w:tc>
      </w:tr>
      <w:tr>
        <w:tc>
          <w:tcPr>
            <w:tcW w:type="dxa" w:w="792"/>
            <w:vAlign w:val="center"/>
            <w:shd w:fill="F1F6F8"/>
          </w:tcPr>
          <w:p>
            <w:pPr>
              <w:spacing w:after="0"/>
            </w:pPr>
            <w:r/>
            <w:r>
              <w:rPr>
                <w:rFonts w:ascii="Aptos" w:hAnsi="Aptos"/>
                <w:b w:val="0"/>
                <w:sz w:val="15"/>
              </w:rPr>
              <w:t>V-06</w:t>
            </w:r>
          </w:p>
        </w:tc>
        <w:tc>
          <w:tcPr>
            <w:tcW w:type="dxa" w:w="3240"/>
            <w:vAlign w:val="center"/>
            <w:shd w:fill="F1F6F8"/>
          </w:tcPr>
          <w:p>
            <w:pPr>
              <w:spacing w:after="0"/>
            </w:pPr>
            <w:r/>
            <w:r>
              <w:rPr>
                <w:rFonts w:ascii="Aptos" w:hAnsi="Aptos"/>
                <w:b w:val="0"/>
                <w:sz w:val="15"/>
              </w:rPr>
              <w:t>Broad cloud sharing</w:t>
            </w:r>
          </w:p>
        </w:tc>
        <w:tc>
          <w:tcPr>
            <w:tcW w:type="dxa" w:w="1008"/>
            <w:vAlign w:val="center"/>
            <w:shd w:fill="F1F6F8"/>
          </w:tcPr>
          <w:p>
            <w:pPr>
              <w:spacing w:after="0"/>
            </w:pPr>
            <w:r/>
            <w:r>
              <w:rPr>
                <w:rFonts w:ascii="Aptos" w:hAnsi="Aptos"/>
                <w:b w:val="0"/>
                <w:sz w:val="15"/>
              </w:rPr>
              <w:t>3</w:t>
            </w:r>
          </w:p>
        </w:tc>
        <w:tc>
          <w:tcPr>
            <w:tcW w:type="dxa" w:w="792"/>
            <w:vAlign w:val="center"/>
            <w:shd w:fill="F1F6F8"/>
          </w:tcPr>
          <w:p>
            <w:pPr>
              <w:spacing w:after="0"/>
            </w:pPr>
            <w:r/>
            <w:r>
              <w:rPr>
                <w:rFonts w:ascii="Aptos" w:hAnsi="Aptos"/>
                <w:b w:val="0"/>
                <w:sz w:val="15"/>
              </w:rPr>
              <w:t>5</w:t>
            </w:r>
          </w:p>
        </w:tc>
        <w:tc>
          <w:tcPr>
            <w:tcW w:type="dxa" w:w="1728"/>
            <w:vAlign w:val="center"/>
            <w:shd w:fill="F1F6F8"/>
          </w:tcPr>
          <w:p>
            <w:pPr>
              <w:spacing w:after="0"/>
            </w:pPr>
            <w:r/>
            <w:r>
              <w:rPr>
                <w:rFonts w:ascii="Aptos" w:hAnsi="Aptos"/>
                <w:b w:val="0"/>
                <w:sz w:val="15"/>
              </w:rPr>
              <w:t>15 High</w:t>
            </w:r>
          </w:p>
        </w:tc>
        <w:tc>
          <w:tcPr>
            <w:tcW w:type="dxa" w:w="2088"/>
            <w:vAlign w:val="center"/>
            <w:shd w:fill="F1F6F8"/>
          </w:tcPr>
          <w:p>
            <w:pPr>
              <w:spacing w:after="0"/>
            </w:pPr>
            <w:r/>
            <w:r>
              <w:rPr>
                <w:rFonts w:ascii="Aptos" w:hAnsi="Aptos"/>
                <w:b w:val="0"/>
                <w:sz w:val="15"/>
              </w:rPr>
              <w:t>30 days</w:t>
            </w:r>
          </w:p>
        </w:tc>
      </w:tr>
      <w:tr>
        <w:tc>
          <w:tcPr>
            <w:tcW w:type="dxa" w:w="792"/>
            <w:vAlign w:val="center"/>
          </w:tcPr>
          <w:p>
            <w:pPr>
              <w:spacing w:after="0"/>
            </w:pPr>
            <w:r/>
            <w:r>
              <w:rPr>
                <w:rFonts w:ascii="Aptos" w:hAnsi="Aptos"/>
                <w:b w:val="0"/>
                <w:sz w:val="15"/>
              </w:rPr>
              <w:t>V-07</w:t>
            </w:r>
          </w:p>
        </w:tc>
        <w:tc>
          <w:tcPr>
            <w:tcW w:type="dxa" w:w="3240"/>
            <w:vAlign w:val="center"/>
          </w:tcPr>
          <w:p>
            <w:pPr>
              <w:spacing w:after="0"/>
            </w:pPr>
            <w:r/>
            <w:r>
              <w:rPr>
                <w:rFonts w:ascii="Aptos" w:hAnsi="Aptos"/>
                <w:b w:val="0"/>
                <w:sz w:val="15"/>
              </w:rPr>
              <w:t>Insufficient monitoring</w:t>
            </w:r>
          </w:p>
        </w:tc>
        <w:tc>
          <w:tcPr>
            <w:tcW w:type="dxa" w:w="1008"/>
            <w:vAlign w:val="center"/>
          </w:tcPr>
          <w:p>
            <w:pPr>
              <w:spacing w:after="0"/>
            </w:pPr>
            <w:r/>
            <w:r>
              <w:rPr>
                <w:rFonts w:ascii="Aptos" w:hAnsi="Aptos"/>
                <w:b w:val="0"/>
                <w:sz w:val="15"/>
              </w:rPr>
              <w:t>4</w:t>
            </w:r>
          </w:p>
        </w:tc>
        <w:tc>
          <w:tcPr>
            <w:tcW w:type="dxa" w:w="792"/>
            <w:vAlign w:val="center"/>
          </w:tcPr>
          <w:p>
            <w:pPr>
              <w:spacing w:after="0"/>
            </w:pPr>
            <w:r/>
            <w:r>
              <w:rPr>
                <w:rFonts w:ascii="Aptos" w:hAnsi="Aptos"/>
                <w:b w:val="0"/>
                <w:sz w:val="15"/>
              </w:rPr>
              <w:t>4</w:t>
            </w:r>
          </w:p>
        </w:tc>
        <w:tc>
          <w:tcPr>
            <w:tcW w:type="dxa" w:w="1728"/>
            <w:vAlign w:val="center"/>
          </w:tcPr>
          <w:p>
            <w:pPr>
              <w:spacing w:after="0"/>
            </w:pPr>
            <w:r/>
            <w:r>
              <w:rPr>
                <w:rFonts w:ascii="Aptos" w:hAnsi="Aptos"/>
                <w:b w:val="0"/>
                <w:sz w:val="15"/>
              </w:rPr>
              <w:t>16 High</w:t>
            </w:r>
          </w:p>
        </w:tc>
        <w:tc>
          <w:tcPr>
            <w:tcW w:type="dxa" w:w="2088"/>
            <w:vAlign w:val="center"/>
          </w:tcPr>
          <w:p>
            <w:pPr>
              <w:spacing w:after="0"/>
            </w:pPr>
            <w:r/>
            <w:r>
              <w:rPr>
                <w:rFonts w:ascii="Aptos" w:hAnsi="Aptos"/>
                <w:b w:val="0"/>
                <w:sz w:val="15"/>
              </w:rPr>
              <w:t>30–45 days</w:t>
            </w:r>
          </w:p>
        </w:tc>
      </w:tr>
      <w:tr>
        <w:tc>
          <w:tcPr>
            <w:tcW w:type="dxa" w:w="792"/>
            <w:vAlign w:val="center"/>
            <w:shd w:fill="F1F6F8"/>
          </w:tcPr>
          <w:p>
            <w:pPr>
              <w:spacing w:after="0"/>
            </w:pPr>
            <w:r/>
            <w:r>
              <w:rPr>
                <w:rFonts w:ascii="Aptos" w:hAnsi="Aptos"/>
                <w:b w:val="0"/>
                <w:sz w:val="15"/>
              </w:rPr>
              <w:t>V-08</w:t>
            </w:r>
          </w:p>
        </w:tc>
        <w:tc>
          <w:tcPr>
            <w:tcW w:type="dxa" w:w="3240"/>
            <w:vAlign w:val="center"/>
            <w:shd w:fill="F1F6F8"/>
          </w:tcPr>
          <w:p>
            <w:pPr>
              <w:spacing w:after="0"/>
            </w:pPr>
            <w:r/>
            <w:r>
              <w:rPr>
                <w:rFonts w:ascii="Aptos" w:hAnsi="Aptos"/>
                <w:b w:val="0"/>
                <w:sz w:val="15"/>
              </w:rPr>
              <w:t>Weak segmentation</w:t>
            </w:r>
          </w:p>
        </w:tc>
        <w:tc>
          <w:tcPr>
            <w:tcW w:type="dxa" w:w="1008"/>
            <w:vAlign w:val="center"/>
            <w:shd w:fill="F1F6F8"/>
          </w:tcPr>
          <w:p>
            <w:pPr>
              <w:spacing w:after="0"/>
            </w:pPr>
            <w:r/>
            <w:r>
              <w:rPr>
                <w:rFonts w:ascii="Aptos" w:hAnsi="Aptos"/>
                <w:b w:val="0"/>
                <w:sz w:val="15"/>
              </w:rPr>
              <w:t>3</w:t>
            </w:r>
          </w:p>
        </w:tc>
        <w:tc>
          <w:tcPr>
            <w:tcW w:type="dxa" w:w="792"/>
            <w:vAlign w:val="center"/>
            <w:shd w:fill="F1F6F8"/>
          </w:tcPr>
          <w:p>
            <w:pPr>
              <w:spacing w:after="0"/>
            </w:pPr>
            <w:r/>
            <w:r>
              <w:rPr>
                <w:rFonts w:ascii="Aptos" w:hAnsi="Aptos"/>
                <w:b w:val="0"/>
                <w:sz w:val="15"/>
              </w:rPr>
              <w:t>5</w:t>
            </w:r>
          </w:p>
        </w:tc>
        <w:tc>
          <w:tcPr>
            <w:tcW w:type="dxa" w:w="1728"/>
            <w:vAlign w:val="center"/>
            <w:shd w:fill="F1F6F8"/>
          </w:tcPr>
          <w:p>
            <w:pPr>
              <w:spacing w:after="0"/>
            </w:pPr>
            <w:r/>
            <w:r>
              <w:rPr>
                <w:rFonts w:ascii="Aptos" w:hAnsi="Aptos"/>
                <w:b w:val="0"/>
                <w:sz w:val="15"/>
              </w:rPr>
              <w:t>15 High</w:t>
            </w:r>
          </w:p>
        </w:tc>
        <w:tc>
          <w:tcPr>
            <w:tcW w:type="dxa" w:w="2088"/>
            <w:vAlign w:val="center"/>
            <w:shd w:fill="F1F6F8"/>
          </w:tcPr>
          <w:p>
            <w:pPr>
              <w:spacing w:after="0"/>
            </w:pPr>
            <w:r/>
            <w:r>
              <w:rPr>
                <w:rFonts w:ascii="Aptos" w:hAnsi="Aptos"/>
                <w:b w:val="0"/>
                <w:sz w:val="15"/>
              </w:rPr>
              <w:t>30–60 days</w:t>
            </w:r>
          </w:p>
        </w:tc>
      </w:tr>
      <w:tr>
        <w:tc>
          <w:tcPr>
            <w:tcW w:type="dxa" w:w="792"/>
            <w:vAlign w:val="center"/>
          </w:tcPr>
          <w:p>
            <w:pPr>
              <w:spacing w:after="0"/>
            </w:pPr>
            <w:r/>
            <w:r>
              <w:rPr>
                <w:rFonts w:ascii="Aptos" w:hAnsi="Aptos"/>
                <w:b w:val="0"/>
                <w:sz w:val="15"/>
              </w:rPr>
              <w:t>V-09</w:t>
            </w:r>
          </w:p>
        </w:tc>
        <w:tc>
          <w:tcPr>
            <w:tcW w:type="dxa" w:w="3240"/>
            <w:vAlign w:val="center"/>
          </w:tcPr>
          <w:p>
            <w:pPr>
              <w:spacing w:after="0"/>
            </w:pPr>
            <w:r/>
            <w:r>
              <w:rPr>
                <w:rFonts w:ascii="Aptos" w:hAnsi="Aptos"/>
                <w:b w:val="0"/>
                <w:sz w:val="15"/>
              </w:rPr>
              <w:t>Unreviewed vendor access</w:t>
            </w:r>
          </w:p>
        </w:tc>
        <w:tc>
          <w:tcPr>
            <w:tcW w:type="dxa" w:w="1008"/>
            <w:vAlign w:val="center"/>
          </w:tcPr>
          <w:p>
            <w:pPr>
              <w:spacing w:after="0"/>
            </w:pPr>
            <w:r/>
            <w:r>
              <w:rPr>
                <w:rFonts w:ascii="Aptos" w:hAnsi="Aptos"/>
                <w:b w:val="0"/>
                <w:sz w:val="15"/>
              </w:rPr>
              <w:t>3</w:t>
            </w:r>
          </w:p>
        </w:tc>
        <w:tc>
          <w:tcPr>
            <w:tcW w:type="dxa" w:w="792"/>
            <w:vAlign w:val="center"/>
          </w:tcPr>
          <w:p>
            <w:pPr>
              <w:spacing w:after="0"/>
            </w:pPr>
            <w:r/>
            <w:r>
              <w:rPr>
                <w:rFonts w:ascii="Aptos" w:hAnsi="Aptos"/>
                <w:b w:val="0"/>
                <w:sz w:val="15"/>
              </w:rPr>
              <w:t>4</w:t>
            </w:r>
          </w:p>
        </w:tc>
        <w:tc>
          <w:tcPr>
            <w:tcW w:type="dxa" w:w="1728"/>
            <w:vAlign w:val="center"/>
          </w:tcPr>
          <w:p>
            <w:pPr>
              <w:spacing w:after="0"/>
            </w:pPr>
            <w:r/>
            <w:r>
              <w:rPr>
                <w:rFonts w:ascii="Aptos" w:hAnsi="Aptos"/>
                <w:b w:val="0"/>
                <w:sz w:val="15"/>
              </w:rPr>
              <w:t>12 Medium</w:t>
            </w:r>
          </w:p>
        </w:tc>
        <w:tc>
          <w:tcPr>
            <w:tcW w:type="dxa" w:w="2088"/>
            <w:vAlign w:val="center"/>
          </w:tcPr>
          <w:p>
            <w:pPr>
              <w:spacing w:after="0"/>
            </w:pPr>
            <w:r/>
            <w:r>
              <w:rPr>
                <w:rFonts w:ascii="Aptos" w:hAnsi="Aptos"/>
                <w:b w:val="0"/>
                <w:sz w:val="15"/>
              </w:rPr>
              <w:t>45 days</w:t>
            </w:r>
          </w:p>
        </w:tc>
      </w:tr>
      <w:tr>
        <w:tc>
          <w:tcPr>
            <w:tcW w:type="dxa" w:w="792"/>
            <w:vAlign w:val="center"/>
            <w:shd w:fill="F1F6F8"/>
          </w:tcPr>
          <w:p>
            <w:pPr>
              <w:spacing w:after="0"/>
            </w:pPr>
            <w:r/>
            <w:r>
              <w:rPr>
                <w:rFonts w:ascii="Aptos" w:hAnsi="Aptos"/>
                <w:b w:val="0"/>
                <w:sz w:val="15"/>
              </w:rPr>
              <w:t>V-10</w:t>
            </w:r>
          </w:p>
        </w:tc>
        <w:tc>
          <w:tcPr>
            <w:tcW w:type="dxa" w:w="3240"/>
            <w:vAlign w:val="center"/>
            <w:shd w:fill="F1F6F8"/>
          </w:tcPr>
          <w:p>
            <w:pPr>
              <w:spacing w:after="0"/>
            </w:pPr>
            <w:r/>
            <w:r>
              <w:rPr>
                <w:rFonts w:ascii="Aptos" w:hAnsi="Aptos"/>
                <w:b w:val="0"/>
                <w:sz w:val="15"/>
              </w:rPr>
              <w:t>Untested incident response</w:t>
            </w:r>
          </w:p>
        </w:tc>
        <w:tc>
          <w:tcPr>
            <w:tcW w:type="dxa" w:w="1008"/>
            <w:vAlign w:val="center"/>
            <w:shd w:fill="F1F6F8"/>
          </w:tcPr>
          <w:p>
            <w:pPr>
              <w:spacing w:after="0"/>
            </w:pPr>
            <w:r/>
            <w:r>
              <w:rPr>
                <w:rFonts w:ascii="Aptos" w:hAnsi="Aptos"/>
                <w:b w:val="0"/>
                <w:sz w:val="15"/>
              </w:rPr>
              <w:t>3</w:t>
            </w:r>
          </w:p>
        </w:tc>
        <w:tc>
          <w:tcPr>
            <w:tcW w:type="dxa" w:w="792"/>
            <w:vAlign w:val="center"/>
            <w:shd w:fill="F1F6F8"/>
          </w:tcPr>
          <w:p>
            <w:pPr>
              <w:spacing w:after="0"/>
            </w:pPr>
            <w:r/>
            <w:r>
              <w:rPr>
                <w:rFonts w:ascii="Aptos" w:hAnsi="Aptos"/>
                <w:b w:val="0"/>
                <w:sz w:val="15"/>
              </w:rPr>
              <w:t>4</w:t>
            </w:r>
          </w:p>
        </w:tc>
        <w:tc>
          <w:tcPr>
            <w:tcW w:type="dxa" w:w="1728"/>
            <w:vAlign w:val="center"/>
            <w:shd w:fill="F1F6F8"/>
          </w:tcPr>
          <w:p>
            <w:pPr>
              <w:spacing w:after="0"/>
            </w:pPr>
            <w:r/>
            <w:r>
              <w:rPr>
                <w:rFonts w:ascii="Aptos" w:hAnsi="Aptos"/>
                <w:b w:val="0"/>
                <w:sz w:val="15"/>
              </w:rPr>
              <w:t>12 Medium</w:t>
            </w:r>
          </w:p>
        </w:tc>
        <w:tc>
          <w:tcPr>
            <w:tcW w:type="dxa" w:w="2088"/>
            <w:vAlign w:val="center"/>
            <w:shd w:fill="F1F6F8"/>
          </w:tcPr>
          <w:p>
            <w:pPr>
              <w:spacing w:after="0"/>
            </w:pPr>
            <w:r/>
            <w:r>
              <w:rPr>
                <w:rFonts w:ascii="Aptos" w:hAnsi="Aptos"/>
                <w:b w:val="0"/>
                <w:sz w:val="15"/>
              </w:rPr>
              <w:t>60 days</w:t>
            </w:r>
          </w:p>
        </w:tc>
      </w:tr>
    </w:tbl>
    <w:p>
      <w:pPr>
        <w:spacing w:after="0"/>
      </w:pPr>
    </w:p>
    <w:p>
      <w:r>
        <w:t>Prioritization should be revisited after validation. If a finding is not present, close it with evidence. If a new critical weakness is discovered, add it to the register and escalate through the agreed process.</w:t>
      </w:r>
    </w:p>
    <w:p>
      <w:pPr>
        <w:pStyle w:val="Heading1"/>
      </w:pPr>
      <w:r>
        <w:t>8. Remediation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1512"/>
            <w:vAlign w:val="center"/>
            <w:shd w:fill="163A5F"/>
          </w:tcPr>
          <w:p>
            <w:pPr>
              <w:spacing w:after="0"/>
            </w:pPr>
            <w:r/>
            <w:r>
              <w:rPr>
                <w:rFonts w:ascii="Aptos" w:hAnsi="Aptos"/>
                <w:b/>
                <w:color w:val="FFFFFF"/>
                <w:sz w:val="16"/>
              </w:rPr>
              <w:t>Timeframe</w:t>
            </w:r>
          </w:p>
        </w:tc>
        <w:tc>
          <w:tcPr>
            <w:tcW w:type="dxa" w:w="5760"/>
            <w:vAlign w:val="center"/>
            <w:shd w:fill="163A5F"/>
          </w:tcPr>
          <w:p>
            <w:pPr>
              <w:spacing w:after="0"/>
            </w:pPr>
            <w:r/>
            <w:r>
              <w:rPr>
                <w:rFonts w:ascii="Aptos" w:hAnsi="Aptos"/>
                <w:b/>
                <w:color w:val="FFFFFF"/>
                <w:sz w:val="16"/>
              </w:rPr>
              <w:t>Priority actions</w:t>
            </w:r>
          </w:p>
        </w:tc>
        <w:tc>
          <w:tcPr>
            <w:tcW w:type="dxa" w:w="2880"/>
            <w:vAlign w:val="center"/>
            <w:shd w:fill="163A5F"/>
          </w:tcPr>
          <w:p>
            <w:pPr>
              <w:spacing w:after="0"/>
            </w:pPr>
            <w:r/>
            <w:r>
              <w:rPr>
                <w:rFonts w:ascii="Aptos" w:hAnsi="Aptos"/>
                <w:b/>
                <w:color w:val="FFFFFF"/>
                <w:sz w:val="16"/>
              </w:rPr>
              <w:t>Evidence of completion</w:t>
            </w:r>
          </w:p>
        </w:tc>
      </w:tr>
      <w:tr>
        <w:tc>
          <w:tcPr>
            <w:tcW w:type="dxa" w:w="1512"/>
            <w:vAlign w:val="center"/>
          </w:tcPr>
          <w:p>
            <w:pPr>
              <w:spacing w:after="0"/>
            </w:pPr>
            <w:r/>
            <w:r>
              <w:rPr>
                <w:rFonts w:ascii="Aptos" w:hAnsi="Aptos"/>
                <w:b w:val="0"/>
                <w:sz w:val="15"/>
              </w:rPr>
              <w:t>0–7 days</w:t>
            </w:r>
          </w:p>
        </w:tc>
        <w:tc>
          <w:tcPr>
            <w:tcW w:type="dxa" w:w="5760"/>
            <w:vAlign w:val="center"/>
          </w:tcPr>
          <w:p>
            <w:pPr>
              <w:spacing w:after="0"/>
            </w:pPr>
            <w:r/>
            <w:r>
              <w:rPr>
                <w:rFonts w:ascii="Aptos" w:hAnsi="Aptos"/>
                <w:b w:val="0"/>
                <w:sz w:val="15"/>
              </w:rPr>
              <w:t>Validate MFA coverage and exposed assets; triage critical vulnerabilities; restrict confirmed dangerous exposure; confirm backup protection.</w:t>
            </w:r>
          </w:p>
        </w:tc>
        <w:tc>
          <w:tcPr>
            <w:tcW w:type="dxa" w:w="2880"/>
            <w:vAlign w:val="center"/>
          </w:tcPr>
          <w:p>
            <w:pPr>
              <w:spacing w:after="0"/>
            </w:pPr>
            <w:r/>
            <w:r>
              <w:rPr>
                <w:rFonts w:ascii="Aptos" w:hAnsi="Aptos"/>
                <w:b w:val="0"/>
                <w:sz w:val="15"/>
              </w:rPr>
              <w:t>Asset and MFA reports; change records; documented risk decisions</w:t>
            </w:r>
          </w:p>
        </w:tc>
      </w:tr>
      <w:tr>
        <w:tc>
          <w:tcPr>
            <w:tcW w:type="dxa" w:w="1512"/>
            <w:vAlign w:val="center"/>
            <w:shd w:fill="F1F6F8"/>
          </w:tcPr>
          <w:p>
            <w:pPr>
              <w:spacing w:after="0"/>
            </w:pPr>
            <w:r/>
            <w:r>
              <w:rPr>
                <w:rFonts w:ascii="Aptos" w:hAnsi="Aptos"/>
                <w:b w:val="0"/>
                <w:sz w:val="15"/>
              </w:rPr>
              <w:t>8–14 days</w:t>
            </w:r>
          </w:p>
        </w:tc>
        <w:tc>
          <w:tcPr>
            <w:tcW w:type="dxa" w:w="5760"/>
            <w:vAlign w:val="center"/>
            <w:shd w:fill="F1F6F8"/>
          </w:tcPr>
          <w:p>
            <w:pPr>
              <w:spacing w:after="0"/>
            </w:pPr>
            <w:r/>
            <w:r>
              <w:rPr>
                <w:rFonts w:ascii="Aptos" w:hAnsi="Aptos"/>
                <w:b w:val="0"/>
                <w:sz w:val="15"/>
              </w:rPr>
              <w:t>Remove high-risk excess privileges; apply urgent patches; secure administrator accounts and backup administration.</w:t>
            </w:r>
          </w:p>
        </w:tc>
        <w:tc>
          <w:tcPr>
            <w:tcW w:type="dxa" w:w="2880"/>
            <w:vAlign w:val="center"/>
            <w:shd w:fill="F1F6F8"/>
          </w:tcPr>
          <w:p>
            <w:pPr>
              <w:spacing w:after="0"/>
            </w:pPr>
            <w:r/>
            <w:r>
              <w:rPr>
                <w:rFonts w:ascii="Aptos" w:hAnsi="Aptos"/>
                <w:b w:val="0"/>
                <w:sz w:val="15"/>
              </w:rPr>
              <w:t>Access review approvals; patch evidence; privileged account configuration</w:t>
            </w:r>
          </w:p>
        </w:tc>
      </w:tr>
      <w:tr>
        <w:tc>
          <w:tcPr>
            <w:tcW w:type="dxa" w:w="1512"/>
            <w:vAlign w:val="center"/>
          </w:tcPr>
          <w:p>
            <w:pPr>
              <w:spacing w:after="0"/>
            </w:pPr>
            <w:r/>
            <w:r>
              <w:rPr>
                <w:rFonts w:ascii="Aptos" w:hAnsi="Aptos"/>
                <w:b w:val="0"/>
                <w:sz w:val="15"/>
              </w:rPr>
              <w:t>15–30 days</w:t>
            </w:r>
          </w:p>
        </w:tc>
        <w:tc>
          <w:tcPr>
            <w:tcW w:type="dxa" w:w="5760"/>
            <w:vAlign w:val="center"/>
          </w:tcPr>
          <w:p>
            <w:pPr>
              <w:spacing w:after="0"/>
            </w:pPr>
            <w:r/>
            <w:r>
              <w:rPr>
                <w:rFonts w:ascii="Aptos" w:hAnsi="Aptos"/>
                <w:b w:val="0"/>
                <w:sz w:val="15"/>
              </w:rPr>
              <w:t>Improve endpoint patching, review cloud sharing, complete restoration test for a critical service, and define priority security alerts.</w:t>
            </w:r>
          </w:p>
        </w:tc>
        <w:tc>
          <w:tcPr>
            <w:tcW w:type="dxa" w:w="2880"/>
            <w:vAlign w:val="center"/>
          </w:tcPr>
          <w:p>
            <w:pPr>
              <w:spacing w:after="0"/>
            </w:pPr>
            <w:r/>
            <w:r>
              <w:rPr>
                <w:rFonts w:ascii="Aptos" w:hAnsi="Aptos"/>
                <w:b w:val="0"/>
                <w:sz w:val="15"/>
              </w:rPr>
              <w:t>Compliance dashboard; sharing audit; restore-test results; alert test records</w:t>
            </w:r>
          </w:p>
        </w:tc>
      </w:tr>
      <w:tr>
        <w:tc>
          <w:tcPr>
            <w:tcW w:type="dxa" w:w="1512"/>
            <w:vAlign w:val="center"/>
            <w:shd w:fill="F1F6F8"/>
          </w:tcPr>
          <w:p>
            <w:pPr>
              <w:spacing w:after="0"/>
            </w:pPr>
            <w:r/>
            <w:r>
              <w:rPr>
                <w:rFonts w:ascii="Aptos" w:hAnsi="Aptos"/>
                <w:b w:val="0"/>
                <w:sz w:val="15"/>
              </w:rPr>
              <w:t>31–60 days</w:t>
            </w:r>
          </w:p>
        </w:tc>
        <w:tc>
          <w:tcPr>
            <w:tcW w:type="dxa" w:w="5760"/>
            <w:vAlign w:val="center"/>
            <w:shd w:fill="F1F6F8"/>
          </w:tcPr>
          <w:p>
            <w:pPr>
              <w:spacing w:after="0"/>
            </w:pPr>
            <w:r/>
            <w:r>
              <w:rPr>
                <w:rFonts w:ascii="Aptos" w:hAnsi="Aptos"/>
                <w:b w:val="0"/>
                <w:sz w:val="15"/>
              </w:rPr>
              <w:t>Review network segmentation and vendor access; centralize additional logs; conduct an incident-response tabletop exercise.</w:t>
            </w:r>
          </w:p>
        </w:tc>
        <w:tc>
          <w:tcPr>
            <w:tcW w:type="dxa" w:w="2880"/>
            <w:vAlign w:val="center"/>
            <w:shd w:fill="F1F6F8"/>
          </w:tcPr>
          <w:p>
            <w:pPr>
              <w:spacing w:after="0"/>
            </w:pPr>
            <w:r/>
            <w:r>
              <w:rPr>
                <w:rFonts w:ascii="Aptos" w:hAnsi="Aptos"/>
                <w:b w:val="0"/>
                <w:sz w:val="15"/>
              </w:rPr>
              <w:t>Firewall review; vendor register; logging coverage; exercise actions</w:t>
            </w:r>
          </w:p>
        </w:tc>
      </w:tr>
      <w:tr>
        <w:tc>
          <w:tcPr>
            <w:tcW w:type="dxa" w:w="1512"/>
            <w:vAlign w:val="center"/>
          </w:tcPr>
          <w:p>
            <w:pPr>
              <w:spacing w:after="0"/>
            </w:pPr>
            <w:r/>
            <w:r>
              <w:rPr>
                <w:rFonts w:ascii="Aptos" w:hAnsi="Aptos"/>
                <w:b w:val="0"/>
                <w:sz w:val="15"/>
              </w:rPr>
              <w:t>61–90 days</w:t>
            </w:r>
          </w:p>
        </w:tc>
        <w:tc>
          <w:tcPr>
            <w:tcW w:type="dxa" w:w="5760"/>
            <w:vAlign w:val="center"/>
          </w:tcPr>
          <w:p>
            <w:pPr>
              <w:spacing w:after="0"/>
            </w:pPr>
            <w:r/>
            <w:r>
              <w:rPr>
                <w:rFonts w:ascii="Aptos" w:hAnsi="Aptos"/>
                <w:b w:val="0"/>
                <w:sz w:val="15"/>
              </w:rPr>
              <w:t>Retest remediated findings, review accepted risks, update policies and asset inventory, and schedule recurring assessment.</w:t>
            </w:r>
          </w:p>
        </w:tc>
        <w:tc>
          <w:tcPr>
            <w:tcW w:type="dxa" w:w="2880"/>
            <w:vAlign w:val="center"/>
          </w:tcPr>
          <w:p>
            <w:pPr>
              <w:spacing w:after="0"/>
            </w:pPr>
            <w:r/>
            <w:r>
              <w:rPr>
                <w:rFonts w:ascii="Aptos" w:hAnsi="Aptos"/>
                <w:b w:val="0"/>
                <w:sz w:val="15"/>
              </w:rPr>
              <w:t>Retest report; signed risk acceptance; updated inventory and review calendar</w:t>
            </w:r>
          </w:p>
        </w:tc>
      </w:tr>
    </w:tbl>
    <w:p>
      <w:pPr>
        <w:spacing w:after="0"/>
      </w:pPr>
    </w:p>
    <w:p>
      <w:pPr>
        <w:pStyle w:val="Heading1"/>
      </w:pPr>
      <w:r>
        <w:t>9. Validation and Retesting</w:t>
      </w:r>
    </w:p>
    <w:p>
      <w:r>
        <w:t>A finding should not be marked resolved solely because a change was requested. The owner should provide evidence and the assessor should validate the outcome.</w:t>
      </w:r>
    </w:p>
    <w:p>
      <w:pPr>
        <w:pStyle w:val="ListBullet"/>
        <w:spacing w:after="40"/>
      </w:pPr>
      <w:r>
        <w:t>Re-run the relevant approved scan or configuration check after the fix.</w:t>
      </w:r>
    </w:p>
    <w:p>
      <w:pPr>
        <w:pStyle w:val="ListBullet"/>
        <w:spacing w:after="40"/>
      </w:pPr>
      <w:r>
        <w:t>Confirm the affected asset and software version match the original finding.</w:t>
      </w:r>
    </w:p>
    <w:p>
      <w:pPr>
        <w:pStyle w:val="ListBullet"/>
        <w:spacing w:after="40"/>
      </w:pPr>
      <w:r>
        <w:t>Check that the fix did not create a new availability or compatibility problem.</w:t>
      </w:r>
    </w:p>
    <w:p>
      <w:pPr>
        <w:pStyle w:val="ListBullet"/>
        <w:spacing w:after="40"/>
      </w:pPr>
      <w:r>
        <w:t>Record the retest date, result, evidence, and any remaining exposure.</w:t>
      </w:r>
    </w:p>
    <w:p>
      <w:pPr>
        <w:pStyle w:val="ListBullet"/>
        <w:spacing w:after="40"/>
      </w:pPr>
      <w:r>
        <w:t>If remediation is delayed, document the reason, compensating controls, accountable risk owner, and review date.</w:t>
      </w:r>
    </w:p>
    <w:p>
      <w:pPr>
        <w:pStyle w:val="Heading1"/>
      </w:pPr>
      <w:r>
        <w:t>10. Governance, Roles, and Responsibilities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63A5F"/>
          </w:tcPr>
          <w:p>
            <w:pPr>
              <w:spacing w:after="0"/>
            </w:pPr>
            <w:r/>
            <w:r>
              <w:rPr>
                <w:rFonts w:ascii="Aptos" w:hAnsi="Aptos"/>
                <w:b/>
                <w:color w:val="FFFFFF"/>
                <w:sz w:val="16"/>
              </w:rPr>
              <w:t>Role</w:t>
            </w:r>
          </w:p>
        </w:tc>
        <w:tc>
          <w:tcPr>
            <w:tcW w:type="dxa" w:w="7776"/>
            <w:vAlign w:val="center"/>
            <w:shd w:fill="163A5F"/>
          </w:tcPr>
          <w:p>
            <w:pPr>
              <w:spacing w:after="0"/>
            </w:pPr>
            <w:r/>
            <w:r>
              <w:rPr>
                <w:rFonts w:ascii="Aptos" w:hAnsi="Aptos"/>
                <w:b/>
                <w:color w:val="FFFFFF"/>
                <w:sz w:val="16"/>
              </w:rPr>
              <w:t>Responsibility</w:t>
            </w:r>
          </w:p>
        </w:tc>
      </w:tr>
      <w:tr>
        <w:tc>
          <w:tcPr>
            <w:tcW w:type="dxa" w:w="2592"/>
            <w:vAlign w:val="center"/>
          </w:tcPr>
          <w:p>
            <w:pPr>
              <w:spacing w:after="0"/>
            </w:pPr>
            <w:r/>
            <w:r>
              <w:rPr>
                <w:rFonts w:ascii="Aptos" w:hAnsi="Aptos"/>
                <w:b w:val="0"/>
                <w:sz w:val="15"/>
              </w:rPr>
              <w:t>Executive sponsor</w:t>
            </w:r>
          </w:p>
        </w:tc>
        <w:tc>
          <w:tcPr>
            <w:tcW w:type="dxa" w:w="7776"/>
            <w:vAlign w:val="center"/>
          </w:tcPr>
          <w:p>
            <w:pPr>
              <w:spacing w:after="0"/>
            </w:pPr>
            <w:r/>
            <w:r>
              <w:rPr>
                <w:rFonts w:ascii="Aptos" w:hAnsi="Aptos"/>
                <w:b w:val="0"/>
                <w:sz w:val="15"/>
              </w:rPr>
              <w:t>Approve scope and resources; resolve major risk decisions; accept or reject residual risk at the appropriate level.</w:t>
            </w:r>
          </w:p>
        </w:tc>
      </w:tr>
      <w:tr>
        <w:tc>
          <w:tcPr>
            <w:tcW w:type="dxa" w:w="2592"/>
            <w:vAlign w:val="center"/>
            <w:shd w:fill="F1F6F8"/>
          </w:tcPr>
          <w:p>
            <w:pPr>
              <w:spacing w:after="0"/>
            </w:pPr>
            <w:r/>
            <w:r>
              <w:rPr>
                <w:rFonts w:ascii="Aptos" w:hAnsi="Aptos"/>
                <w:b w:val="0"/>
                <w:sz w:val="15"/>
              </w:rPr>
              <w:t>Assessment lead</w:t>
            </w:r>
          </w:p>
        </w:tc>
        <w:tc>
          <w:tcPr>
            <w:tcW w:type="dxa" w:w="7776"/>
            <w:vAlign w:val="center"/>
            <w:shd w:fill="F1F6F8"/>
          </w:tcPr>
          <w:p>
            <w:pPr>
              <w:spacing w:after="0"/>
            </w:pPr>
            <w:r/>
            <w:r>
              <w:rPr>
                <w:rFonts w:ascii="Aptos" w:hAnsi="Aptos"/>
                <w:b w:val="0"/>
                <w:sz w:val="15"/>
              </w:rPr>
              <w:t>Coordinate evidence gathering, maintain the risk register, distinguish assumptions from verified findings, and prepare the report.</w:t>
            </w:r>
          </w:p>
        </w:tc>
      </w:tr>
      <w:tr>
        <w:tc>
          <w:tcPr>
            <w:tcW w:type="dxa" w:w="2592"/>
            <w:vAlign w:val="center"/>
          </w:tcPr>
          <w:p>
            <w:pPr>
              <w:spacing w:after="0"/>
            </w:pPr>
            <w:r/>
            <w:r>
              <w:rPr>
                <w:rFonts w:ascii="Aptos" w:hAnsi="Aptos"/>
                <w:b w:val="0"/>
                <w:sz w:val="15"/>
              </w:rPr>
              <w:t>IT / system owners</w:t>
            </w:r>
          </w:p>
        </w:tc>
        <w:tc>
          <w:tcPr>
            <w:tcW w:type="dxa" w:w="7776"/>
            <w:vAlign w:val="center"/>
          </w:tcPr>
          <w:p>
            <w:pPr>
              <w:spacing w:after="0"/>
            </w:pPr>
            <w:r/>
            <w:r>
              <w:rPr>
                <w:rFonts w:ascii="Aptos" w:hAnsi="Aptos"/>
                <w:b w:val="0"/>
                <w:sz w:val="15"/>
              </w:rPr>
              <w:t>Provide approved inventory and configuration evidence, implement fixes, and maintain change records.</w:t>
            </w:r>
          </w:p>
        </w:tc>
      </w:tr>
      <w:tr>
        <w:tc>
          <w:tcPr>
            <w:tcW w:type="dxa" w:w="2592"/>
            <w:vAlign w:val="center"/>
            <w:shd w:fill="F1F6F8"/>
          </w:tcPr>
          <w:p>
            <w:pPr>
              <w:spacing w:after="0"/>
            </w:pPr>
            <w:r/>
            <w:r>
              <w:rPr>
                <w:rFonts w:ascii="Aptos" w:hAnsi="Aptos"/>
                <w:b w:val="0"/>
                <w:sz w:val="15"/>
              </w:rPr>
              <w:t>Security team</w:t>
            </w:r>
          </w:p>
        </w:tc>
        <w:tc>
          <w:tcPr>
            <w:tcW w:type="dxa" w:w="7776"/>
            <w:vAlign w:val="center"/>
            <w:shd w:fill="F1F6F8"/>
          </w:tcPr>
          <w:p>
            <w:pPr>
              <w:spacing w:after="0"/>
            </w:pPr>
            <w:r/>
            <w:r>
              <w:rPr>
                <w:rFonts w:ascii="Aptos" w:hAnsi="Aptos"/>
                <w:b w:val="0"/>
                <w:sz w:val="15"/>
              </w:rPr>
              <w:t>Validate technical risk, advise on containment, review logs, and retest remediation.</w:t>
            </w:r>
          </w:p>
        </w:tc>
      </w:tr>
      <w:tr>
        <w:tc>
          <w:tcPr>
            <w:tcW w:type="dxa" w:w="2592"/>
            <w:vAlign w:val="center"/>
          </w:tcPr>
          <w:p>
            <w:pPr>
              <w:spacing w:after="0"/>
            </w:pPr>
            <w:r/>
            <w:r>
              <w:rPr>
                <w:rFonts w:ascii="Aptos" w:hAnsi="Aptos"/>
                <w:b w:val="0"/>
                <w:sz w:val="15"/>
              </w:rPr>
              <w:t>Data and business owners</w:t>
            </w:r>
          </w:p>
        </w:tc>
        <w:tc>
          <w:tcPr>
            <w:tcW w:type="dxa" w:w="7776"/>
            <w:vAlign w:val="center"/>
          </w:tcPr>
          <w:p>
            <w:pPr>
              <w:spacing w:after="0"/>
            </w:pPr>
            <w:r/>
            <w:r>
              <w:rPr>
                <w:rFonts w:ascii="Aptos" w:hAnsi="Aptos"/>
                <w:b w:val="0"/>
                <w:sz w:val="15"/>
              </w:rPr>
              <w:t>Identify critical information and services, assess business impact, and prioritize recovery requirements.</w:t>
            </w:r>
          </w:p>
        </w:tc>
      </w:tr>
      <w:tr>
        <w:tc>
          <w:tcPr>
            <w:tcW w:type="dxa" w:w="2592"/>
            <w:vAlign w:val="center"/>
            <w:shd w:fill="F1F6F8"/>
          </w:tcPr>
          <w:p>
            <w:pPr>
              <w:spacing w:after="0"/>
            </w:pPr>
            <w:r/>
            <w:r>
              <w:rPr>
                <w:rFonts w:ascii="Aptos" w:hAnsi="Aptos"/>
                <w:b w:val="0"/>
                <w:sz w:val="15"/>
              </w:rPr>
              <w:t>HR / vendor management / legal as appropriate</w:t>
            </w:r>
          </w:p>
        </w:tc>
        <w:tc>
          <w:tcPr>
            <w:tcW w:type="dxa" w:w="7776"/>
            <w:vAlign w:val="center"/>
            <w:shd w:fill="F1F6F8"/>
          </w:tcPr>
          <w:p>
            <w:pPr>
              <w:spacing w:after="0"/>
            </w:pPr>
            <w:r/>
            <w:r>
              <w:rPr>
                <w:rFonts w:ascii="Aptos" w:hAnsi="Aptos"/>
                <w:b w:val="0"/>
                <w:sz w:val="15"/>
              </w:rPr>
              <w:t>Support access lifecycle, third-party requirements, and incident or privacy obligations.</w:t>
            </w:r>
          </w:p>
        </w:tc>
      </w:tr>
    </w:tbl>
    <w:p>
      <w:pPr>
        <w:spacing w:after="0"/>
      </w:pPr>
    </w:p>
    <w:p>
      <w:pPr>
        <w:pStyle w:val="Heading1"/>
      </w:pPr>
      <w:r>
        <w:t>11. Limitations and Ethical Considerations</w:t>
      </w:r>
    </w:p>
    <w:p>
      <w:pPr>
        <w:pStyle w:val="ListBullet"/>
        <w:spacing w:after="40"/>
      </w:pPr>
      <w:r>
        <w:t>This report is an illustrative planning document; no real assets were scanned, accessed, or tested.</w:t>
      </w:r>
    </w:p>
    <w:p>
      <w:pPr>
        <w:pStyle w:val="ListBullet"/>
        <w:spacing w:after="40"/>
      </w:pPr>
      <w:r>
        <w:t>All findings are hypothetical and must be confirmed or rejected using evidence from the actual environment.</w:t>
      </w:r>
    </w:p>
    <w:p>
      <w:pPr>
        <w:pStyle w:val="ListBullet"/>
        <w:spacing w:after="40"/>
      </w:pPr>
      <w:r>
        <w:t>A scanner alone cannot determine business risk; asset criticality, exploitability, exposure, and compensating controls matter.</w:t>
      </w:r>
    </w:p>
    <w:p>
      <w:pPr>
        <w:pStyle w:val="ListBullet"/>
        <w:spacing w:after="40"/>
      </w:pPr>
      <w:r>
        <w:t>Testing must be authorized, proportionate, non-destructive, and limited to approved systems.</w:t>
      </w:r>
    </w:p>
    <w:p>
      <w:pPr>
        <w:pStyle w:val="ListBullet"/>
        <w:spacing w:after="40"/>
      </w:pPr>
      <w:r>
        <w:t>Credentials, logs, configuration exports, and evidence should be handled securely and shared only with authorized personnel.</w:t>
      </w:r>
    </w:p>
    <w:p>
      <w:pPr>
        <w:pStyle w:val="ListBullet"/>
        <w:spacing w:after="40"/>
      </w:pPr>
      <w:r>
        <w:t>The organization should follow applicable privacy, contractual, and regulatory obligations when conducting a real assessment.</w:t>
      </w:r>
    </w:p>
    <w:p>
      <w:pPr>
        <w:pStyle w:val="Heading1"/>
      </w:pPr>
      <w:r>
        <w:t>12. Conclusion</w:t>
      </w:r>
    </w:p>
    <w:p>
      <w:r>
        <w:t>This report provides Northstar Services with a practical framework for identifying, prioritizing, and remediating potential weaknesses across identity, endpoints, servers, cloud services, networks, backups, and security operations. The most important next step is to validate the illustrative scenarios using an authorized, evidence-based assessment. Confirmed critical and high-risk issues should be addressed according to business exposure, while medium-risk issues should receive clear owners and deadlines. Regular retesting, asset inventory maintenance, access reviews, patching, backup recovery exercises, and incident-response practice will help sustain improvements over time.</w:t>
      </w:r>
    </w:p>
    <w:p>
      <w:pPr>
        <w:pStyle w:val="Heading1"/>
      </w:pPr>
      <w:r>
        <w:t>Appendix A: Evidence Collection Checklist</w:t>
      </w:r>
    </w:p>
    <w:p>
      <w:pPr>
        <w:spacing w:after="40"/>
      </w:pPr>
      <w:r>
        <w:t>☐  Approved asset inventory and network/cloud diagrams received.</w:t>
      </w:r>
    </w:p>
    <w:p>
      <w:pPr>
        <w:spacing w:after="40"/>
      </w:pPr>
      <w:r>
        <w:t>☐  System and business owners identified.</w:t>
      </w:r>
    </w:p>
    <w:p>
      <w:pPr>
        <w:spacing w:after="40"/>
      </w:pPr>
      <w:r>
        <w:t>☐  Written scope, authorization, test window, and escalation contacts confirmed.</w:t>
      </w:r>
    </w:p>
    <w:p>
      <w:pPr>
        <w:spacing w:after="40"/>
      </w:pPr>
      <w:r>
        <w:t>☐  Patch status and supported software versions reviewed.</w:t>
      </w:r>
    </w:p>
    <w:p>
      <w:pPr>
        <w:spacing w:after="40"/>
      </w:pPr>
      <w:r>
        <w:t>☐  MFA coverage and privileged access settings reviewed.</w:t>
      </w:r>
    </w:p>
    <w:p>
      <w:pPr>
        <w:spacing w:after="40"/>
      </w:pPr>
      <w:r>
        <w:t>☐  External exposure and firewall rules reviewed through approved methods.</w:t>
      </w:r>
    </w:p>
    <w:p>
      <w:pPr>
        <w:spacing w:after="40"/>
      </w:pPr>
      <w:r>
        <w:t>☐  Cloud sharing and audit logging configurations reviewed.</w:t>
      </w:r>
    </w:p>
    <w:p>
      <w:pPr>
        <w:spacing w:after="40"/>
      </w:pPr>
      <w:r>
        <w:t>☐  Backup isolation and restoration test evidence reviewed.</w:t>
      </w:r>
    </w:p>
    <w:p>
      <w:pPr>
        <w:spacing w:after="40"/>
      </w:pPr>
      <w:r>
        <w:t>☐  Endpoint security and centralized logging coverage reviewed.</w:t>
      </w:r>
    </w:p>
    <w:p>
      <w:pPr>
        <w:spacing w:after="40"/>
      </w:pPr>
      <w:r>
        <w:t>☐  Findings assigned owners, risk ratings, remediation dates, and retest criteria.</w:t>
      </w:r>
    </w:p>
    <w:p>
      <w:pPr>
        <w:pStyle w:val="Heading1"/>
      </w:pPr>
      <w:r>
        <w:t>Appendix B: Estimated Project Effort (32 Hours)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63A5F"/>
          </w:tcPr>
          <w:p>
            <w:pPr>
              <w:spacing w:after="0"/>
            </w:pPr>
            <w:r/>
            <w:r>
              <w:rPr>
                <w:rFonts w:ascii="Aptos" w:hAnsi="Aptos"/>
                <w:b/>
                <w:color w:val="FFFFFF"/>
                <w:sz w:val="16"/>
              </w:rPr>
              <w:t>Work package</w:t>
            </w:r>
          </w:p>
        </w:tc>
        <w:tc>
          <w:tcPr>
            <w:tcW w:type="dxa" w:w="7056"/>
            <w:vAlign w:val="center"/>
            <w:shd w:fill="163A5F"/>
          </w:tcPr>
          <w:p>
            <w:pPr>
              <w:spacing w:after="0"/>
            </w:pPr>
            <w:r/>
            <w:r>
              <w:rPr>
                <w:rFonts w:ascii="Aptos" w:hAnsi="Aptos"/>
                <w:b/>
                <w:color w:val="FFFFFF"/>
                <w:sz w:val="16"/>
              </w:rPr>
              <w:t>Activities</w:t>
            </w:r>
          </w:p>
        </w:tc>
        <w:tc>
          <w:tcPr>
            <w:tcW w:type="dxa" w:w="1008"/>
            <w:vAlign w:val="center"/>
            <w:shd w:fill="163A5F"/>
          </w:tcPr>
          <w:p>
            <w:pPr>
              <w:spacing w:after="0"/>
            </w:pPr>
            <w:r/>
            <w:r>
              <w:rPr>
                <w:rFonts w:ascii="Aptos" w:hAnsi="Aptos"/>
                <w:b/>
                <w:color w:val="FFFFFF"/>
                <w:sz w:val="16"/>
              </w:rPr>
              <w:t>Hours</w:t>
            </w:r>
          </w:p>
        </w:tc>
      </w:tr>
      <w:tr>
        <w:tc>
          <w:tcPr>
            <w:tcW w:type="dxa" w:w="2304"/>
            <w:vAlign w:val="center"/>
          </w:tcPr>
          <w:p>
            <w:pPr>
              <w:spacing w:after="0"/>
            </w:pPr>
            <w:r/>
            <w:r>
              <w:rPr>
                <w:rFonts w:ascii="Aptos" w:hAnsi="Aptos"/>
                <w:b w:val="0"/>
                <w:sz w:val="15"/>
              </w:rPr>
              <w:t>Planning and scope</w:t>
            </w:r>
          </w:p>
        </w:tc>
        <w:tc>
          <w:tcPr>
            <w:tcW w:type="dxa" w:w="7056"/>
            <w:vAlign w:val="center"/>
          </w:tcPr>
          <w:p>
            <w:pPr>
              <w:spacing w:after="0"/>
            </w:pPr>
            <w:r/>
            <w:r>
              <w:rPr>
                <w:rFonts w:ascii="Aptos" w:hAnsi="Aptos"/>
                <w:b w:val="0"/>
                <w:sz w:val="15"/>
              </w:rPr>
              <w:t>Define hypothetical environment, scope, assumptions, and rules of engagement.</w:t>
            </w:r>
          </w:p>
        </w:tc>
        <w:tc>
          <w:tcPr>
            <w:tcW w:type="dxa" w:w="1008"/>
            <w:vAlign w:val="center"/>
          </w:tcPr>
          <w:p>
            <w:pPr>
              <w:spacing w:after="0"/>
            </w:pPr>
            <w:r/>
            <w:r>
              <w:rPr>
                <w:rFonts w:ascii="Aptos" w:hAnsi="Aptos"/>
                <w:b w:val="0"/>
                <w:sz w:val="15"/>
              </w:rPr>
              <w:t>4</w:t>
            </w:r>
          </w:p>
        </w:tc>
      </w:tr>
      <w:tr>
        <w:tc>
          <w:tcPr>
            <w:tcW w:type="dxa" w:w="2304"/>
            <w:vAlign w:val="center"/>
            <w:shd w:fill="F1F6F8"/>
          </w:tcPr>
          <w:p>
            <w:pPr>
              <w:spacing w:after="0"/>
            </w:pPr>
            <w:r/>
            <w:r>
              <w:rPr>
                <w:rFonts w:ascii="Aptos" w:hAnsi="Aptos"/>
                <w:b w:val="0"/>
                <w:sz w:val="15"/>
              </w:rPr>
              <w:t>Asset and threat review</w:t>
            </w:r>
          </w:p>
        </w:tc>
        <w:tc>
          <w:tcPr>
            <w:tcW w:type="dxa" w:w="7056"/>
            <w:vAlign w:val="center"/>
            <w:shd w:fill="F1F6F8"/>
          </w:tcPr>
          <w:p>
            <w:pPr>
              <w:spacing w:after="0"/>
            </w:pPr>
            <w:r/>
            <w:r>
              <w:rPr>
                <w:rFonts w:ascii="Aptos" w:hAnsi="Aptos"/>
                <w:b w:val="0"/>
                <w:sz w:val="15"/>
              </w:rPr>
              <w:t>Map asset groups, data sensitivity, and likely attack paths.</w:t>
            </w:r>
          </w:p>
        </w:tc>
        <w:tc>
          <w:tcPr>
            <w:tcW w:type="dxa" w:w="1008"/>
            <w:vAlign w:val="center"/>
            <w:shd w:fill="F1F6F8"/>
          </w:tcPr>
          <w:p>
            <w:pPr>
              <w:spacing w:after="0"/>
            </w:pPr>
            <w:r/>
            <w:r>
              <w:rPr>
                <w:rFonts w:ascii="Aptos" w:hAnsi="Aptos"/>
                <w:b w:val="0"/>
                <w:sz w:val="15"/>
              </w:rPr>
              <w:t>4</w:t>
            </w:r>
          </w:p>
        </w:tc>
      </w:tr>
      <w:tr>
        <w:tc>
          <w:tcPr>
            <w:tcW w:type="dxa" w:w="2304"/>
            <w:vAlign w:val="center"/>
          </w:tcPr>
          <w:p>
            <w:pPr>
              <w:spacing w:after="0"/>
            </w:pPr>
            <w:r/>
            <w:r>
              <w:rPr>
                <w:rFonts w:ascii="Aptos" w:hAnsi="Aptos"/>
                <w:b w:val="0"/>
                <w:sz w:val="15"/>
              </w:rPr>
              <w:t>Vulnerability identification</w:t>
            </w:r>
          </w:p>
        </w:tc>
        <w:tc>
          <w:tcPr>
            <w:tcW w:type="dxa" w:w="7056"/>
            <w:vAlign w:val="center"/>
          </w:tcPr>
          <w:p>
            <w:pPr>
              <w:spacing w:after="0"/>
            </w:pPr>
            <w:r/>
            <w:r>
              <w:rPr>
                <w:rFonts w:ascii="Aptos" w:hAnsi="Aptos"/>
                <w:b w:val="0"/>
                <w:sz w:val="15"/>
              </w:rPr>
              <w:t>Develop and classify plausible technical and process weaknesses.</w:t>
            </w:r>
          </w:p>
        </w:tc>
        <w:tc>
          <w:tcPr>
            <w:tcW w:type="dxa" w:w="1008"/>
            <w:vAlign w:val="center"/>
          </w:tcPr>
          <w:p>
            <w:pPr>
              <w:spacing w:after="0"/>
            </w:pPr>
            <w:r/>
            <w:r>
              <w:rPr>
                <w:rFonts w:ascii="Aptos" w:hAnsi="Aptos"/>
                <w:b w:val="0"/>
                <w:sz w:val="15"/>
              </w:rPr>
              <w:t>6</w:t>
            </w:r>
          </w:p>
        </w:tc>
      </w:tr>
      <w:tr>
        <w:tc>
          <w:tcPr>
            <w:tcW w:type="dxa" w:w="2304"/>
            <w:vAlign w:val="center"/>
            <w:shd w:fill="F1F6F8"/>
          </w:tcPr>
          <w:p>
            <w:pPr>
              <w:spacing w:after="0"/>
            </w:pPr>
            <w:r/>
            <w:r>
              <w:rPr>
                <w:rFonts w:ascii="Aptos" w:hAnsi="Aptos"/>
                <w:b w:val="0"/>
                <w:sz w:val="15"/>
              </w:rPr>
              <w:t>Risk analysis</w:t>
            </w:r>
          </w:p>
        </w:tc>
        <w:tc>
          <w:tcPr>
            <w:tcW w:type="dxa" w:w="7056"/>
            <w:vAlign w:val="center"/>
            <w:shd w:fill="F1F6F8"/>
          </w:tcPr>
          <w:p>
            <w:pPr>
              <w:spacing w:after="0"/>
            </w:pPr>
            <w:r/>
            <w:r>
              <w:rPr>
                <w:rFonts w:ascii="Aptos" w:hAnsi="Aptos"/>
                <w:b w:val="0"/>
                <w:sz w:val="15"/>
              </w:rPr>
              <w:t>Score likelihood and impact; consider business consequences and existing controls.</w:t>
            </w:r>
          </w:p>
        </w:tc>
        <w:tc>
          <w:tcPr>
            <w:tcW w:type="dxa" w:w="1008"/>
            <w:vAlign w:val="center"/>
            <w:shd w:fill="F1F6F8"/>
          </w:tcPr>
          <w:p>
            <w:pPr>
              <w:spacing w:after="0"/>
            </w:pPr>
            <w:r/>
            <w:r>
              <w:rPr>
                <w:rFonts w:ascii="Aptos" w:hAnsi="Aptos"/>
                <w:b w:val="0"/>
                <w:sz w:val="15"/>
              </w:rPr>
              <w:t>5</w:t>
            </w:r>
          </w:p>
        </w:tc>
      </w:tr>
      <w:tr>
        <w:tc>
          <w:tcPr>
            <w:tcW w:type="dxa" w:w="2304"/>
            <w:vAlign w:val="center"/>
          </w:tcPr>
          <w:p>
            <w:pPr>
              <w:spacing w:after="0"/>
            </w:pPr>
            <w:r/>
            <w:r>
              <w:rPr>
                <w:rFonts w:ascii="Aptos" w:hAnsi="Aptos"/>
                <w:b w:val="0"/>
                <w:sz w:val="15"/>
              </w:rPr>
              <w:t>Mitigation planning</w:t>
            </w:r>
          </w:p>
        </w:tc>
        <w:tc>
          <w:tcPr>
            <w:tcW w:type="dxa" w:w="7056"/>
            <w:vAlign w:val="center"/>
          </w:tcPr>
          <w:p>
            <w:pPr>
              <w:spacing w:after="0"/>
            </w:pPr>
            <w:r/>
            <w:r>
              <w:rPr>
                <w:rFonts w:ascii="Aptos" w:hAnsi="Aptos"/>
                <w:b w:val="0"/>
                <w:sz w:val="15"/>
              </w:rPr>
              <w:t>Create recommendations, owners, timeframes, and roadmap.</w:t>
            </w:r>
          </w:p>
        </w:tc>
        <w:tc>
          <w:tcPr>
            <w:tcW w:type="dxa" w:w="1008"/>
            <w:vAlign w:val="center"/>
          </w:tcPr>
          <w:p>
            <w:pPr>
              <w:spacing w:after="0"/>
            </w:pPr>
            <w:r/>
            <w:r>
              <w:rPr>
                <w:rFonts w:ascii="Aptos" w:hAnsi="Aptos"/>
                <w:b w:val="0"/>
                <w:sz w:val="15"/>
              </w:rPr>
              <w:t>5</w:t>
            </w:r>
          </w:p>
        </w:tc>
      </w:tr>
      <w:tr>
        <w:tc>
          <w:tcPr>
            <w:tcW w:type="dxa" w:w="2304"/>
            <w:vAlign w:val="center"/>
            <w:shd w:fill="F1F6F8"/>
          </w:tcPr>
          <w:p>
            <w:pPr>
              <w:spacing w:after="0"/>
            </w:pPr>
            <w:r/>
            <w:r>
              <w:rPr>
                <w:rFonts w:ascii="Aptos" w:hAnsi="Aptos"/>
                <w:b w:val="0"/>
                <w:sz w:val="15"/>
              </w:rPr>
              <w:t>Report writing</w:t>
            </w:r>
          </w:p>
        </w:tc>
        <w:tc>
          <w:tcPr>
            <w:tcW w:type="dxa" w:w="7056"/>
            <w:vAlign w:val="center"/>
            <w:shd w:fill="F1F6F8"/>
          </w:tcPr>
          <w:p>
            <w:pPr>
              <w:spacing w:after="0"/>
            </w:pPr>
            <w:r/>
            <w:r>
              <w:rPr>
                <w:rFonts w:ascii="Aptos" w:hAnsi="Aptos"/>
                <w:b w:val="0"/>
                <w:sz w:val="15"/>
              </w:rPr>
              <w:t>Prepare findings, summary, limitations, governance, and appendices.</w:t>
            </w:r>
          </w:p>
        </w:tc>
        <w:tc>
          <w:tcPr>
            <w:tcW w:type="dxa" w:w="1008"/>
            <w:vAlign w:val="center"/>
            <w:shd w:fill="F1F6F8"/>
          </w:tcPr>
          <w:p>
            <w:pPr>
              <w:spacing w:after="0"/>
            </w:pPr>
            <w:r/>
            <w:r>
              <w:rPr>
                <w:rFonts w:ascii="Aptos" w:hAnsi="Aptos"/>
                <w:b w:val="0"/>
                <w:sz w:val="15"/>
              </w:rPr>
              <w:t>5</w:t>
            </w:r>
          </w:p>
        </w:tc>
      </w:tr>
      <w:tr>
        <w:tc>
          <w:tcPr>
            <w:tcW w:type="dxa" w:w="2304"/>
            <w:vAlign w:val="center"/>
          </w:tcPr>
          <w:p>
            <w:pPr>
              <w:spacing w:after="0"/>
            </w:pPr>
            <w:r/>
            <w:r>
              <w:rPr>
                <w:rFonts w:ascii="Aptos" w:hAnsi="Aptos"/>
                <w:b w:val="0"/>
                <w:sz w:val="15"/>
              </w:rPr>
              <w:t>Quality review</w:t>
            </w:r>
          </w:p>
        </w:tc>
        <w:tc>
          <w:tcPr>
            <w:tcW w:type="dxa" w:w="7056"/>
            <w:vAlign w:val="center"/>
          </w:tcPr>
          <w:p>
            <w:pPr>
              <w:spacing w:after="0"/>
            </w:pPr>
            <w:r/>
            <w:r>
              <w:rPr>
                <w:rFonts w:ascii="Aptos" w:hAnsi="Aptos"/>
                <w:b w:val="0"/>
                <w:sz w:val="15"/>
              </w:rPr>
              <w:t>Check clarity, consistency, prioritization, and safe/ethical assessment language.</w:t>
            </w:r>
          </w:p>
        </w:tc>
        <w:tc>
          <w:tcPr>
            <w:tcW w:type="dxa" w:w="1008"/>
            <w:vAlign w:val="center"/>
          </w:tcPr>
          <w:p>
            <w:pPr>
              <w:spacing w:after="0"/>
            </w:pPr>
            <w:r/>
            <w:r>
              <w:rPr>
                <w:rFonts w:ascii="Aptos" w:hAnsi="Aptos"/>
                <w:b w:val="0"/>
                <w:sz w:val="15"/>
              </w:rPr>
              <w:t>3</w:t>
            </w:r>
          </w:p>
        </w:tc>
      </w:tr>
      <w:tr>
        <w:tc>
          <w:tcPr>
            <w:tcW w:type="dxa" w:w="2304"/>
            <w:vAlign w:val="center"/>
            <w:shd w:fill="F1F6F8"/>
          </w:tcPr>
          <w:p>
            <w:pPr>
              <w:spacing w:after="0"/>
            </w:pPr>
            <w:r/>
            <w:r>
              <w:rPr>
                <w:rFonts w:ascii="Aptos" w:hAnsi="Aptos"/>
                <w:b w:val="0"/>
                <w:sz w:val="15"/>
              </w:rPr>
              <w:t>Total</w:t>
            </w:r>
          </w:p>
        </w:tc>
        <w:tc>
          <w:tcPr>
            <w:tcW w:type="dxa" w:w="7056"/>
            <w:vAlign w:val="center"/>
            <w:shd w:fill="F1F6F8"/>
          </w:tcPr>
          <w:p>
            <w:pPr>
              <w:spacing w:after="0"/>
            </w:pPr>
            <w:r/>
            <w:r>
              <w:rPr>
                <w:rFonts w:ascii="Aptos" w:hAnsi="Aptos"/>
                <w:b w:val="0"/>
                <w:sz w:val="15"/>
              </w:rPr>
            </w:r>
          </w:p>
        </w:tc>
        <w:tc>
          <w:tcPr>
            <w:tcW w:type="dxa" w:w="1008"/>
            <w:vAlign w:val="center"/>
            <w:shd w:fill="F1F6F8"/>
          </w:tcPr>
          <w:p>
            <w:pPr>
              <w:spacing w:after="0"/>
            </w:pPr>
            <w:r/>
            <w:r>
              <w:rPr>
                <w:rFonts w:ascii="Aptos" w:hAnsi="Aptos"/>
                <w:b w:val="0"/>
                <w:sz w:val="15"/>
              </w:rPr>
              <w:t>32 hours</w:t>
            </w:r>
          </w:p>
        </w:tc>
      </w:tr>
    </w:tbl>
    <w:p>
      <w:pPr>
        <w:spacing w:after="0"/>
      </w:pPr>
    </w:p>
    <w:p>
      <w:pPr>
        <w:pStyle w:val="Heading1"/>
      </w:pPr>
      <w:r>
        <w:t>Appendix C: Suggested References for a Real Assessment</w:t>
      </w:r>
    </w:p>
    <w:p>
      <w:r>
        <w:t>For a real engagement, consult current and authoritative guidance such as the NIST Cybersecurity Framework, NIST guidance on security testing and assessment, the CIS Critical Security Controls, and vendor security advisories for the technologies actually in use. Select the versions applicable at the time of assessment and document the specific guidance used. This illustrative report does not claim compliance or certification against any framework.</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Hypothetical IT Environment • Illustrative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7D"/>
        <w:sz w:val="16"/>
      </w:rPr>
      <w:t>WEEK 5 PROJECT  |  VULNERABILITY ASSESSMENT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5B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