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rFonts w:ascii="Arial" w:hAnsi="Arial"/>
          <w:b/>
          <w:color w:val="2E74B5"/>
          <w:sz w:val="26"/>
        </w:rPr>
        <w:t>WEEK 6 TASK</w:t>
      </w:r>
    </w:p>
    <w:p>
      <w:pPr>
        <w:pStyle w:val="Title"/>
        <w:jc w:val="center"/>
      </w:pPr>
      <w:r>
        <w:t>CYBERSECURITY</w:t>
        <w:br/>
        <w:t>AUDIT PLAN</w:t>
      </w:r>
    </w:p>
    <w:p>
      <w:pPr>
        <w:jc w:val="center"/>
      </w:pPr>
      <w:r>
        <w:rPr>
          <w:i/>
          <w:sz w:val="24"/>
        </w:rPr>
        <w:t>A practical, risk-based audit strategy for a hypothetical organization</w:t>
      </w:r>
    </w:p>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pPr>
              <w:spacing w:after="0"/>
            </w:pPr>
            <w:r/>
            <w:r>
              <w:rPr>
                <w:rFonts w:ascii="Arial" w:hAnsi="Arial"/>
                <w:b/>
                <w:sz w:val="20"/>
              </w:rPr>
              <w:t>Organization</w:t>
            </w:r>
          </w:p>
        </w:tc>
        <w:tc>
          <w:tcPr>
            <w:tcW w:type="dxa" w:w="4968"/>
            <w:vAlign w:val="center"/>
          </w:tcPr>
          <w:p>
            <w:pPr>
              <w:spacing w:after="0"/>
            </w:pPr>
            <w:r/>
            <w:r>
              <w:rPr>
                <w:rFonts w:ascii="Arial" w:hAnsi="Arial"/>
                <w:b w:val="0"/>
                <w:sz w:val="20"/>
              </w:rPr>
              <w:t>Northstar Services (hypothetical)</w:t>
            </w:r>
          </w:p>
        </w:tc>
      </w:tr>
      <w:tr>
        <w:tc>
          <w:tcPr>
            <w:tcW w:type="dxa" w:w="4968"/>
            <w:vAlign w:val="center"/>
            <w:shd w:fill="D9EAF7"/>
          </w:tcPr>
          <w:p>
            <w:pPr>
              <w:spacing w:after="0"/>
            </w:pPr>
            <w:r/>
            <w:r>
              <w:rPr>
                <w:rFonts w:ascii="Arial" w:hAnsi="Arial"/>
                <w:b/>
                <w:sz w:val="20"/>
              </w:rPr>
              <w:t>Prepared for</w:t>
            </w:r>
          </w:p>
        </w:tc>
        <w:tc>
          <w:tcPr>
            <w:tcW w:type="dxa" w:w="4968"/>
            <w:vAlign w:val="center"/>
          </w:tcPr>
          <w:p>
            <w:pPr>
              <w:spacing w:after="0"/>
            </w:pPr>
            <w:r/>
            <w:r>
              <w:rPr>
                <w:rFonts w:ascii="Arial" w:hAnsi="Arial"/>
                <w:b w:val="0"/>
                <w:sz w:val="20"/>
              </w:rPr>
              <w:t>Week 6 Cybersecurity Internship Task</w:t>
            </w:r>
          </w:p>
        </w:tc>
      </w:tr>
      <w:tr>
        <w:tc>
          <w:tcPr>
            <w:tcW w:type="dxa" w:w="4968"/>
            <w:vAlign w:val="center"/>
            <w:shd w:fill="D9EAF7"/>
          </w:tcPr>
          <w:p>
            <w:pPr>
              <w:spacing w:after="0"/>
            </w:pPr>
            <w:r/>
            <w:r>
              <w:rPr>
                <w:rFonts w:ascii="Arial" w:hAnsi="Arial"/>
                <w:b/>
                <w:sz w:val="20"/>
              </w:rPr>
              <w:t>Estimated effort</w:t>
            </w:r>
          </w:p>
        </w:tc>
        <w:tc>
          <w:tcPr>
            <w:tcW w:type="dxa" w:w="4968"/>
            <w:vAlign w:val="center"/>
          </w:tcPr>
          <w:p>
            <w:pPr>
              <w:spacing w:after="0"/>
            </w:pPr>
            <w:r/>
            <w:r>
              <w:rPr>
                <w:rFonts w:ascii="Arial" w:hAnsi="Arial"/>
                <w:b w:val="0"/>
                <w:sz w:val="20"/>
              </w:rPr>
              <w:t>32 hours</w:t>
            </w:r>
          </w:p>
        </w:tc>
      </w:tr>
      <w:tr>
        <w:tc>
          <w:tcPr>
            <w:tcW w:type="dxa" w:w="4968"/>
            <w:vAlign w:val="center"/>
            <w:shd w:fill="D9EAF7"/>
          </w:tcPr>
          <w:p>
            <w:pPr>
              <w:spacing w:after="0"/>
            </w:pPr>
            <w:r/>
            <w:r>
              <w:rPr>
                <w:rFonts w:ascii="Arial" w:hAnsi="Arial"/>
                <w:b/>
                <w:sz w:val="20"/>
              </w:rPr>
              <w:t>Document status</w:t>
            </w:r>
          </w:p>
        </w:tc>
        <w:tc>
          <w:tcPr>
            <w:tcW w:type="dxa" w:w="4968"/>
            <w:vAlign w:val="center"/>
          </w:tcPr>
          <w:p>
            <w:pPr>
              <w:spacing w:after="0"/>
            </w:pPr>
            <w:r/>
            <w:r>
              <w:rPr>
                <w:rFonts w:ascii="Arial" w:hAnsi="Arial"/>
                <w:b w:val="0"/>
                <w:sz w:val="20"/>
              </w:rPr>
              <w:t>Planning document; not evidence of an audit performed</w:t>
            </w:r>
          </w:p>
        </w:tc>
      </w:tr>
    </w:tbl>
    <w:p>
      <w:pPr>
        <w:spacing w:before="1100"/>
        <w:jc w:val="center"/>
      </w:pPr>
      <w:r>
        <w:rPr>
          <w:color w:val="5A5A5A"/>
          <w:sz w:val="20"/>
        </w:rPr>
        <w:t>Prepared: October 2026</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4968"/>
        <w:gridCol w:w="4968"/>
      </w:tblGrid>
      <w:tr>
        <w:tc>
          <w:tcPr>
            <w:tcW w:type="dxa" w:w="2880"/>
            <w:vAlign w:val="center"/>
            <w:shd w:fill="D9EAF7"/>
          </w:tcPr>
          <w:p>
            <w:pPr>
              <w:spacing w:after="0"/>
            </w:pPr>
            <w:r/>
            <w:r>
              <w:rPr>
                <w:rFonts w:ascii="Arial" w:hAnsi="Arial"/>
                <w:b/>
                <w:sz w:val="18"/>
              </w:rPr>
              <w:t>Field</w:t>
            </w:r>
          </w:p>
        </w:tc>
        <w:tc>
          <w:tcPr>
            <w:tcW w:type="dxa" w:w="7056"/>
            <w:vAlign w:val="center"/>
            <w:shd w:fill="D9EAF7"/>
          </w:tcPr>
          <w:p>
            <w:pPr>
              <w:spacing w:after="0"/>
            </w:pPr>
            <w:r/>
            <w:r>
              <w:rPr>
                <w:rFonts w:ascii="Arial" w:hAnsi="Arial"/>
                <w:b/>
                <w:sz w:val="18"/>
              </w:rPr>
              <w:t>Details</w:t>
            </w:r>
          </w:p>
        </w:tc>
      </w:tr>
      <w:tr>
        <w:tc>
          <w:tcPr>
            <w:tcW w:type="dxa" w:w="2880"/>
            <w:vAlign w:val="center"/>
          </w:tcPr>
          <w:p>
            <w:pPr>
              <w:spacing w:after="0"/>
            </w:pPr>
            <w:r/>
            <w:r>
              <w:rPr>
                <w:rFonts w:ascii="Arial" w:hAnsi="Arial"/>
                <w:b w:val="0"/>
                <w:sz w:val="17"/>
              </w:rPr>
              <w:t>Document title</w:t>
            </w:r>
          </w:p>
        </w:tc>
        <w:tc>
          <w:tcPr>
            <w:tcW w:type="dxa" w:w="7056"/>
            <w:vAlign w:val="center"/>
          </w:tcPr>
          <w:p>
            <w:pPr>
              <w:spacing w:after="0"/>
            </w:pPr>
            <w:r/>
            <w:r>
              <w:rPr>
                <w:rFonts w:ascii="Arial" w:hAnsi="Arial"/>
                <w:b w:val="0"/>
                <w:sz w:val="17"/>
              </w:rPr>
              <w:t>Cybersecurity Audit Plan</w:t>
            </w:r>
          </w:p>
        </w:tc>
      </w:tr>
      <w:tr>
        <w:tc>
          <w:tcPr>
            <w:tcW w:type="dxa" w:w="2880"/>
            <w:vAlign w:val="center"/>
          </w:tcPr>
          <w:p>
            <w:pPr>
              <w:spacing w:after="0"/>
            </w:pPr>
            <w:r/>
            <w:r>
              <w:rPr>
                <w:rFonts w:ascii="Arial" w:hAnsi="Arial"/>
                <w:b w:val="0"/>
                <w:sz w:val="17"/>
              </w:rPr>
              <w:t>Version</w:t>
            </w:r>
          </w:p>
        </w:tc>
        <w:tc>
          <w:tcPr>
            <w:tcW w:type="dxa" w:w="7056"/>
            <w:vAlign w:val="center"/>
          </w:tcPr>
          <w:p>
            <w:pPr>
              <w:spacing w:after="0"/>
            </w:pPr>
            <w:r/>
            <w:r>
              <w:rPr>
                <w:rFonts w:ascii="Arial" w:hAnsi="Arial"/>
                <w:b w:val="0"/>
                <w:sz w:val="17"/>
              </w:rPr>
              <w:t>1.0</w:t>
            </w:r>
          </w:p>
        </w:tc>
      </w:tr>
      <w:tr>
        <w:tc>
          <w:tcPr>
            <w:tcW w:type="dxa" w:w="2880"/>
            <w:vAlign w:val="center"/>
          </w:tcPr>
          <w:p>
            <w:pPr>
              <w:spacing w:after="0"/>
            </w:pPr>
            <w:r/>
            <w:r>
              <w:rPr>
                <w:rFonts w:ascii="Arial" w:hAnsi="Arial"/>
                <w:b w:val="0"/>
                <w:sz w:val="17"/>
              </w:rPr>
              <w:t>Organization</w:t>
            </w:r>
          </w:p>
        </w:tc>
        <w:tc>
          <w:tcPr>
            <w:tcW w:type="dxa" w:w="7056"/>
            <w:vAlign w:val="center"/>
          </w:tcPr>
          <w:p>
            <w:pPr>
              <w:spacing w:after="0"/>
            </w:pPr>
            <w:r/>
            <w:r>
              <w:rPr>
                <w:rFonts w:ascii="Arial" w:hAnsi="Arial"/>
                <w:b w:val="0"/>
                <w:sz w:val="17"/>
              </w:rPr>
              <w:t>Northstar Services (fictional example)</w:t>
            </w:r>
          </w:p>
        </w:tc>
      </w:tr>
      <w:tr>
        <w:tc>
          <w:tcPr>
            <w:tcW w:type="dxa" w:w="2880"/>
            <w:vAlign w:val="center"/>
          </w:tcPr>
          <w:p>
            <w:pPr>
              <w:spacing w:after="0"/>
            </w:pPr>
            <w:r/>
            <w:r>
              <w:rPr>
                <w:rFonts w:ascii="Arial" w:hAnsi="Arial"/>
                <w:b w:val="0"/>
                <w:sz w:val="17"/>
              </w:rPr>
              <w:t>Plan owner</w:t>
            </w:r>
          </w:p>
        </w:tc>
        <w:tc>
          <w:tcPr>
            <w:tcW w:type="dxa" w:w="7056"/>
            <w:vAlign w:val="center"/>
          </w:tcPr>
          <w:p>
            <w:pPr>
              <w:spacing w:after="0"/>
            </w:pPr>
            <w:r/>
            <w:r>
              <w:rPr>
                <w:rFonts w:ascii="Arial" w:hAnsi="Arial"/>
                <w:b w:val="0"/>
                <w:sz w:val="17"/>
              </w:rPr>
              <w:t>Information Security Lead</w:t>
            </w:r>
          </w:p>
        </w:tc>
      </w:tr>
      <w:tr>
        <w:tc>
          <w:tcPr>
            <w:tcW w:type="dxa" w:w="2880"/>
            <w:vAlign w:val="center"/>
          </w:tcPr>
          <w:p>
            <w:pPr>
              <w:spacing w:after="0"/>
            </w:pPr>
            <w:r/>
            <w:r>
              <w:rPr>
                <w:rFonts w:ascii="Arial" w:hAnsi="Arial"/>
                <w:b w:val="0"/>
                <w:sz w:val="17"/>
              </w:rPr>
              <w:t>Approval authority</w:t>
            </w:r>
          </w:p>
        </w:tc>
        <w:tc>
          <w:tcPr>
            <w:tcW w:type="dxa" w:w="7056"/>
            <w:vAlign w:val="center"/>
          </w:tcPr>
          <w:p>
            <w:pPr>
              <w:spacing w:after="0"/>
            </w:pPr>
            <w:r/>
            <w:r>
              <w:rPr>
                <w:rFonts w:ascii="Arial" w:hAnsi="Arial"/>
                <w:b w:val="0"/>
                <w:sz w:val="17"/>
              </w:rPr>
              <w:t>Executive Sponsor / IT Manager</w:t>
            </w:r>
          </w:p>
        </w:tc>
      </w:tr>
      <w:tr>
        <w:tc>
          <w:tcPr>
            <w:tcW w:type="dxa" w:w="2880"/>
            <w:vAlign w:val="center"/>
          </w:tcPr>
          <w:p>
            <w:pPr>
              <w:spacing w:after="0"/>
            </w:pPr>
            <w:r/>
            <w:r>
              <w:rPr>
                <w:rFonts w:ascii="Arial" w:hAnsi="Arial"/>
                <w:b w:val="0"/>
                <w:sz w:val="17"/>
              </w:rPr>
              <w:t>Review frequency</w:t>
            </w:r>
          </w:p>
        </w:tc>
        <w:tc>
          <w:tcPr>
            <w:tcW w:type="dxa" w:w="7056"/>
            <w:vAlign w:val="center"/>
          </w:tcPr>
          <w:p>
            <w:pPr>
              <w:spacing w:after="0"/>
            </w:pPr>
            <w:r/>
            <w:r>
              <w:rPr>
                <w:rFonts w:ascii="Arial" w:hAnsi="Arial"/>
                <w:b w:val="0"/>
                <w:sz w:val="17"/>
              </w:rPr>
              <w:t>Annually and after major business or technology changes</w:t>
            </w:r>
          </w:p>
        </w:tc>
      </w:tr>
      <w:tr>
        <w:tc>
          <w:tcPr>
            <w:tcW w:type="dxa" w:w="2880"/>
            <w:vAlign w:val="center"/>
          </w:tcPr>
          <w:p>
            <w:pPr>
              <w:spacing w:after="0"/>
            </w:pPr>
            <w:r/>
            <w:r>
              <w:rPr>
                <w:rFonts w:ascii="Arial" w:hAnsi="Arial"/>
                <w:b w:val="0"/>
                <w:sz w:val="17"/>
              </w:rPr>
              <w:t>Classification</w:t>
            </w:r>
          </w:p>
        </w:tc>
        <w:tc>
          <w:tcPr>
            <w:tcW w:type="dxa" w:w="7056"/>
            <w:vAlign w:val="center"/>
          </w:tcPr>
          <w:p>
            <w:pPr>
              <w:spacing w:after="0"/>
            </w:pPr>
            <w:r/>
            <w:r>
              <w:rPr>
                <w:rFonts w:ascii="Arial" w:hAnsi="Arial"/>
                <w:b w:val="0"/>
                <w:sz w:val="17"/>
              </w:rPr>
              <w:t>Internal – planning example</w:t>
            </w:r>
          </w:p>
        </w:tc>
      </w:tr>
    </w:tbl>
    <w:p/>
    <w:p>
      <w:pPr>
        <w:pStyle w:val="Heading1"/>
      </w:pPr>
      <w:r>
        <w:t>1. Executive Summary</w:t>
      </w:r>
    </w:p>
    <w:p>
      <w:r>
        <w:t>This plan establishes a practical, repeatable approach for reviewing the cybersecurity practices of Northstar Services, a hypothetical small-to-medium organization that uses employee laptops, business applications, cloud services, a local network, remote access, and third-party technology providers. The plan is designed to determine whether key security controls are appropriately designed, consistently implemented, and supported by evidence. It also provides a way to prioritize corrective actions according to risk, assign ownership, and track remediation to closure.</w:t>
      </w:r>
    </w:p>
    <w:p>
      <w:r>
        <w:t>The proposed audit is risk-based rather than a promise to test every system. It combines document review, interviews, configuration sampling, access reviews, and controlled validation. The initial audit cycle is planned over four weeks, with approximately 32 hours of audit work. Any technical testing must be approved in advance, limited to the agreed scope, and performed without disrupting production services.</w:t>
      </w:r>
    </w:p>
    <w:p>
      <w:pPr>
        <w:pStyle w:val="Heading1"/>
      </w:pPr>
      <w:r>
        <w:t>2. Objectives</w:t>
      </w:r>
    </w:p>
    <w:p>
      <w:pPr>
        <w:pStyle w:val="ListBullet"/>
        <w:spacing w:after="40"/>
      </w:pPr>
      <w:r>
        <w:t>Assess whether cybersecurity policies, procedures, and assigned responsibilities are documented and current.</w:t>
      </w:r>
    </w:p>
    <w:p>
      <w:pPr>
        <w:pStyle w:val="ListBullet"/>
        <w:spacing w:after="40"/>
      </w:pPr>
      <w:r>
        <w:t>Review identity, access, endpoint, network, cloud, data-protection, backup, monitoring, and incident-response controls.</w:t>
      </w:r>
    </w:p>
    <w:p>
      <w:pPr>
        <w:pStyle w:val="ListBullet"/>
        <w:spacing w:after="40"/>
      </w:pPr>
      <w:r>
        <w:t>Identify gaps between expected controls and available evidence, then assess the risk and business impact of each gap.</w:t>
      </w:r>
    </w:p>
    <w:p>
      <w:pPr>
        <w:pStyle w:val="ListBullet"/>
        <w:spacing w:after="40"/>
      </w:pPr>
      <w:r>
        <w:t>Provide clear, feasible recommendations with owners, priorities, target dates, and validation steps.</w:t>
      </w:r>
    </w:p>
    <w:p>
      <w:pPr>
        <w:pStyle w:val="ListBullet"/>
        <w:spacing w:after="40"/>
      </w:pPr>
      <w:r>
        <w:t>Establish a repeatable audit cycle and a method for reporting progress to management.</w:t>
      </w:r>
    </w:p>
    <w:p>
      <w:pPr>
        <w:pStyle w:val="Heading1"/>
      </w:pPr>
      <w:r>
        <w:t>3. Organization Profile and Assumptions</w:t>
      </w:r>
    </w:p>
    <w:p>
      <w:r>
        <w:t>Northstar Services is a fictional organization used to demonstrate planning. For this plan, it is assumed to have approximately 100 employees, a mix of office and remote work, cloud-hosted email and file sharing, business-critical applications, managed laptops, a small network environment, and several external IT vendors. No real system has been accessed or assessed for this document. The organization should replace these assumptions with verified details before approving an actual audit.</w:t>
      </w:r>
    </w:p>
    <w:p>
      <w:pPr>
        <w:pStyle w:val="Heading1"/>
      </w:pPr>
      <w:r>
        <w:t>4. Audit Scope</w:t>
      </w:r>
    </w:p>
    <w:p>
      <w:pPr>
        <w:pStyle w:val="Heading2"/>
      </w:pPr>
      <w:r>
        <w:t>4.1 In scope</w:t>
      </w:r>
    </w:p>
    <w:p>
      <w:pPr>
        <w:pStyle w:val="ListBullet"/>
        <w:spacing w:after="40"/>
      </w:pPr>
      <w:r>
        <w:t>Governance: cybersecurity policies, risk register, roles, security awareness, and exception management.</w:t>
      </w:r>
    </w:p>
    <w:p>
      <w:pPr>
        <w:pStyle w:val="ListBullet"/>
        <w:spacing w:after="40"/>
      </w:pPr>
      <w:r>
        <w:t>Identity and access management: account lifecycle, multi-factor authentication (MFA), privileged access, password controls, and periodic access reviews.</w:t>
      </w:r>
    </w:p>
    <w:p>
      <w:pPr>
        <w:pStyle w:val="ListBullet"/>
        <w:spacing w:after="40"/>
      </w:pPr>
      <w:r>
        <w:t>Endpoint and server security: patching, endpoint protection, device encryption, secure configuration, and asset inventory.</w:t>
      </w:r>
    </w:p>
    <w:p>
      <w:pPr>
        <w:pStyle w:val="ListBullet"/>
        <w:spacing w:after="40"/>
      </w:pPr>
      <w:r>
        <w:t>Network and remote access: firewall rules, network segmentation, VPN or zero-trust access, Wi-Fi security, and administrative access.</w:t>
      </w:r>
    </w:p>
    <w:p>
      <w:pPr>
        <w:pStyle w:val="ListBullet"/>
        <w:spacing w:after="40"/>
      </w:pPr>
      <w:r>
        <w:t>Cloud and business applications: sharing permissions, audit logs, application access, configuration baselines, and change control.</w:t>
      </w:r>
    </w:p>
    <w:p>
      <w:pPr>
        <w:pStyle w:val="ListBullet"/>
        <w:spacing w:after="40"/>
      </w:pPr>
      <w:r>
        <w:t>Data protection: classification, retention, encryption, secure transfer, and disposal of sensitive information.</w:t>
      </w:r>
    </w:p>
    <w:p>
      <w:pPr>
        <w:pStyle w:val="ListBullet"/>
        <w:spacing w:after="40"/>
      </w:pPr>
      <w:r>
        <w:t>Backup and recovery: backup coverage, access restrictions, recovery testing, and resilience against ransomware.</w:t>
      </w:r>
    </w:p>
    <w:p>
      <w:pPr>
        <w:pStyle w:val="ListBullet"/>
        <w:spacing w:after="40"/>
      </w:pPr>
      <w:r>
        <w:t>Logging and monitoring: log coverage, alert handling, time synchronization, retention, and escalation.</w:t>
      </w:r>
    </w:p>
    <w:p>
      <w:pPr>
        <w:pStyle w:val="ListBullet"/>
        <w:spacing w:after="40"/>
      </w:pPr>
      <w:r>
        <w:t>Incident response and continuity: response plan, contact list, tabletop exercises, business continuity, and lessons learned.</w:t>
      </w:r>
    </w:p>
    <w:p>
      <w:pPr>
        <w:pStyle w:val="ListBullet"/>
        <w:spacing w:after="40"/>
      </w:pPr>
      <w:r>
        <w:t>Third-party risk: vendor inventory, security clauses, access restrictions, and periodic reviews.</w:t>
      </w:r>
    </w:p>
    <w:p>
      <w:pPr>
        <w:pStyle w:val="ListBullet"/>
        <w:spacing w:after="40"/>
      </w:pPr>
      <w:r>
        <w:t>Physical and personnel security: visitor access, equipment protection, joiner/mover/leaver processes, and awareness training.</w:t>
      </w:r>
    </w:p>
    <w:p>
      <w:pPr>
        <w:pStyle w:val="Heading2"/>
      </w:pPr>
      <w:r>
        <w:t>4.2 Out of scope unless separately approved</w:t>
      </w:r>
    </w:p>
    <w:p>
      <w:pPr>
        <w:pStyle w:val="ListBullet"/>
        <w:spacing w:after="40"/>
      </w:pPr>
      <w:r>
        <w:t>Unapproved penetration testing, exploitation, denial-of-service testing, phishing campaigns, or social engineering.</w:t>
      </w:r>
    </w:p>
    <w:p>
      <w:pPr>
        <w:pStyle w:val="ListBullet"/>
        <w:spacing w:after="40"/>
      </w:pPr>
      <w:r>
        <w:t>Systems owned by customers, vendors, or other third parties without written authorization.</w:t>
      </w:r>
    </w:p>
    <w:p>
      <w:pPr>
        <w:pStyle w:val="ListBullet"/>
        <w:spacing w:after="40"/>
      </w:pPr>
      <w:r>
        <w:t>Review of personal devices or personal accounts not used for authorized business purposes.</w:t>
      </w:r>
    </w:p>
    <w:p>
      <w:pPr>
        <w:pStyle w:val="ListBullet"/>
        <w:spacing w:after="40"/>
      </w:pPr>
      <w:r>
        <w:t>A legal compliance certification, formal penetration test, or guarantee that all vulnerabilities will be discovered.</w:t>
      </w:r>
    </w:p>
    <w:p>
      <w:pPr>
        <w:pStyle w:val="Heading2"/>
      </w:pPr>
      <w:r>
        <w:t>4.3 Scope boundaries and safeguards</w:t>
      </w:r>
    </w:p>
    <w:p>
      <w:r>
        <w:t>Before fieldwork begins, the audit owner must confirm the asset list, business services, audit period, data-handling requirements, points of contact, and any restricted systems. Evidence should be collected using read-only methods wherever possible. Sensitive evidence must be stored in an access-controlled location, redacted when practical, and retained only according to the organization's approved retention policy.</w:t>
      </w:r>
    </w:p>
    <w:p>
      <w:pPr>
        <w:pStyle w:val="Heading1"/>
      </w:pPr>
      <w:r>
        <w:t>5. Audit Criteria and Approach</w:t>
      </w:r>
    </w:p>
    <w:p>
      <w:r>
        <w:t>The auditor should compare evidence against the organization's approved policies and selected recognized framework guidance. Depending on organizational needs, reference points may include the NIST Cybersecurity Framework 2.0, CIS Critical Security Controls, and ISO/IEC 27001 control themes. These references guide the review; this plan does not claim formal certification or complete compliance with any framework.</w:t>
      </w:r>
    </w:p>
    <w:p>
      <w:pPr>
        <w:pStyle w:val="Heading2"/>
      </w:pPr>
      <w:r>
        <w:t>5.1 Audit methods</w:t>
      </w:r>
    </w:p>
    <w:p>
      <w:pPr>
        <w:pStyle w:val="ListBullet"/>
        <w:spacing w:after="40"/>
      </w:pPr>
      <w:r>
        <w:t>Document review: policies, standards, asset inventories, risk register, change records, incident records, and backup reports.</w:t>
      </w:r>
    </w:p>
    <w:p>
      <w:pPr>
        <w:pStyle w:val="ListBullet"/>
        <w:spacing w:after="40"/>
      </w:pPr>
      <w:r>
        <w:t>Interviews: IT operations, security, HR, business application owners, and relevant vendor managers.</w:t>
      </w:r>
    </w:p>
    <w:p>
      <w:pPr>
        <w:pStyle w:val="ListBullet"/>
        <w:spacing w:after="40"/>
      </w:pPr>
      <w:r>
        <w:t>Sampling: select representative user accounts, endpoints, changes, alerts, backups, and vendor records; document the sample and rationale.</w:t>
      </w:r>
    </w:p>
    <w:p>
      <w:pPr>
        <w:pStyle w:val="ListBullet"/>
        <w:spacing w:after="40"/>
      </w:pPr>
      <w:r>
        <w:t>Configuration review: inspect approved screenshots, exported settings, reports, or read-only console views.</w:t>
      </w:r>
    </w:p>
    <w:p>
      <w:pPr>
        <w:pStyle w:val="ListBullet"/>
        <w:spacing w:after="40"/>
      </w:pPr>
      <w:r>
        <w:t>Walkthroughs: trace selected processes such as employee offboarding, privileged access approval, and incident escalation.</w:t>
      </w:r>
    </w:p>
    <w:p>
      <w:pPr>
        <w:pStyle w:val="ListBullet"/>
        <w:spacing w:after="40"/>
      </w:pPr>
      <w:r>
        <w:t>Controlled validation: perform only pre-approved, low-impact checks; stop if service instability or unintended access is observed.</w:t>
      </w:r>
    </w:p>
    <w:p>
      <w:pPr>
        <w:pStyle w:val="Heading1"/>
      </w:pPr>
      <w:r>
        <w:t>6. Audit Areas and Test Procedures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944"/>
            <w:vAlign w:val="center"/>
            <w:shd w:fill="D9EAF7"/>
          </w:tcPr>
          <w:p>
            <w:pPr>
              <w:spacing w:after="0"/>
            </w:pPr>
            <w:r/>
            <w:r>
              <w:rPr>
                <w:rFonts w:ascii="Arial" w:hAnsi="Arial"/>
                <w:b/>
                <w:sz w:val="18"/>
              </w:rPr>
              <w:t>Audit area</w:t>
            </w:r>
          </w:p>
        </w:tc>
        <w:tc>
          <w:tcPr>
            <w:tcW w:type="dxa" w:w="2880"/>
            <w:vAlign w:val="center"/>
            <w:shd w:fill="D9EAF7"/>
          </w:tcPr>
          <w:p>
            <w:pPr>
              <w:spacing w:after="0"/>
            </w:pPr>
            <w:r/>
            <w:r>
              <w:rPr>
                <w:rFonts w:ascii="Arial" w:hAnsi="Arial"/>
                <w:b/>
                <w:sz w:val="18"/>
              </w:rPr>
              <w:t>Control expectations</w:t>
            </w:r>
          </w:p>
        </w:tc>
        <w:tc>
          <w:tcPr>
            <w:tcW w:type="dxa" w:w="3312"/>
            <w:vAlign w:val="center"/>
            <w:shd w:fill="D9EAF7"/>
          </w:tcPr>
          <w:p>
            <w:pPr>
              <w:spacing w:after="0"/>
            </w:pPr>
            <w:r/>
            <w:r>
              <w:rPr>
                <w:rFonts w:ascii="Arial" w:hAnsi="Arial"/>
                <w:b/>
                <w:sz w:val="18"/>
              </w:rPr>
              <w:t>Example procedures</w:t>
            </w:r>
          </w:p>
        </w:tc>
        <w:tc>
          <w:tcPr>
            <w:tcW w:type="dxa" w:w="2088"/>
            <w:vAlign w:val="center"/>
            <w:shd w:fill="D9EAF7"/>
          </w:tcPr>
          <w:p>
            <w:pPr>
              <w:spacing w:after="0"/>
            </w:pPr>
            <w:r/>
            <w:r>
              <w:rPr>
                <w:rFonts w:ascii="Arial" w:hAnsi="Arial"/>
                <w:b/>
                <w:sz w:val="18"/>
              </w:rPr>
              <w:t>Evidence examples</w:t>
            </w:r>
          </w:p>
        </w:tc>
      </w:tr>
      <w:tr>
        <w:tc>
          <w:tcPr>
            <w:tcW w:type="dxa" w:w="1944"/>
            <w:vAlign w:val="center"/>
          </w:tcPr>
          <w:p>
            <w:pPr>
              <w:spacing w:after="0"/>
            </w:pPr>
            <w:r/>
            <w:r>
              <w:rPr>
                <w:rFonts w:ascii="Arial" w:hAnsi="Arial"/>
                <w:b w:val="0"/>
                <w:sz w:val="17"/>
              </w:rPr>
              <w:t>Governance and policy</w:t>
            </w:r>
          </w:p>
        </w:tc>
        <w:tc>
          <w:tcPr>
            <w:tcW w:type="dxa" w:w="2880"/>
            <w:vAlign w:val="center"/>
          </w:tcPr>
          <w:p>
            <w:pPr>
              <w:spacing w:after="0"/>
            </w:pPr>
            <w:r/>
            <w:r>
              <w:rPr>
                <w:rFonts w:ascii="Arial" w:hAnsi="Arial"/>
                <w:b w:val="0"/>
                <w:sz w:val="17"/>
              </w:rPr>
              <w:t>Current policies; named owners; risk register; exceptions; review dates</w:t>
            </w:r>
          </w:p>
        </w:tc>
        <w:tc>
          <w:tcPr>
            <w:tcW w:type="dxa" w:w="3312"/>
            <w:vAlign w:val="center"/>
          </w:tcPr>
          <w:p>
            <w:pPr>
              <w:spacing w:after="0"/>
            </w:pPr>
            <w:r/>
            <w:r>
              <w:rPr>
                <w:rFonts w:ascii="Arial" w:hAnsi="Arial"/>
                <w:b w:val="0"/>
                <w:sz w:val="17"/>
              </w:rPr>
              <w:t>Inspect policy approval/review dates; interview control owners; sample exceptions</w:t>
            </w:r>
          </w:p>
        </w:tc>
        <w:tc>
          <w:tcPr>
            <w:tcW w:type="dxa" w:w="2088"/>
            <w:vAlign w:val="center"/>
          </w:tcPr>
          <w:p>
            <w:pPr>
              <w:spacing w:after="0"/>
            </w:pPr>
            <w:r/>
            <w:r>
              <w:rPr>
                <w:rFonts w:ascii="Arial" w:hAnsi="Arial"/>
                <w:b w:val="0"/>
                <w:sz w:val="17"/>
              </w:rPr>
              <w:t>Policies, risk register, meeting records</w:t>
            </w:r>
          </w:p>
        </w:tc>
      </w:tr>
      <w:tr>
        <w:tc>
          <w:tcPr>
            <w:tcW w:type="dxa" w:w="1944"/>
            <w:vAlign w:val="center"/>
          </w:tcPr>
          <w:p>
            <w:pPr>
              <w:spacing w:after="0"/>
            </w:pPr>
            <w:r/>
            <w:r>
              <w:rPr>
                <w:rFonts w:ascii="Arial" w:hAnsi="Arial"/>
                <w:b w:val="0"/>
                <w:sz w:val="17"/>
              </w:rPr>
              <w:t>Asset and configuration management</w:t>
            </w:r>
          </w:p>
        </w:tc>
        <w:tc>
          <w:tcPr>
            <w:tcW w:type="dxa" w:w="2880"/>
            <w:vAlign w:val="center"/>
          </w:tcPr>
          <w:p>
            <w:pPr>
              <w:spacing w:after="0"/>
            </w:pPr>
            <w:r/>
            <w:r>
              <w:rPr>
                <w:rFonts w:ascii="Arial" w:hAnsi="Arial"/>
                <w:b w:val="0"/>
                <w:sz w:val="17"/>
              </w:rPr>
              <w:t>Complete inventory; ownership; secure baselines; change control</w:t>
            </w:r>
          </w:p>
        </w:tc>
        <w:tc>
          <w:tcPr>
            <w:tcW w:type="dxa" w:w="3312"/>
            <w:vAlign w:val="center"/>
          </w:tcPr>
          <w:p>
            <w:pPr>
              <w:spacing w:after="0"/>
            </w:pPr>
            <w:r/>
            <w:r>
              <w:rPr>
                <w:rFonts w:ascii="Arial" w:hAnsi="Arial"/>
                <w:b w:val="0"/>
                <w:sz w:val="17"/>
              </w:rPr>
              <w:t>Compare inventory samples with endpoint or cloud records; sample approved changes</w:t>
            </w:r>
          </w:p>
        </w:tc>
        <w:tc>
          <w:tcPr>
            <w:tcW w:type="dxa" w:w="2088"/>
            <w:vAlign w:val="center"/>
          </w:tcPr>
          <w:p>
            <w:pPr>
              <w:spacing w:after="0"/>
            </w:pPr>
            <w:r/>
            <w:r>
              <w:rPr>
                <w:rFonts w:ascii="Arial" w:hAnsi="Arial"/>
                <w:b w:val="0"/>
                <w:sz w:val="17"/>
              </w:rPr>
              <w:t>Asset export, baseline, change tickets</w:t>
            </w:r>
          </w:p>
        </w:tc>
      </w:tr>
      <w:tr>
        <w:tc>
          <w:tcPr>
            <w:tcW w:type="dxa" w:w="1944"/>
            <w:vAlign w:val="center"/>
          </w:tcPr>
          <w:p>
            <w:pPr>
              <w:spacing w:after="0"/>
            </w:pPr>
            <w:r/>
            <w:r>
              <w:rPr>
                <w:rFonts w:ascii="Arial" w:hAnsi="Arial"/>
                <w:b w:val="0"/>
                <w:sz w:val="17"/>
              </w:rPr>
              <w:t>Identity and access</w:t>
            </w:r>
          </w:p>
        </w:tc>
        <w:tc>
          <w:tcPr>
            <w:tcW w:type="dxa" w:w="2880"/>
            <w:vAlign w:val="center"/>
          </w:tcPr>
          <w:p>
            <w:pPr>
              <w:spacing w:after="0"/>
            </w:pPr>
            <w:r/>
            <w:r>
              <w:rPr>
                <w:rFonts w:ascii="Arial" w:hAnsi="Arial"/>
                <w:b w:val="0"/>
                <w:sz w:val="17"/>
              </w:rPr>
              <w:t>MFA; least privilege; joiner/mover/leaver controls; privileged accounts</w:t>
            </w:r>
          </w:p>
        </w:tc>
        <w:tc>
          <w:tcPr>
            <w:tcW w:type="dxa" w:w="3312"/>
            <w:vAlign w:val="center"/>
          </w:tcPr>
          <w:p>
            <w:pPr>
              <w:spacing w:after="0"/>
            </w:pPr>
            <w:r/>
            <w:r>
              <w:rPr>
                <w:rFonts w:ascii="Arial" w:hAnsi="Arial"/>
                <w:b w:val="0"/>
                <w:sz w:val="17"/>
              </w:rPr>
              <w:t>Sample standard and privileged accounts; trace approvals and recent leavers; review MFA coverage</w:t>
            </w:r>
          </w:p>
        </w:tc>
        <w:tc>
          <w:tcPr>
            <w:tcW w:type="dxa" w:w="2088"/>
            <w:vAlign w:val="center"/>
          </w:tcPr>
          <w:p>
            <w:pPr>
              <w:spacing w:after="0"/>
            </w:pPr>
            <w:r/>
            <w:r>
              <w:rPr>
                <w:rFonts w:ascii="Arial" w:hAnsi="Arial"/>
                <w:b w:val="0"/>
                <w:sz w:val="17"/>
              </w:rPr>
              <w:t>Access export, approval tickets, MFA report</w:t>
            </w:r>
          </w:p>
        </w:tc>
      </w:tr>
      <w:tr>
        <w:tc>
          <w:tcPr>
            <w:tcW w:type="dxa" w:w="1944"/>
            <w:vAlign w:val="center"/>
          </w:tcPr>
          <w:p>
            <w:pPr>
              <w:spacing w:after="0"/>
            </w:pPr>
            <w:r/>
            <w:r>
              <w:rPr>
                <w:rFonts w:ascii="Arial" w:hAnsi="Arial"/>
                <w:b w:val="0"/>
                <w:sz w:val="17"/>
              </w:rPr>
              <w:t>Endpoint and server security</w:t>
            </w:r>
          </w:p>
        </w:tc>
        <w:tc>
          <w:tcPr>
            <w:tcW w:type="dxa" w:w="2880"/>
            <w:vAlign w:val="center"/>
          </w:tcPr>
          <w:p>
            <w:pPr>
              <w:spacing w:after="0"/>
            </w:pPr>
            <w:r/>
            <w:r>
              <w:rPr>
                <w:rFonts w:ascii="Arial" w:hAnsi="Arial"/>
                <w:b w:val="0"/>
                <w:sz w:val="17"/>
              </w:rPr>
              <w:t>Patching; endpoint protection; encryption; unsupported software</w:t>
            </w:r>
          </w:p>
        </w:tc>
        <w:tc>
          <w:tcPr>
            <w:tcW w:type="dxa" w:w="3312"/>
            <w:vAlign w:val="center"/>
          </w:tcPr>
          <w:p>
            <w:pPr>
              <w:spacing w:after="0"/>
            </w:pPr>
            <w:r/>
            <w:r>
              <w:rPr>
                <w:rFonts w:ascii="Arial" w:hAnsi="Arial"/>
                <w:b w:val="0"/>
                <w:sz w:val="17"/>
              </w:rPr>
              <w:t>Sample devices and servers; compare patch age and protection status to policy</w:t>
            </w:r>
          </w:p>
        </w:tc>
        <w:tc>
          <w:tcPr>
            <w:tcW w:type="dxa" w:w="2088"/>
            <w:vAlign w:val="center"/>
          </w:tcPr>
          <w:p>
            <w:pPr>
              <w:spacing w:after="0"/>
            </w:pPr>
            <w:r/>
            <w:r>
              <w:rPr>
                <w:rFonts w:ascii="Arial" w:hAnsi="Arial"/>
                <w:b w:val="0"/>
                <w:sz w:val="17"/>
              </w:rPr>
              <w:t>Patch dashboard, EDR report, encryption status</w:t>
            </w:r>
          </w:p>
        </w:tc>
      </w:tr>
      <w:tr>
        <w:tc>
          <w:tcPr>
            <w:tcW w:type="dxa" w:w="1944"/>
            <w:vAlign w:val="center"/>
          </w:tcPr>
          <w:p>
            <w:pPr>
              <w:spacing w:after="0"/>
            </w:pPr>
            <w:r/>
            <w:r>
              <w:rPr>
                <w:rFonts w:ascii="Arial" w:hAnsi="Arial"/>
                <w:b w:val="0"/>
                <w:sz w:val="17"/>
              </w:rPr>
              <w:t>Network and remote access</w:t>
            </w:r>
          </w:p>
        </w:tc>
        <w:tc>
          <w:tcPr>
            <w:tcW w:type="dxa" w:w="2880"/>
            <w:vAlign w:val="center"/>
          </w:tcPr>
          <w:p>
            <w:pPr>
              <w:spacing w:after="0"/>
            </w:pPr>
            <w:r/>
            <w:r>
              <w:rPr>
                <w:rFonts w:ascii="Arial" w:hAnsi="Arial"/>
                <w:b w:val="0"/>
                <w:sz w:val="17"/>
              </w:rPr>
              <w:t>Firewall rules; segmentation; secure Wi-Fi; remote access restrictions</w:t>
            </w:r>
          </w:p>
        </w:tc>
        <w:tc>
          <w:tcPr>
            <w:tcW w:type="dxa" w:w="3312"/>
            <w:vAlign w:val="center"/>
          </w:tcPr>
          <w:p>
            <w:pPr>
              <w:spacing w:after="0"/>
            </w:pPr>
            <w:r/>
            <w:r>
              <w:rPr>
                <w:rFonts w:ascii="Arial" w:hAnsi="Arial"/>
                <w:b w:val="0"/>
                <w:sz w:val="17"/>
              </w:rPr>
              <w:t>Review rule approvals and remote access configuration; confirm ownership of exceptions</w:t>
            </w:r>
          </w:p>
        </w:tc>
        <w:tc>
          <w:tcPr>
            <w:tcW w:type="dxa" w:w="2088"/>
            <w:vAlign w:val="center"/>
          </w:tcPr>
          <w:p>
            <w:pPr>
              <w:spacing w:after="0"/>
            </w:pPr>
            <w:r/>
            <w:r>
              <w:rPr>
                <w:rFonts w:ascii="Arial" w:hAnsi="Arial"/>
                <w:b w:val="0"/>
                <w:sz w:val="17"/>
              </w:rPr>
              <w:t>Firewall review, VPN/MFA settings, network diagram</w:t>
            </w:r>
          </w:p>
        </w:tc>
      </w:tr>
      <w:tr>
        <w:tc>
          <w:tcPr>
            <w:tcW w:type="dxa" w:w="1944"/>
            <w:vAlign w:val="center"/>
          </w:tcPr>
          <w:p>
            <w:pPr>
              <w:spacing w:after="0"/>
            </w:pPr>
            <w:r/>
            <w:r>
              <w:rPr>
                <w:rFonts w:ascii="Arial" w:hAnsi="Arial"/>
                <w:b w:val="0"/>
                <w:sz w:val="17"/>
              </w:rPr>
              <w:t>Cloud and applications</w:t>
            </w:r>
          </w:p>
        </w:tc>
        <w:tc>
          <w:tcPr>
            <w:tcW w:type="dxa" w:w="2880"/>
            <w:vAlign w:val="center"/>
          </w:tcPr>
          <w:p>
            <w:pPr>
              <w:spacing w:after="0"/>
            </w:pPr>
            <w:r/>
            <w:r>
              <w:rPr>
                <w:rFonts w:ascii="Arial" w:hAnsi="Arial"/>
                <w:b w:val="0"/>
                <w:sz w:val="17"/>
              </w:rPr>
              <w:t>Role assignments; external sharing; logging; secure configuration</w:t>
            </w:r>
          </w:p>
        </w:tc>
        <w:tc>
          <w:tcPr>
            <w:tcW w:type="dxa" w:w="3312"/>
            <w:vAlign w:val="center"/>
          </w:tcPr>
          <w:p>
            <w:pPr>
              <w:spacing w:after="0"/>
            </w:pPr>
            <w:r/>
            <w:r>
              <w:rPr>
                <w:rFonts w:ascii="Arial" w:hAnsi="Arial"/>
                <w:b w:val="0"/>
                <w:sz w:val="17"/>
              </w:rPr>
              <w:t>Sample application roles and shared files; review admin roles and audit-log settings</w:t>
            </w:r>
          </w:p>
        </w:tc>
        <w:tc>
          <w:tcPr>
            <w:tcW w:type="dxa" w:w="2088"/>
            <w:vAlign w:val="center"/>
          </w:tcPr>
          <w:p>
            <w:pPr>
              <w:spacing w:after="0"/>
            </w:pPr>
            <w:r/>
            <w:r>
              <w:rPr>
                <w:rFonts w:ascii="Arial" w:hAnsi="Arial"/>
                <w:b w:val="0"/>
                <w:sz w:val="17"/>
              </w:rPr>
              <w:t>Cloud configuration exports, application access list</w:t>
            </w:r>
          </w:p>
        </w:tc>
      </w:tr>
      <w:tr>
        <w:tc>
          <w:tcPr>
            <w:tcW w:type="dxa" w:w="1944"/>
            <w:vAlign w:val="center"/>
          </w:tcPr>
          <w:p>
            <w:pPr>
              <w:spacing w:after="0"/>
            </w:pPr>
            <w:r/>
            <w:r>
              <w:rPr>
                <w:rFonts w:ascii="Arial" w:hAnsi="Arial"/>
                <w:b w:val="0"/>
                <w:sz w:val="17"/>
              </w:rPr>
              <w:t>Data protection and privacy</w:t>
            </w:r>
          </w:p>
        </w:tc>
        <w:tc>
          <w:tcPr>
            <w:tcW w:type="dxa" w:w="2880"/>
            <w:vAlign w:val="center"/>
          </w:tcPr>
          <w:p>
            <w:pPr>
              <w:spacing w:after="0"/>
            </w:pPr>
            <w:r/>
            <w:r>
              <w:rPr>
                <w:rFonts w:ascii="Arial" w:hAnsi="Arial"/>
                <w:b w:val="0"/>
                <w:sz w:val="17"/>
              </w:rPr>
              <w:t>Classification; encryption; retention; secure deletion; transfer controls</w:t>
            </w:r>
          </w:p>
        </w:tc>
        <w:tc>
          <w:tcPr>
            <w:tcW w:type="dxa" w:w="3312"/>
            <w:vAlign w:val="center"/>
          </w:tcPr>
          <w:p>
            <w:pPr>
              <w:spacing w:after="0"/>
            </w:pPr>
            <w:r/>
            <w:r>
              <w:rPr>
                <w:rFonts w:ascii="Arial" w:hAnsi="Arial"/>
                <w:b w:val="0"/>
                <w:sz w:val="17"/>
              </w:rPr>
              <w:t>Trace a sample data flow; review retention settings and approved transfer methods</w:t>
            </w:r>
          </w:p>
        </w:tc>
        <w:tc>
          <w:tcPr>
            <w:tcW w:type="dxa" w:w="2088"/>
            <w:vAlign w:val="center"/>
          </w:tcPr>
          <w:p>
            <w:pPr>
              <w:spacing w:after="0"/>
            </w:pPr>
            <w:r/>
            <w:r>
              <w:rPr>
                <w:rFonts w:ascii="Arial" w:hAnsi="Arial"/>
                <w:b w:val="0"/>
                <w:sz w:val="17"/>
              </w:rPr>
              <w:t>Data classification, retention schedule, process records</w:t>
            </w:r>
          </w:p>
        </w:tc>
      </w:tr>
      <w:tr>
        <w:tc>
          <w:tcPr>
            <w:tcW w:type="dxa" w:w="1944"/>
            <w:vAlign w:val="center"/>
          </w:tcPr>
          <w:p>
            <w:pPr>
              <w:spacing w:after="0"/>
            </w:pPr>
            <w:r/>
            <w:r>
              <w:rPr>
                <w:rFonts w:ascii="Arial" w:hAnsi="Arial"/>
                <w:b w:val="0"/>
                <w:sz w:val="17"/>
              </w:rPr>
              <w:t>Backup and recovery</w:t>
            </w:r>
          </w:p>
        </w:tc>
        <w:tc>
          <w:tcPr>
            <w:tcW w:type="dxa" w:w="2880"/>
            <w:vAlign w:val="center"/>
          </w:tcPr>
          <w:p>
            <w:pPr>
              <w:spacing w:after="0"/>
            </w:pPr>
            <w:r/>
            <w:r>
              <w:rPr>
                <w:rFonts w:ascii="Arial" w:hAnsi="Arial"/>
                <w:b w:val="0"/>
                <w:sz w:val="17"/>
              </w:rPr>
              <w:t>Coverage; protected copies; access separation; recovery tests</w:t>
            </w:r>
          </w:p>
        </w:tc>
        <w:tc>
          <w:tcPr>
            <w:tcW w:type="dxa" w:w="3312"/>
            <w:vAlign w:val="center"/>
          </w:tcPr>
          <w:p>
            <w:pPr>
              <w:spacing w:after="0"/>
            </w:pPr>
            <w:r/>
            <w:r>
              <w:rPr>
                <w:rFonts w:ascii="Arial" w:hAnsi="Arial"/>
                <w:b w:val="0"/>
                <w:sz w:val="17"/>
              </w:rPr>
              <w:t>Sample backup jobs; inspect failures and most recent restore-test evidence</w:t>
            </w:r>
          </w:p>
        </w:tc>
        <w:tc>
          <w:tcPr>
            <w:tcW w:type="dxa" w:w="2088"/>
            <w:vAlign w:val="center"/>
          </w:tcPr>
          <w:p>
            <w:pPr>
              <w:spacing w:after="0"/>
            </w:pPr>
            <w:r/>
            <w:r>
              <w:rPr>
                <w:rFonts w:ascii="Arial" w:hAnsi="Arial"/>
                <w:b w:val="0"/>
                <w:sz w:val="17"/>
              </w:rPr>
              <w:t>Backup logs, restore-test record, recovery objectives</w:t>
            </w:r>
          </w:p>
        </w:tc>
      </w:tr>
      <w:tr>
        <w:tc>
          <w:tcPr>
            <w:tcW w:type="dxa" w:w="1944"/>
            <w:vAlign w:val="center"/>
          </w:tcPr>
          <w:p>
            <w:pPr>
              <w:spacing w:after="0"/>
            </w:pPr>
            <w:r/>
            <w:r>
              <w:rPr>
                <w:rFonts w:ascii="Arial" w:hAnsi="Arial"/>
                <w:b w:val="0"/>
                <w:sz w:val="17"/>
              </w:rPr>
              <w:t>Logging and monitoring</w:t>
            </w:r>
          </w:p>
        </w:tc>
        <w:tc>
          <w:tcPr>
            <w:tcW w:type="dxa" w:w="2880"/>
            <w:vAlign w:val="center"/>
          </w:tcPr>
          <w:p>
            <w:pPr>
              <w:spacing w:after="0"/>
            </w:pPr>
            <w:r/>
            <w:r>
              <w:rPr>
                <w:rFonts w:ascii="Arial" w:hAnsi="Arial"/>
                <w:b w:val="0"/>
                <w:sz w:val="17"/>
              </w:rPr>
              <w:t>Critical log sources; alert triage; retention; escalation</w:t>
            </w:r>
          </w:p>
        </w:tc>
        <w:tc>
          <w:tcPr>
            <w:tcW w:type="dxa" w:w="3312"/>
            <w:vAlign w:val="center"/>
          </w:tcPr>
          <w:p>
            <w:pPr>
              <w:spacing w:after="0"/>
            </w:pPr>
            <w:r/>
            <w:r>
              <w:rPr>
                <w:rFonts w:ascii="Arial" w:hAnsi="Arial"/>
                <w:b w:val="0"/>
                <w:sz w:val="17"/>
              </w:rPr>
              <w:t>Trace a sample alert from detection to closure; inspect coverage and retention</w:t>
            </w:r>
          </w:p>
        </w:tc>
        <w:tc>
          <w:tcPr>
            <w:tcW w:type="dxa" w:w="2088"/>
            <w:vAlign w:val="center"/>
          </w:tcPr>
          <w:p>
            <w:pPr>
              <w:spacing w:after="0"/>
            </w:pPr>
            <w:r/>
            <w:r>
              <w:rPr>
                <w:rFonts w:ascii="Arial" w:hAnsi="Arial"/>
                <w:b w:val="0"/>
                <w:sz w:val="17"/>
              </w:rPr>
              <w:t>SIEM or logging report, alert tickets</w:t>
            </w:r>
          </w:p>
        </w:tc>
      </w:tr>
      <w:tr>
        <w:tc>
          <w:tcPr>
            <w:tcW w:type="dxa" w:w="1944"/>
            <w:vAlign w:val="center"/>
          </w:tcPr>
          <w:p>
            <w:pPr>
              <w:spacing w:after="0"/>
            </w:pPr>
            <w:r/>
            <w:r>
              <w:rPr>
                <w:rFonts w:ascii="Arial" w:hAnsi="Arial"/>
                <w:b w:val="0"/>
                <w:sz w:val="17"/>
              </w:rPr>
              <w:t>Incident response and continuity</w:t>
            </w:r>
          </w:p>
        </w:tc>
        <w:tc>
          <w:tcPr>
            <w:tcW w:type="dxa" w:w="2880"/>
            <w:vAlign w:val="center"/>
          </w:tcPr>
          <w:p>
            <w:pPr>
              <w:spacing w:after="0"/>
            </w:pPr>
            <w:r/>
            <w:r>
              <w:rPr>
                <w:rFonts w:ascii="Arial" w:hAnsi="Arial"/>
                <w:b w:val="0"/>
                <w:sz w:val="17"/>
              </w:rPr>
              <w:t>Response plan; roles; contacts; exercises; lessons learned</w:t>
            </w:r>
          </w:p>
        </w:tc>
        <w:tc>
          <w:tcPr>
            <w:tcW w:type="dxa" w:w="3312"/>
            <w:vAlign w:val="center"/>
          </w:tcPr>
          <w:p>
            <w:pPr>
              <w:spacing w:after="0"/>
            </w:pPr>
            <w:r/>
            <w:r>
              <w:rPr>
                <w:rFonts w:ascii="Arial" w:hAnsi="Arial"/>
                <w:b w:val="0"/>
                <w:sz w:val="17"/>
              </w:rPr>
              <w:t>Review plan and exercise results; walk through an incident scenario</w:t>
            </w:r>
          </w:p>
        </w:tc>
        <w:tc>
          <w:tcPr>
            <w:tcW w:type="dxa" w:w="2088"/>
            <w:vAlign w:val="center"/>
          </w:tcPr>
          <w:p>
            <w:pPr>
              <w:spacing w:after="0"/>
            </w:pPr>
            <w:r/>
            <w:r>
              <w:rPr>
                <w:rFonts w:ascii="Arial" w:hAnsi="Arial"/>
                <w:b w:val="0"/>
                <w:sz w:val="17"/>
              </w:rPr>
              <w:t>Incident plan, exercise report, continuity plan</w:t>
            </w:r>
          </w:p>
        </w:tc>
      </w:tr>
      <w:tr>
        <w:tc>
          <w:tcPr>
            <w:tcW w:type="dxa" w:w="1944"/>
            <w:vAlign w:val="center"/>
          </w:tcPr>
          <w:p>
            <w:pPr>
              <w:spacing w:after="0"/>
            </w:pPr>
            <w:r/>
            <w:r>
              <w:rPr>
                <w:rFonts w:ascii="Arial" w:hAnsi="Arial"/>
                <w:b w:val="0"/>
                <w:sz w:val="17"/>
              </w:rPr>
              <w:t>Third-party risk</w:t>
            </w:r>
          </w:p>
        </w:tc>
        <w:tc>
          <w:tcPr>
            <w:tcW w:type="dxa" w:w="2880"/>
            <w:vAlign w:val="center"/>
          </w:tcPr>
          <w:p>
            <w:pPr>
              <w:spacing w:after="0"/>
            </w:pPr>
            <w:r/>
            <w:r>
              <w:rPr>
                <w:rFonts w:ascii="Arial" w:hAnsi="Arial"/>
                <w:b w:val="0"/>
                <w:sz w:val="17"/>
              </w:rPr>
              <w:t>Vendor inventory; due diligence; contracts; external access reviews</w:t>
            </w:r>
          </w:p>
        </w:tc>
        <w:tc>
          <w:tcPr>
            <w:tcW w:type="dxa" w:w="3312"/>
            <w:vAlign w:val="center"/>
          </w:tcPr>
          <w:p>
            <w:pPr>
              <w:spacing w:after="0"/>
            </w:pPr>
            <w:r/>
            <w:r>
              <w:rPr>
                <w:rFonts w:ascii="Arial" w:hAnsi="Arial"/>
                <w:b w:val="0"/>
                <w:sz w:val="17"/>
              </w:rPr>
              <w:t>Sample critical vendors; check reviews, security terms, and access expiration</w:t>
            </w:r>
          </w:p>
        </w:tc>
        <w:tc>
          <w:tcPr>
            <w:tcW w:type="dxa" w:w="2088"/>
            <w:vAlign w:val="center"/>
          </w:tcPr>
          <w:p>
            <w:pPr>
              <w:spacing w:after="0"/>
            </w:pPr>
            <w:r/>
            <w:r>
              <w:rPr>
                <w:rFonts w:ascii="Arial" w:hAnsi="Arial"/>
                <w:b w:val="0"/>
                <w:sz w:val="17"/>
              </w:rPr>
              <w:t>Vendor register, assessments, contracts</w:t>
            </w:r>
          </w:p>
        </w:tc>
      </w:tr>
      <w:tr>
        <w:tc>
          <w:tcPr>
            <w:tcW w:type="dxa" w:w="1944"/>
            <w:vAlign w:val="center"/>
          </w:tcPr>
          <w:p>
            <w:pPr>
              <w:spacing w:after="0"/>
            </w:pPr>
            <w:r/>
            <w:r>
              <w:rPr>
                <w:rFonts w:ascii="Arial" w:hAnsi="Arial"/>
                <w:b w:val="0"/>
                <w:sz w:val="17"/>
              </w:rPr>
              <w:t>People and physical security</w:t>
            </w:r>
          </w:p>
        </w:tc>
        <w:tc>
          <w:tcPr>
            <w:tcW w:type="dxa" w:w="2880"/>
            <w:vAlign w:val="center"/>
          </w:tcPr>
          <w:p>
            <w:pPr>
              <w:spacing w:after="0"/>
            </w:pPr>
            <w:r/>
            <w:r>
              <w:rPr>
                <w:rFonts w:ascii="Arial" w:hAnsi="Arial"/>
                <w:b w:val="0"/>
                <w:sz w:val="17"/>
              </w:rPr>
              <w:t>Awareness training; visitor controls; secure equipment handling</w:t>
            </w:r>
          </w:p>
        </w:tc>
        <w:tc>
          <w:tcPr>
            <w:tcW w:type="dxa" w:w="3312"/>
            <w:vAlign w:val="center"/>
          </w:tcPr>
          <w:p>
            <w:pPr>
              <w:spacing w:after="0"/>
            </w:pPr>
            <w:r/>
            <w:r>
              <w:rPr>
                <w:rFonts w:ascii="Arial" w:hAnsi="Arial"/>
                <w:b w:val="0"/>
                <w:sz w:val="17"/>
              </w:rPr>
              <w:t>Sample training completion; review visitor and equipment procedures</w:t>
            </w:r>
          </w:p>
        </w:tc>
        <w:tc>
          <w:tcPr>
            <w:tcW w:type="dxa" w:w="2088"/>
            <w:vAlign w:val="center"/>
          </w:tcPr>
          <w:p>
            <w:pPr>
              <w:spacing w:after="0"/>
            </w:pPr>
            <w:r/>
            <w:r>
              <w:rPr>
                <w:rFonts w:ascii="Arial" w:hAnsi="Arial"/>
                <w:b w:val="0"/>
                <w:sz w:val="17"/>
              </w:rPr>
              <w:t>Training records, visitor process, HR checklists</w:t>
            </w:r>
          </w:p>
        </w:tc>
      </w:tr>
    </w:tbl>
    <w:p/>
    <w:p>
      <w:pPr>
        <w:pStyle w:val="Heading1"/>
      </w:pPr>
      <w:r>
        <w:t>7. Risk Rating and Finding Classification</w:t>
      </w:r>
    </w:p>
    <w:p>
      <w:r>
        <w:t>Each finding should describe the condition observed, the expected control, the evidence reviewed, the likely business impact, and a practical recommendation. The initial rating is a planning judgment and must be supported by evidence and reviewed with the control owner.</w:t>
      </w:r>
    </w:p>
    <w:tbl>
      <w:tblPr>
        <w:tblStyle w:val="TableGrid"/>
        <w:tblW w:type="auto" w:w="0"/>
        <w:jc w:val="center"/>
        <w:tblLook w:firstColumn="1" w:firstRow="1" w:lastColumn="0" w:lastRow="0" w:noHBand="0" w:noVBand="1" w:val="04A0"/>
      </w:tblPr>
      <w:tblGrid>
        <w:gridCol w:w="3312"/>
        <w:gridCol w:w="3312"/>
        <w:gridCol w:w="3312"/>
      </w:tblGrid>
      <w:tr>
        <w:tc>
          <w:tcPr>
            <w:tcW w:type="dxa" w:w="1440"/>
            <w:vAlign w:val="center"/>
            <w:shd w:fill="D9EAF7"/>
          </w:tcPr>
          <w:p>
            <w:pPr>
              <w:spacing w:after="0"/>
            </w:pPr>
            <w:r/>
            <w:r>
              <w:rPr>
                <w:rFonts w:ascii="Arial" w:hAnsi="Arial"/>
                <w:b/>
                <w:sz w:val="18"/>
              </w:rPr>
              <w:t>Rating</w:t>
            </w:r>
          </w:p>
        </w:tc>
        <w:tc>
          <w:tcPr>
            <w:tcW w:type="dxa" w:w="5328"/>
            <w:vAlign w:val="center"/>
            <w:shd w:fill="D9EAF7"/>
          </w:tcPr>
          <w:p>
            <w:pPr>
              <w:spacing w:after="0"/>
            </w:pPr>
            <w:r/>
            <w:r>
              <w:rPr>
                <w:rFonts w:ascii="Arial" w:hAnsi="Arial"/>
                <w:b/>
                <w:sz w:val="18"/>
              </w:rPr>
              <w:t>Typical meaning</w:t>
            </w:r>
          </w:p>
        </w:tc>
        <w:tc>
          <w:tcPr>
            <w:tcW w:type="dxa" w:w="3456"/>
            <w:vAlign w:val="center"/>
            <w:shd w:fill="D9EAF7"/>
          </w:tcPr>
          <w:p>
            <w:pPr>
              <w:spacing w:after="0"/>
            </w:pPr>
            <w:r/>
            <w:r>
              <w:rPr>
                <w:rFonts w:ascii="Arial" w:hAnsi="Arial"/>
                <w:b/>
                <w:sz w:val="18"/>
              </w:rPr>
              <w:t>Target for management response</w:t>
            </w:r>
          </w:p>
        </w:tc>
      </w:tr>
      <w:tr>
        <w:tc>
          <w:tcPr>
            <w:tcW w:type="dxa" w:w="1440"/>
            <w:vAlign w:val="center"/>
          </w:tcPr>
          <w:p>
            <w:pPr>
              <w:spacing w:after="0"/>
            </w:pPr>
            <w:r/>
            <w:r>
              <w:rPr>
                <w:rFonts w:ascii="Arial" w:hAnsi="Arial"/>
                <w:b w:val="0"/>
                <w:sz w:val="17"/>
              </w:rPr>
              <w:t>Critical</w:t>
            </w:r>
          </w:p>
        </w:tc>
        <w:tc>
          <w:tcPr>
            <w:tcW w:type="dxa" w:w="5328"/>
            <w:vAlign w:val="center"/>
          </w:tcPr>
          <w:p>
            <w:pPr>
              <w:spacing w:after="0"/>
            </w:pPr>
            <w:r/>
            <w:r>
              <w:rPr>
                <w:rFonts w:ascii="Arial" w:hAnsi="Arial"/>
                <w:b w:val="0"/>
                <w:sz w:val="17"/>
              </w:rPr>
              <w:t>Credible path to severe business disruption, major data exposure, or loss of control over critical systems.</w:t>
            </w:r>
          </w:p>
        </w:tc>
        <w:tc>
          <w:tcPr>
            <w:tcW w:type="dxa" w:w="3456"/>
            <w:vAlign w:val="center"/>
          </w:tcPr>
          <w:p>
            <w:pPr>
              <w:spacing w:after="0"/>
            </w:pPr>
            <w:r/>
            <w:r>
              <w:rPr>
                <w:rFonts w:ascii="Arial" w:hAnsi="Arial"/>
                <w:b w:val="0"/>
                <w:sz w:val="17"/>
              </w:rPr>
              <w:t>Immediate escalation; contain or mitigate promptly; management-approved action plan.</w:t>
            </w:r>
          </w:p>
        </w:tc>
      </w:tr>
      <w:tr>
        <w:tc>
          <w:tcPr>
            <w:tcW w:type="dxa" w:w="1440"/>
            <w:vAlign w:val="center"/>
          </w:tcPr>
          <w:p>
            <w:pPr>
              <w:spacing w:after="0"/>
            </w:pPr>
            <w:r/>
            <w:r>
              <w:rPr>
                <w:rFonts w:ascii="Arial" w:hAnsi="Arial"/>
                <w:b w:val="0"/>
                <w:sz w:val="17"/>
              </w:rPr>
              <w:t>High</w:t>
            </w:r>
          </w:p>
        </w:tc>
        <w:tc>
          <w:tcPr>
            <w:tcW w:type="dxa" w:w="5328"/>
            <w:vAlign w:val="center"/>
          </w:tcPr>
          <w:p>
            <w:pPr>
              <w:spacing w:after="0"/>
            </w:pPr>
            <w:r/>
            <w:r>
              <w:rPr>
                <w:rFonts w:ascii="Arial" w:hAnsi="Arial"/>
                <w:b w:val="0"/>
                <w:sz w:val="17"/>
              </w:rPr>
              <w:t>Significant weakness that could materially affect confidentiality, integrity, or availability.</w:t>
            </w:r>
          </w:p>
        </w:tc>
        <w:tc>
          <w:tcPr>
            <w:tcW w:type="dxa" w:w="3456"/>
            <w:vAlign w:val="center"/>
          </w:tcPr>
          <w:p>
            <w:pPr>
              <w:spacing w:after="0"/>
            </w:pPr>
            <w:r/>
            <w:r>
              <w:rPr>
                <w:rFonts w:ascii="Arial" w:hAnsi="Arial"/>
                <w:b w:val="0"/>
                <w:sz w:val="17"/>
              </w:rPr>
              <w:t>Action plan within 10 business days; target remediation within 30 days where feasible.</w:t>
            </w:r>
          </w:p>
        </w:tc>
      </w:tr>
      <w:tr>
        <w:tc>
          <w:tcPr>
            <w:tcW w:type="dxa" w:w="1440"/>
            <w:vAlign w:val="center"/>
          </w:tcPr>
          <w:p>
            <w:pPr>
              <w:spacing w:after="0"/>
            </w:pPr>
            <w:r/>
            <w:r>
              <w:rPr>
                <w:rFonts w:ascii="Arial" w:hAnsi="Arial"/>
                <w:b w:val="0"/>
                <w:sz w:val="17"/>
              </w:rPr>
              <w:t>Medium</w:t>
            </w:r>
          </w:p>
        </w:tc>
        <w:tc>
          <w:tcPr>
            <w:tcW w:type="dxa" w:w="5328"/>
            <w:vAlign w:val="center"/>
          </w:tcPr>
          <w:p>
            <w:pPr>
              <w:spacing w:after="0"/>
            </w:pPr>
            <w:r/>
            <w:r>
              <w:rPr>
                <w:rFonts w:ascii="Arial" w:hAnsi="Arial"/>
                <w:b w:val="0"/>
                <w:sz w:val="17"/>
              </w:rPr>
              <w:t>Meaningful control gap with limited or conditional impact, or a weakness requiring multiple conditions to exploit.</w:t>
            </w:r>
          </w:p>
        </w:tc>
        <w:tc>
          <w:tcPr>
            <w:tcW w:type="dxa" w:w="3456"/>
            <w:vAlign w:val="center"/>
          </w:tcPr>
          <w:p>
            <w:pPr>
              <w:spacing w:after="0"/>
            </w:pPr>
            <w:r/>
            <w:r>
              <w:rPr>
                <w:rFonts w:ascii="Arial" w:hAnsi="Arial"/>
                <w:b w:val="0"/>
                <w:sz w:val="17"/>
              </w:rPr>
              <w:t>Action plan within 30 days; target remediation within 60–90 days.</w:t>
            </w:r>
          </w:p>
        </w:tc>
      </w:tr>
      <w:tr>
        <w:tc>
          <w:tcPr>
            <w:tcW w:type="dxa" w:w="1440"/>
            <w:vAlign w:val="center"/>
          </w:tcPr>
          <w:p>
            <w:pPr>
              <w:spacing w:after="0"/>
            </w:pPr>
            <w:r/>
            <w:r>
              <w:rPr>
                <w:rFonts w:ascii="Arial" w:hAnsi="Arial"/>
                <w:b w:val="0"/>
                <w:sz w:val="17"/>
              </w:rPr>
              <w:t>Low</w:t>
            </w:r>
          </w:p>
        </w:tc>
        <w:tc>
          <w:tcPr>
            <w:tcW w:type="dxa" w:w="5328"/>
            <w:vAlign w:val="center"/>
          </w:tcPr>
          <w:p>
            <w:pPr>
              <w:spacing w:after="0"/>
            </w:pPr>
            <w:r/>
            <w:r>
              <w:rPr>
                <w:rFonts w:ascii="Arial" w:hAnsi="Arial"/>
                <w:b w:val="0"/>
                <w:sz w:val="17"/>
              </w:rPr>
              <w:t>Limited impact, procedural improvement, or defense-in-depth gap.</w:t>
            </w:r>
          </w:p>
        </w:tc>
        <w:tc>
          <w:tcPr>
            <w:tcW w:type="dxa" w:w="3456"/>
            <w:vAlign w:val="center"/>
          </w:tcPr>
          <w:p>
            <w:pPr>
              <w:spacing w:after="0"/>
            </w:pPr>
            <w:r/>
            <w:r>
              <w:rPr>
                <w:rFonts w:ascii="Arial" w:hAnsi="Arial"/>
                <w:b w:val="0"/>
                <w:sz w:val="17"/>
              </w:rPr>
              <w:t>Address within 90–180 days or track as an approved improvement.</w:t>
            </w:r>
          </w:p>
        </w:tc>
      </w:tr>
      <w:tr>
        <w:tc>
          <w:tcPr>
            <w:tcW w:type="dxa" w:w="1440"/>
            <w:vAlign w:val="center"/>
          </w:tcPr>
          <w:p>
            <w:pPr>
              <w:spacing w:after="0"/>
            </w:pPr>
            <w:r/>
            <w:r>
              <w:rPr>
                <w:rFonts w:ascii="Arial" w:hAnsi="Arial"/>
                <w:b w:val="0"/>
                <w:sz w:val="17"/>
              </w:rPr>
              <w:t>Observation</w:t>
            </w:r>
          </w:p>
        </w:tc>
        <w:tc>
          <w:tcPr>
            <w:tcW w:type="dxa" w:w="5328"/>
            <w:vAlign w:val="center"/>
          </w:tcPr>
          <w:p>
            <w:pPr>
              <w:spacing w:after="0"/>
            </w:pPr>
            <w:r/>
            <w:r>
              <w:rPr>
                <w:rFonts w:ascii="Arial" w:hAnsi="Arial"/>
                <w:b w:val="0"/>
                <w:sz w:val="17"/>
              </w:rPr>
              <w:t>Improvement opportunity or evidence gap that is not yet a confirmed control failure.</w:t>
            </w:r>
          </w:p>
        </w:tc>
        <w:tc>
          <w:tcPr>
            <w:tcW w:type="dxa" w:w="3456"/>
            <w:vAlign w:val="center"/>
          </w:tcPr>
          <w:p>
            <w:pPr>
              <w:spacing w:after="0"/>
            </w:pPr>
            <w:r/>
            <w:r>
              <w:rPr>
                <w:rFonts w:ascii="Arial" w:hAnsi="Arial"/>
                <w:b w:val="0"/>
                <w:sz w:val="17"/>
              </w:rPr>
              <w:t>Assign an owner and decide whether further validation is needed.</w:t>
            </w:r>
          </w:p>
        </w:tc>
      </w:tr>
    </w:tbl>
    <w:p/>
    <w:p>
      <w:r>
        <w:t>These timeframes are proposed service targets, not universal rules. Management may set different dates based on business impact, technical dependencies, compensating controls, and risk acceptance. Any accepted risk must have a named approver, documented rationale, and review/expiry date.</w:t>
      </w:r>
    </w:p>
    <w:p>
      <w:pPr>
        <w:pStyle w:val="Heading1"/>
      </w:pPr>
      <w:r>
        <w:t>8. Audit Schedule</w:t>
      </w:r>
    </w:p>
    <w:p>
      <w:r>
        <w:t>The following schedule uses a four-week audit cycle. Dates should be set after the sponsor approves the scope and confirms staff availability.</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152"/>
            <w:vAlign w:val="center"/>
            <w:shd w:fill="D9EAF7"/>
          </w:tcPr>
          <w:p>
            <w:pPr>
              <w:spacing w:after="0"/>
            </w:pPr>
            <w:r/>
            <w:r>
              <w:rPr>
                <w:rFonts w:ascii="Arial" w:hAnsi="Arial"/>
                <w:b/>
                <w:sz w:val="18"/>
              </w:rPr>
              <w:t>Period</w:t>
            </w:r>
          </w:p>
        </w:tc>
        <w:tc>
          <w:tcPr>
            <w:tcW w:type="dxa" w:w="1944"/>
            <w:vAlign w:val="center"/>
            <w:shd w:fill="D9EAF7"/>
          </w:tcPr>
          <w:p>
            <w:pPr>
              <w:spacing w:after="0"/>
            </w:pPr>
            <w:r/>
            <w:r>
              <w:rPr>
                <w:rFonts w:ascii="Arial" w:hAnsi="Arial"/>
                <w:b/>
                <w:sz w:val="18"/>
              </w:rPr>
              <w:t>Phase</w:t>
            </w:r>
          </w:p>
        </w:tc>
        <w:tc>
          <w:tcPr>
            <w:tcW w:type="dxa" w:w="4320"/>
            <w:vAlign w:val="center"/>
            <w:shd w:fill="D9EAF7"/>
          </w:tcPr>
          <w:p>
            <w:pPr>
              <w:spacing w:after="0"/>
            </w:pPr>
            <w:r/>
            <w:r>
              <w:rPr>
                <w:rFonts w:ascii="Arial" w:hAnsi="Arial"/>
                <w:b/>
                <w:sz w:val="18"/>
              </w:rPr>
              <w:t>Activities</w:t>
            </w:r>
          </w:p>
        </w:tc>
        <w:tc>
          <w:tcPr>
            <w:tcW w:type="dxa" w:w="2304"/>
            <w:vAlign w:val="center"/>
            <w:shd w:fill="D9EAF7"/>
          </w:tcPr>
          <w:p>
            <w:pPr>
              <w:spacing w:after="0"/>
            </w:pPr>
            <w:r/>
            <w:r>
              <w:rPr>
                <w:rFonts w:ascii="Arial" w:hAnsi="Arial"/>
                <w:b/>
                <w:sz w:val="18"/>
              </w:rPr>
              <w:t>Outputs</w:t>
            </w:r>
          </w:p>
        </w:tc>
        <w:tc>
          <w:tcPr>
            <w:tcW w:type="dxa" w:w="648"/>
            <w:vAlign w:val="center"/>
            <w:shd w:fill="D9EAF7"/>
          </w:tcPr>
          <w:p>
            <w:pPr>
              <w:spacing w:after="0"/>
            </w:pPr>
            <w:r/>
            <w:r>
              <w:rPr>
                <w:rFonts w:ascii="Arial" w:hAnsi="Arial"/>
                <w:b/>
                <w:sz w:val="18"/>
              </w:rPr>
              <w:t>Hours</w:t>
            </w:r>
          </w:p>
        </w:tc>
      </w:tr>
      <w:tr>
        <w:tc>
          <w:tcPr>
            <w:tcW w:type="dxa" w:w="1152"/>
            <w:vAlign w:val="center"/>
          </w:tcPr>
          <w:p>
            <w:pPr>
              <w:spacing w:after="0"/>
            </w:pPr>
            <w:r/>
            <w:r>
              <w:rPr>
                <w:rFonts w:ascii="Arial" w:hAnsi="Arial"/>
                <w:b w:val="0"/>
                <w:sz w:val="17"/>
              </w:rPr>
              <w:t>Week 1</w:t>
            </w:r>
          </w:p>
        </w:tc>
        <w:tc>
          <w:tcPr>
            <w:tcW w:type="dxa" w:w="1944"/>
            <w:vAlign w:val="center"/>
          </w:tcPr>
          <w:p>
            <w:pPr>
              <w:spacing w:after="0"/>
            </w:pPr>
            <w:r/>
            <w:r>
              <w:rPr>
                <w:rFonts w:ascii="Arial" w:hAnsi="Arial"/>
                <w:b w:val="0"/>
                <w:sz w:val="17"/>
              </w:rPr>
              <w:t>Initiation and planning</w:t>
            </w:r>
          </w:p>
        </w:tc>
        <w:tc>
          <w:tcPr>
            <w:tcW w:type="dxa" w:w="4320"/>
            <w:vAlign w:val="center"/>
          </w:tcPr>
          <w:p>
            <w:pPr>
              <w:spacing w:after="0"/>
            </w:pPr>
            <w:r/>
            <w:r>
              <w:rPr>
                <w:rFonts w:ascii="Arial" w:hAnsi="Arial"/>
                <w:b w:val="0"/>
                <w:sz w:val="17"/>
              </w:rPr>
              <w:t>Confirm scope, objectives, systems, contacts, criteria, risks, and evidence requests; hold kickoff meeting.</w:t>
            </w:r>
          </w:p>
        </w:tc>
        <w:tc>
          <w:tcPr>
            <w:tcW w:type="dxa" w:w="2304"/>
            <w:vAlign w:val="center"/>
          </w:tcPr>
          <w:p>
            <w:pPr>
              <w:spacing w:after="0"/>
            </w:pPr>
            <w:r/>
            <w:r>
              <w:rPr>
                <w:rFonts w:ascii="Arial" w:hAnsi="Arial"/>
                <w:b w:val="0"/>
                <w:sz w:val="17"/>
              </w:rPr>
              <w:t>Approved scope; audit request list; schedule</w:t>
            </w:r>
          </w:p>
        </w:tc>
        <w:tc>
          <w:tcPr>
            <w:tcW w:type="dxa" w:w="648"/>
            <w:vAlign w:val="center"/>
          </w:tcPr>
          <w:p>
            <w:pPr>
              <w:spacing w:after="0"/>
            </w:pPr>
            <w:r/>
            <w:r>
              <w:rPr>
                <w:rFonts w:ascii="Arial" w:hAnsi="Arial"/>
                <w:b w:val="0"/>
                <w:sz w:val="17"/>
              </w:rPr>
              <w:t>4</w:t>
            </w:r>
          </w:p>
        </w:tc>
      </w:tr>
      <w:tr>
        <w:tc>
          <w:tcPr>
            <w:tcW w:type="dxa" w:w="1152"/>
            <w:vAlign w:val="center"/>
          </w:tcPr>
          <w:p>
            <w:pPr>
              <w:spacing w:after="0"/>
            </w:pPr>
            <w:r/>
            <w:r>
              <w:rPr>
                <w:rFonts w:ascii="Arial" w:hAnsi="Arial"/>
                <w:b w:val="0"/>
                <w:sz w:val="17"/>
              </w:rPr>
              <w:t>Week 1</w:t>
            </w:r>
          </w:p>
        </w:tc>
        <w:tc>
          <w:tcPr>
            <w:tcW w:type="dxa" w:w="1944"/>
            <w:vAlign w:val="center"/>
          </w:tcPr>
          <w:p>
            <w:pPr>
              <w:spacing w:after="0"/>
            </w:pPr>
            <w:r/>
            <w:r>
              <w:rPr>
                <w:rFonts w:ascii="Arial" w:hAnsi="Arial"/>
                <w:b w:val="0"/>
                <w:sz w:val="17"/>
              </w:rPr>
              <w:t>Governance and identity</w:t>
            </w:r>
          </w:p>
        </w:tc>
        <w:tc>
          <w:tcPr>
            <w:tcW w:type="dxa" w:w="4320"/>
            <w:vAlign w:val="center"/>
          </w:tcPr>
          <w:p>
            <w:pPr>
              <w:spacing w:after="0"/>
            </w:pPr>
            <w:r/>
            <w:r>
              <w:rPr>
                <w:rFonts w:ascii="Arial" w:hAnsi="Arial"/>
                <w:b w:val="0"/>
                <w:sz w:val="17"/>
              </w:rPr>
              <w:t>Review policies, risk register, account lifecycle, MFA, privileged access, and access review evidence.</w:t>
            </w:r>
          </w:p>
        </w:tc>
        <w:tc>
          <w:tcPr>
            <w:tcW w:type="dxa" w:w="2304"/>
            <w:vAlign w:val="center"/>
          </w:tcPr>
          <w:p>
            <w:pPr>
              <w:spacing w:after="0"/>
            </w:pPr>
            <w:r/>
            <w:r>
              <w:rPr>
                <w:rFonts w:ascii="Arial" w:hAnsi="Arial"/>
                <w:b w:val="0"/>
                <w:sz w:val="17"/>
              </w:rPr>
              <w:t>Working papers; initial observations</w:t>
            </w:r>
          </w:p>
        </w:tc>
        <w:tc>
          <w:tcPr>
            <w:tcW w:type="dxa" w:w="648"/>
            <w:vAlign w:val="center"/>
          </w:tcPr>
          <w:p>
            <w:pPr>
              <w:spacing w:after="0"/>
            </w:pPr>
            <w:r/>
            <w:r>
              <w:rPr>
                <w:rFonts w:ascii="Arial" w:hAnsi="Arial"/>
                <w:b w:val="0"/>
                <w:sz w:val="17"/>
              </w:rPr>
              <w:t>5</w:t>
            </w:r>
          </w:p>
        </w:tc>
      </w:tr>
      <w:tr>
        <w:tc>
          <w:tcPr>
            <w:tcW w:type="dxa" w:w="1152"/>
            <w:vAlign w:val="center"/>
          </w:tcPr>
          <w:p>
            <w:pPr>
              <w:spacing w:after="0"/>
            </w:pPr>
            <w:r/>
            <w:r>
              <w:rPr>
                <w:rFonts w:ascii="Arial" w:hAnsi="Arial"/>
                <w:b w:val="0"/>
                <w:sz w:val="17"/>
              </w:rPr>
              <w:t>Week 2</w:t>
            </w:r>
          </w:p>
        </w:tc>
        <w:tc>
          <w:tcPr>
            <w:tcW w:type="dxa" w:w="1944"/>
            <w:vAlign w:val="center"/>
          </w:tcPr>
          <w:p>
            <w:pPr>
              <w:spacing w:after="0"/>
            </w:pPr>
            <w:r/>
            <w:r>
              <w:rPr>
                <w:rFonts w:ascii="Arial" w:hAnsi="Arial"/>
                <w:b w:val="0"/>
                <w:sz w:val="17"/>
              </w:rPr>
              <w:t>Technical and data controls</w:t>
            </w:r>
          </w:p>
        </w:tc>
        <w:tc>
          <w:tcPr>
            <w:tcW w:type="dxa" w:w="4320"/>
            <w:vAlign w:val="center"/>
          </w:tcPr>
          <w:p>
            <w:pPr>
              <w:spacing w:after="0"/>
            </w:pPr>
            <w:r/>
            <w:r>
              <w:rPr>
                <w:rFonts w:ascii="Arial" w:hAnsi="Arial"/>
                <w:b w:val="0"/>
                <w:sz w:val="17"/>
              </w:rPr>
              <w:t>Review endpoints, patching, network/remote access, cloud permissions, data protection, and change records.</w:t>
            </w:r>
          </w:p>
        </w:tc>
        <w:tc>
          <w:tcPr>
            <w:tcW w:type="dxa" w:w="2304"/>
            <w:vAlign w:val="center"/>
          </w:tcPr>
          <w:p>
            <w:pPr>
              <w:spacing w:after="0"/>
            </w:pPr>
            <w:r/>
            <w:r>
              <w:rPr>
                <w:rFonts w:ascii="Arial" w:hAnsi="Arial"/>
                <w:b w:val="0"/>
                <w:sz w:val="17"/>
              </w:rPr>
              <w:t>Sample results; evidence register</w:t>
            </w:r>
          </w:p>
        </w:tc>
        <w:tc>
          <w:tcPr>
            <w:tcW w:type="dxa" w:w="648"/>
            <w:vAlign w:val="center"/>
          </w:tcPr>
          <w:p>
            <w:pPr>
              <w:spacing w:after="0"/>
            </w:pPr>
            <w:r/>
            <w:r>
              <w:rPr>
                <w:rFonts w:ascii="Arial" w:hAnsi="Arial"/>
                <w:b w:val="0"/>
                <w:sz w:val="17"/>
              </w:rPr>
              <w:t>7</w:t>
            </w:r>
          </w:p>
        </w:tc>
      </w:tr>
      <w:tr>
        <w:tc>
          <w:tcPr>
            <w:tcW w:type="dxa" w:w="1152"/>
            <w:vAlign w:val="center"/>
          </w:tcPr>
          <w:p>
            <w:pPr>
              <w:spacing w:after="0"/>
            </w:pPr>
            <w:r/>
            <w:r>
              <w:rPr>
                <w:rFonts w:ascii="Arial" w:hAnsi="Arial"/>
                <w:b w:val="0"/>
                <w:sz w:val="17"/>
              </w:rPr>
              <w:t>Week 3</w:t>
            </w:r>
          </w:p>
        </w:tc>
        <w:tc>
          <w:tcPr>
            <w:tcW w:type="dxa" w:w="1944"/>
            <w:vAlign w:val="center"/>
          </w:tcPr>
          <w:p>
            <w:pPr>
              <w:spacing w:after="0"/>
            </w:pPr>
            <w:r/>
            <w:r>
              <w:rPr>
                <w:rFonts w:ascii="Arial" w:hAnsi="Arial"/>
                <w:b w:val="0"/>
                <w:sz w:val="17"/>
              </w:rPr>
              <w:t>Resilience and third parties</w:t>
            </w:r>
          </w:p>
        </w:tc>
        <w:tc>
          <w:tcPr>
            <w:tcW w:type="dxa" w:w="4320"/>
            <w:vAlign w:val="center"/>
          </w:tcPr>
          <w:p>
            <w:pPr>
              <w:spacing w:after="0"/>
            </w:pPr>
            <w:r/>
            <w:r>
              <w:rPr>
                <w:rFonts w:ascii="Arial" w:hAnsi="Arial"/>
                <w:b w:val="0"/>
                <w:sz w:val="17"/>
              </w:rPr>
              <w:t>Review backups, restore tests, monitoring, incident response, continuity, vendor controls, and awareness.</w:t>
            </w:r>
          </w:p>
        </w:tc>
        <w:tc>
          <w:tcPr>
            <w:tcW w:type="dxa" w:w="2304"/>
            <w:vAlign w:val="center"/>
          </w:tcPr>
          <w:p>
            <w:pPr>
              <w:spacing w:after="0"/>
            </w:pPr>
            <w:r/>
            <w:r>
              <w:rPr>
                <w:rFonts w:ascii="Arial" w:hAnsi="Arial"/>
                <w:b w:val="0"/>
                <w:sz w:val="17"/>
              </w:rPr>
              <w:t>Control test results; draft findings</w:t>
            </w:r>
          </w:p>
        </w:tc>
        <w:tc>
          <w:tcPr>
            <w:tcW w:type="dxa" w:w="648"/>
            <w:vAlign w:val="center"/>
          </w:tcPr>
          <w:p>
            <w:pPr>
              <w:spacing w:after="0"/>
            </w:pPr>
            <w:r/>
            <w:r>
              <w:rPr>
                <w:rFonts w:ascii="Arial" w:hAnsi="Arial"/>
                <w:b w:val="0"/>
                <w:sz w:val="17"/>
              </w:rPr>
              <w:t>6</w:t>
            </w:r>
          </w:p>
        </w:tc>
      </w:tr>
      <w:tr>
        <w:tc>
          <w:tcPr>
            <w:tcW w:type="dxa" w:w="1152"/>
            <w:vAlign w:val="center"/>
          </w:tcPr>
          <w:p>
            <w:pPr>
              <w:spacing w:after="0"/>
            </w:pPr>
            <w:r/>
            <w:r>
              <w:rPr>
                <w:rFonts w:ascii="Arial" w:hAnsi="Arial"/>
                <w:b w:val="0"/>
                <w:sz w:val="17"/>
              </w:rPr>
              <w:t>Week 4</w:t>
            </w:r>
          </w:p>
        </w:tc>
        <w:tc>
          <w:tcPr>
            <w:tcW w:type="dxa" w:w="1944"/>
            <w:vAlign w:val="center"/>
          </w:tcPr>
          <w:p>
            <w:pPr>
              <w:spacing w:after="0"/>
            </w:pPr>
            <w:r/>
            <w:r>
              <w:rPr>
                <w:rFonts w:ascii="Arial" w:hAnsi="Arial"/>
                <w:b w:val="0"/>
                <w:sz w:val="17"/>
              </w:rPr>
              <w:t>Analysis and reporting</w:t>
            </w:r>
          </w:p>
        </w:tc>
        <w:tc>
          <w:tcPr>
            <w:tcW w:type="dxa" w:w="4320"/>
            <w:vAlign w:val="center"/>
          </w:tcPr>
          <w:p>
            <w:pPr>
              <w:spacing w:after="0"/>
            </w:pPr>
            <w:r/>
            <w:r>
              <w:rPr>
                <w:rFonts w:ascii="Arial" w:hAnsi="Arial"/>
                <w:b w:val="0"/>
                <w:sz w:val="17"/>
              </w:rPr>
              <w:t>Validate evidence, discuss factual accuracy, rate risks, agree owners and dates, and draft the report.</w:t>
            </w:r>
          </w:p>
        </w:tc>
        <w:tc>
          <w:tcPr>
            <w:tcW w:type="dxa" w:w="2304"/>
            <w:vAlign w:val="center"/>
          </w:tcPr>
          <w:p>
            <w:pPr>
              <w:spacing w:after="0"/>
            </w:pPr>
            <w:r/>
            <w:r>
              <w:rPr>
                <w:rFonts w:ascii="Arial" w:hAnsi="Arial"/>
                <w:b w:val="0"/>
                <w:sz w:val="17"/>
              </w:rPr>
              <w:t>Draft report; management responses</w:t>
            </w:r>
          </w:p>
        </w:tc>
        <w:tc>
          <w:tcPr>
            <w:tcW w:type="dxa" w:w="648"/>
            <w:vAlign w:val="center"/>
          </w:tcPr>
          <w:p>
            <w:pPr>
              <w:spacing w:after="0"/>
            </w:pPr>
            <w:r/>
            <w:r>
              <w:rPr>
                <w:rFonts w:ascii="Arial" w:hAnsi="Arial"/>
                <w:b w:val="0"/>
                <w:sz w:val="17"/>
              </w:rPr>
              <w:t>6</w:t>
            </w:r>
          </w:p>
        </w:tc>
      </w:tr>
      <w:tr>
        <w:tc>
          <w:tcPr>
            <w:tcW w:type="dxa" w:w="1152"/>
            <w:vAlign w:val="center"/>
          </w:tcPr>
          <w:p>
            <w:pPr>
              <w:spacing w:after="0"/>
            </w:pPr>
            <w:r/>
            <w:r>
              <w:rPr>
                <w:rFonts w:ascii="Arial" w:hAnsi="Arial"/>
                <w:b w:val="0"/>
                <w:sz w:val="17"/>
              </w:rPr>
              <w:t>Week 4</w:t>
            </w:r>
          </w:p>
        </w:tc>
        <w:tc>
          <w:tcPr>
            <w:tcW w:type="dxa" w:w="1944"/>
            <w:vAlign w:val="center"/>
          </w:tcPr>
          <w:p>
            <w:pPr>
              <w:spacing w:after="0"/>
            </w:pPr>
            <w:r/>
            <w:r>
              <w:rPr>
                <w:rFonts w:ascii="Arial" w:hAnsi="Arial"/>
                <w:b w:val="0"/>
                <w:sz w:val="17"/>
              </w:rPr>
              <w:t>Closeout and follow-up setup</w:t>
            </w:r>
          </w:p>
        </w:tc>
        <w:tc>
          <w:tcPr>
            <w:tcW w:type="dxa" w:w="4320"/>
            <w:vAlign w:val="center"/>
          </w:tcPr>
          <w:p>
            <w:pPr>
              <w:spacing w:after="0"/>
            </w:pPr>
            <w:r/>
            <w:r>
              <w:rPr>
                <w:rFonts w:ascii="Arial" w:hAnsi="Arial"/>
                <w:b w:val="0"/>
                <w:sz w:val="17"/>
              </w:rPr>
              <w:t>Conduct closeout meeting, finalize report, record actions, and set remediation follow-up dates.</w:t>
            </w:r>
          </w:p>
        </w:tc>
        <w:tc>
          <w:tcPr>
            <w:tcW w:type="dxa" w:w="2304"/>
            <w:vAlign w:val="center"/>
          </w:tcPr>
          <w:p>
            <w:pPr>
              <w:spacing w:after="0"/>
            </w:pPr>
            <w:r/>
            <w:r>
              <w:rPr>
                <w:rFonts w:ascii="Arial" w:hAnsi="Arial"/>
                <w:b w:val="0"/>
                <w:sz w:val="17"/>
              </w:rPr>
              <w:t>Final plan/report package; action tracker</w:t>
            </w:r>
          </w:p>
        </w:tc>
        <w:tc>
          <w:tcPr>
            <w:tcW w:type="dxa" w:w="648"/>
            <w:vAlign w:val="center"/>
          </w:tcPr>
          <w:p>
            <w:pPr>
              <w:spacing w:after="0"/>
            </w:pPr>
            <w:r/>
            <w:r>
              <w:rPr>
                <w:rFonts w:ascii="Arial" w:hAnsi="Arial"/>
                <w:b w:val="0"/>
                <w:sz w:val="17"/>
              </w:rPr>
              <w:t>4</w:t>
            </w:r>
          </w:p>
        </w:tc>
      </w:tr>
    </w:tbl>
    <w:p/>
    <w:p>
      <w:r>
        <w:rPr>
          <w:b/>
        </w:rPr>
        <w:t>Total estimated audit effort: 32 hours.</w:t>
      </w:r>
    </w:p>
    <w:p>
      <w:pPr>
        <w:pStyle w:val="Heading1"/>
      </w:pPr>
      <w:r>
        <w:t>9. Roles and Responsibilities</w:t>
      </w:r>
    </w:p>
    <w:tbl>
      <w:tblPr>
        <w:tblStyle w:val="TableGrid"/>
        <w:tblW w:type="auto" w:w="0"/>
        <w:jc w:val="center"/>
        <w:tblLook w:firstColumn="1" w:firstRow="1" w:lastColumn="0" w:lastRow="0" w:noHBand="0" w:noVBand="1" w:val="04A0"/>
      </w:tblPr>
      <w:tblGrid>
        <w:gridCol w:w="4968"/>
        <w:gridCol w:w="4968"/>
      </w:tblGrid>
      <w:tr>
        <w:tc>
          <w:tcPr>
            <w:tcW w:type="dxa" w:w="2592"/>
            <w:vAlign w:val="center"/>
            <w:shd w:fill="D9EAF7"/>
          </w:tcPr>
          <w:p>
            <w:pPr>
              <w:spacing w:after="0"/>
            </w:pPr>
            <w:r/>
            <w:r>
              <w:rPr>
                <w:rFonts w:ascii="Arial" w:hAnsi="Arial"/>
                <w:b/>
                <w:sz w:val="18"/>
              </w:rPr>
              <w:t>Role</w:t>
            </w:r>
          </w:p>
        </w:tc>
        <w:tc>
          <w:tcPr>
            <w:tcW w:type="dxa" w:w="7200"/>
            <w:vAlign w:val="center"/>
            <w:shd w:fill="D9EAF7"/>
          </w:tcPr>
          <w:p>
            <w:pPr>
              <w:spacing w:after="0"/>
            </w:pPr>
            <w:r/>
            <w:r>
              <w:rPr>
                <w:rFonts w:ascii="Arial" w:hAnsi="Arial"/>
                <w:b/>
                <w:sz w:val="18"/>
              </w:rPr>
              <w:t>Responsibilities</w:t>
            </w:r>
          </w:p>
        </w:tc>
      </w:tr>
      <w:tr>
        <w:tc>
          <w:tcPr>
            <w:tcW w:type="dxa" w:w="2592"/>
            <w:vAlign w:val="center"/>
          </w:tcPr>
          <w:p>
            <w:pPr>
              <w:spacing w:after="0"/>
            </w:pPr>
            <w:r/>
            <w:r>
              <w:rPr>
                <w:rFonts w:ascii="Arial" w:hAnsi="Arial"/>
                <w:b w:val="0"/>
                <w:sz w:val="17"/>
              </w:rPr>
              <w:t>Executive sponsor</w:t>
            </w:r>
          </w:p>
        </w:tc>
        <w:tc>
          <w:tcPr>
            <w:tcW w:type="dxa" w:w="7200"/>
            <w:vAlign w:val="center"/>
          </w:tcPr>
          <w:p>
            <w:pPr>
              <w:spacing w:after="0"/>
            </w:pPr>
            <w:r/>
            <w:r>
              <w:rPr>
                <w:rFonts w:ascii="Arial" w:hAnsi="Arial"/>
                <w:b w:val="0"/>
                <w:sz w:val="17"/>
              </w:rPr>
              <w:t>Approves scope and resources, resolves escalations, and accepts or rejects significant residual risks.</w:t>
            </w:r>
          </w:p>
        </w:tc>
      </w:tr>
      <w:tr>
        <w:tc>
          <w:tcPr>
            <w:tcW w:type="dxa" w:w="2592"/>
            <w:vAlign w:val="center"/>
          </w:tcPr>
          <w:p>
            <w:pPr>
              <w:spacing w:after="0"/>
            </w:pPr>
            <w:r/>
            <w:r>
              <w:rPr>
                <w:rFonts w:ascii="Arial" w:hAnsi="Arial"/>
                <w:b w:val="0"/>
                <w:sz w:val="17"/>
              </w:rPr>
              <w:t>Audit lead / coordinator</w:t>
            </w:r>
          </w:p>
        </w:tc>
        <w:tc>
          <w:tcPr>
            <w:tcW w:type="dxa" w:w="7200"/>
            <w:vAlign w:val="center"/>
          </w:tcPr>
          <w:p>
            <w:pPr>
              <w:spacing w:after="0"/>
            </w:pPr>
            <w:r/>
            <w:r>
              <w:rPr>
                <w:rFonts w:ascii="Arial" w:hAnsi="Arial"/>
                <w:b w:val="0"/>
                <w:sz w:val="17"/>
              </w:rPr>
              <w:t>Maintains the plan, runs meetings, collects evidence, records test results, rates findings, and prepares the report.</w:t>
            </w:r>
          </w:p>
        </w:tc>
      </w:tr>
      <w:tr>
        <w:tc>
          <w:tcPr>
            <w:tcW w:type="dxa" w:w="2592"/>
            <w:vAlign w:val="center"/>
          </w:tcPr>
          <w:p>
            <w:pPr>
              <w:spacing w:after="0"/>
            </w:pPr>
            <w:r/>
            <w:r>
              <w:rPr>
                <w:rFonts w:ascii="Arial" w:hAnsi="Arial"/>
                <w:b w:val="0"/>
                <w:sz w:val="17"/>
              </w:rPr>
              <w:t>IT / security owner</w:t>
            </w:r>
          </w:p>
        </w:tc>
        <w:tc>
          <w:tcPr>
            <w:tcW w:type="dxa" w:w="7200"/>
            <w:vAlign w:val="center"/>
          </w:tcPr>
          <w:p>
            <w:pPr>
              <w:spacing w:after="0"/>
            </w:pPr>
            <w:r/>
            <w:r>
              <w:rPr>
                <w:rFonts w:ascii="Arial" w:hAnsi="Arial"/>
                <w:b w:val="0"/>
                <w:sz w:val="17"/>
              </w:rPr>
              <w:t>Provides approved evidence and technical context, supports safe testing, and proposes remediation actions.</w:t>
            </w:r>
          </w:p>
        </w:tc>
      </w:tr>
      <w:tr>
        <w:tc>
          <w:tcPr>
            <w:tcW w:type="dxa" w:w="2592"/>
            <w:vAlign w:val="center"/>
          </w:tcPr>
          <w:p>
            <w:pPr>
              <w:spacing w:after="0"/>
            </w:pPr>
            <w:r/>
            <w:r>
              <w:rPr>
                <w:rFonts w:ascii="Arial" w:hAnsi="Arial"/>
                <w:b w:val="0"/>
                <w:sz w:val="17"/>
              </w:rPr>
              <w:t>System or business owner</w:t>
            </w:r>
          </w:p>
        </w:tc>
        <w:tc>
          <w:tcPr>
            <w:tcW w:type="dxa" w:w="7200"/>
            <w:vAlign w:val="center"/>
          </w:tcPr>
          <w:p>
            <w:pPr>
              <w:spacing w:after="0"/>
            </w:pPr>
            <w:r/>
            <w:r>
              <w:rPr>
                <w:rFonts w:ascii="Arial" w:hAnsi="Arial"/>
                <w:b w:val="0"/>
                <w:sz w:val="17"/>
              </w:rPr>
              <w:t>Confirms business impact, validates factual accuracy, and owns corrective actions for their services.</w:t>
            </w:r>
          </w:p>
        </w:tc>
      </w:tr>
      <w:tr>
        <w:tc>
          <w:tcPr>
            <w:tcW w:type="dxa" w:w="2592"/>
            <w:vAlign w:val="center"/>
          </w:tcPr>
          <w:p>
            <w:pPr>
              <w:spacing w:after="0"/>
            </w:pPr>
            <w:r/>
            <w:r>
              <w:rPr>
                <w:rFonts w:ascii="Arial" w:hAnsi="Arial"/>
                <w:b w:val="0"/>
                <w:sz w:val="17"/>
              </w:rPr>
              <w:t>HR / vendor manager</w:t>
            </w:r>
          </w:p>
        </w:tc>
        <w:tc>
          <w:tcPr>
            <w:tcW w:type="dxa" w:w="7200"/>
            <w:vAlign w:val="center"/>
          </w:tcPr>
          <w:p>
            <w:pPr>
              <w:spacing w:after="0"/>
            </w:pPr>
            <w:r/>
            <w:r>
              <w:rPr>
                <w:rFonts w:ascii="Arial" w:hAnsi="Arial"/>
                <w:b w:val="0"/>
                <w:sz w:val="17"/>
              </w:rPr>
              <w:t>Provides relevant process evidence for personnel lifecycle, awareness, contracts, and supplier reviews.</w:t>
            </w:r>
          </w:p>
        </w:tc>
      </w:tr>
      <w:tr>
        <w:tc>
          <w:tcPr>
            <w:tcW w:type="dxa" w:w="2592"/>
            <w:vAlign w:val="center"/>
          </w:tcPr>
          <w:p>
            <w:pPr>
              <w:spacing w:after="0"/>
            </w:pPr>
            <w:r/>
            <w:r>
              <w:rPr>
                <w:rFonts w:ascii="Arial" w:hAnsi="Arial"/>
                <w:b w:val="0"/>
                <w:sz w:val="17"/>
              </w:rPr>
              <w:t>Independent reviewer (if available)</w:t>
            </w:r>
          </w:p>
        </w:tc>
        <w:tc>
          <w:tcPr>
            <w:tcW w:type="dxa" w:w="7200"/>
            <w:vAlign w:val="center"/>
          </w:tcPr>
          <w:p>
            <w:pPr>
              <w:spacing w:after="0"/>
            </w:pPr>
            <w:r/>
            <w:r>
              <w:rPr>
                <w:rFonts w:ascii="Arial" w:hAnsi="Arial"/>
                <w:b w:val="0"/>
                <w:sz w:val="17"/>
              </w:rPr>
              <w:t>Challenges ratings, checks evidence traceability, and reviews report clarity before release.</w:t>
            </w:r>
          </w:p>
        </w:tc>
      </w:tr>
    </w:tbl>
    <w:p/>
    <w:p>
      <w:pPr>
        <w:pStyle w:val="Heading1"/>
      </w:pPr>
      <w:r>
        <w:t>10. Deliverables</w:t>
      </w:r>
    </w:p>
    <w:p>
      <w:pPr>
        <w:pStyle w:val="ListBullet"/>
        <w:spacing w:after="40"/>
      </w:pPr>
      <w:r>
        <w:t>Approved audit scope, criteria, schedule, and evidence request list.</w:t>
      </w:r>
    </w:p>
    <w:p>
      <w:pPr>
        <w:pStyle w:val="ListBullet"/>
        <w:spacing w:after="40"/>
      </w:pPr>
      <w:r>
        <w:t>Evidence register and working papers linking each test to supporting evidence.</w:t>
      </w:r>
    </w:p>
    <w:p>
      <w:pPr>
        <w:pStyle w:val="ListBullet"/>
        <w:spacing w:after="40"/>
      </w:pPr>
      <w:r>
        <w:t>Risk-ranked findings with condition, criteria, impact, recommendation, owner, and target date.</w:t>
      </w:r>
    </w:p>
    <w:p>
      <w:pPr>
        <w:pStyle w:val="ListBullet"/>
        <w:spacing w:after="40"/>
      </w:pPr>
      <w:r>
        <w:t>Executive summary and detailed audit report, including limitations and management responses.</w:t>
      </w:r>
    </w:p>
    <w:p>
      <w:pPr>
        <w:pStyle w:val="ListBullet"/>
        <w:spacing w:after="40"/>
      </w:pPr>
      <w:r>
        <w:t>Remediation action tracker with status, due dates, proof of completion, and retest results.</w:t>
      </w:r>
    </w:p>
    <w:p>
      <w:pPr>
        <w:pStyle w:val="ListBullet"/>
        <w:spacing w:after="40"/>
      </w:pPr>
      <w:r>
        <w:t>Lessons learned and recommendations for the next audit cycle.</w:t>
      </w:r>
    </w:p>
    <w:p>
      <w:pPr>
        <w:pStyle w:val="Heading1"/>
      </w:pPr>
      <w:r>
        <w:t>11. Reporting and Communication</w:t>
      </w:r>
    </w:p>
    <w:p>
      <w:pPr>
        <w:pStyle w:val="ListBullet"/>
        <w:spacing w:after="40"/>
      </w:pPr>
      <w:r>
        <w:t>Kickoff meeting: confirm purpose, boundaries, contacts, evidence handling, and escalation routes.</w:t>
      </w:r>
    </w:p>
    <w:p>
      <w:pPr>
        <w:pStyle w:val="ListBullet"/>
        <w:spacing w:after="40"/>
      </w:pPr>
      <w:r>
        <w:t>Weekly status update: report completed work, outstanding evidence, emerging risks, and schedule concerns.</w:t>
      </w:r>
    </w:p>
    <w:p>
      <w:pPr>
        <w:pStyle w:val="ListBullet"/>
        <w:spacing w:after="40"/>
      </w:pPr>
      <w:r>
        <w:t>Immediate escalation: notify the sponsor promptly if evidence indicates a potentially critical exposure or active compromise; follow the incident response process rather than waiting for the final report.</w:t>
      </w:r>
    </w:p>
    <w:p>
      <w:pPr>
        <w:pStyle w:val="ListBullet"/>
        <w:spacing w:after="40"/>
      </w:pPr>
      <w:r>
        <w:t>Factual validation: share draft findings with control owners to confirm facts, not to suppress evidence-based conclusions.</w:t>
      </w:r>
    </w:p>
    <w:p>
      <w:pPr>
        <w:pStyle w:val="ListBullet"/>
        <w:spacing w:after="40"/>
      </w:pPr>
      <w:r>
        <w:t>Closeout meeting: review overall results, priorities, agreed owners, target dates, and risk acceptance decisions.</w:t>
      </w:r>
    </w:p>
    <w:p>
      <w:pPr>
        <w:pStyle w:val="Heading1"/>
      </w:pPr>
      <w:r>
        <w:t>12. Remediation and Follow-up</w:t>
      </w:r>
    </w:p>
    <w:p>
      <w:r>
        <w:t>Every finding should be entered into a centralized action tracker. The assigned owner records the planned fix, dependencies, target date, and evidence that will demonstrate completion. The audit lead or a designated reviewer then retests the relevant control using a proportionate method. A finding is closed only when the evidence supports the corrective action; otherwise, it remains open, is revised, or is formally accepted by an authorized risk owner.</w:t>
      </w:r>
    </w:p>
    <w:tbl>
      <w:tblPr>
        <w:tblStyle w:val="TableGrid"/>
        <w:tblW w:type="auto" w:w="0"/>
        <w:jc w:val="center"/>
        <w:tblLook w:firstColumn="1" w:firstRow="1" w:lastColumn="0" w:lastRow="0" w:noHBand="0" w:noVBand="1" w:val="04A0"/>
      </w:tblPr>
      <w:tblGrid>
        <w:gridCol w:w="4968"/>
        <w:gridCol w:w="4968"/>
      </w:tblGrid>
      <w:tr>
        <w:tc>
          <w:tcPr>
            <w:tcW w:type="dxa" w:w="2448"/>
            <w:vAlign w:val="center"/>
            <w:shd w:fill="D9EAF7"/>
          </w:tcPr>
          <w:p>
            <w:pPr>
              <w:spacing w:after="0"/>
            </w:pPr>
            <w:r/>
            <w:r>
              <w:rPr>
                <w:rFonts w:ascii="Arial" w:hAnsi="Arial"/>
                <w:b/>
                <w:sz w:val="18"/>
              </w:rPr>
              <w:t>Status</w:t>
            </w:r>
          </w:p>
        </w:tc>
        <w:tc>
          <w:tcPr>
            <w:tcW w:type="dxa" w:w="7344"/>
            <w:vAlign w:val="center"/>
            <w:shd w:fill="D9EAF7"/>
          </w:tcPr>
          <w:p>
            <w:pPr>
              <w:spacing w:after="0"/>
            </w:pPr>
            <w:r/>
            <w:r>
              <w:rPr>
                <w:rFonts w:ascii="Arial" w:hAnsi="Arial"/>
                <w:b/>
                <w:sz w:val="18"/>
              </w:rPr>
              <w:t>Definition</w:t>
            </w:r>
          </w:p>
        </w:tc>
      </w:tr>
      <w:tr>
        <w:tc>
          <w:tcPr>
            <w:tcW w:type="dxa" w:w="2448"/>
            <w:vAlign w:val="center"/>
          </w:tcPr>
          <w:p>
            <w:pPr>
              <w:spacing w:after="0"/>
            </w:pPr>
            <w:r/>
            <w:r>
              <w:rPr>
                <w:rFonts w:ascii="Arial" w:hAnsi="Arial"/>
                <w:b w:val="0"/>
                <w:sz w:val="17"/>
              </w:rPr>
              <w:t>Open</w:t>
            </w:r>
          </w:p>
        </w:tc>
        <w:tc>
          <w:tcPr>
            <w:tcW w:type="dxa" w:w="7344"/>
            <w:vAlign w:val="center"/>
          </w:tcPr>
          <w:p>
            <w:pPr>
              <w:spacing w:after="0"/>
            </w:pPr>
            <w:r/>
            <w:r>
              <w:rPr>
                <w:rFonts w:ascii="Arial" w:hAnsi="Arial"/>
                <w:b w:val="0"/>
                <w:sz w:val="17"/>
              </w:rPr>
              <w:t>Finding is recorded and an owner is being assigned or the action has not started.</w:t>
            </w:r>
          </w:p>
        </w:tc>
      </w:tr>
      <w:tr>
        <w:tc>
          <w:tcPr>
            <w:tcW w:type="dxa" w:w="2448"/>
            <w:vAlign w:val="center"/>
          </w:tcPr>
          <w:p>
            <w:pPr>
              <w:spacing w:after="0"/>
            </w:pPr>
            <w:r/>
            <w:r>
              <w:rPr>
                <w:rFonts w:ascii="Arial" w:hAnsi="Arial"/>
                <w:b w:val="0"/>
                <w:sz w:val="17"/>
              </w:rPr>
              <w:t>In progress</w:t>
            </w:r>
          </w:p>
        </w:tc>
        <w:tc>
          <w:tcPr>
            <w:tcW w:type="dxa" w:w="7344"/>
            <w:vAlign w:val="center"/>
          </w:tcPr>
          <w:p>
            <w:pPr>
              <w:spacing w:after="0"/>
            </w:pPr>
            <w:r/>
            <w:r>
              <w:rPr>
                <w:rFonts w:ascii="Arial" w:hAnsi="Arial"/>
                <w:b w:val="0"/>
                <w:sz w:val="17"/>
              </w:rPr>
              <w:t>Remediation work is underway and has a target date.</w:t>
            </w:r>
          </w:p>
        </w:tc>
      </w:tr>
      <w:tr>
        <w:tc>
          <w:tcPr>
            <w:tcW w:type="dxa" w:w="2448"/>
            <w:vAlign w:val="center"/>
          </w:tcPr>
          <w:p>
            <w:pPr>
              <w:spacing w:after="0"/>
            </w:pPr>
            <w:r/>
            <w:r>
              <w:rPr>
                <w:rFonts w:ascii="Arial" w:hAnsi="Arial"/>
                <w:b w:val="0"/>
                <w:sz w:val="17"/>
              </w:rPr>
              <w:t>Pending validation</w:t>
            </w:r>
          </w:p>
        </w:tc>
        <w:tc>
          <w:tcPr>
            <w:tcW w:type="dxa" w:w="7344"/>
            <w:vAlign w:val="center"/>
          </w:tcPr>
          <w:p>
            <w:pPr>
              <w:spacing w:after="0"/>
            </w:pPr>
            <w:r/>
            <w:r>
              <w:rPr>
                <w:rFonts w:ascii="Arial" w:hAnsi="Arial"/>
                <w:b w:val="0"/>
                <w:sz w:val="17"/>
              </w:rPr>
              <w:t>Owner reports completion; independent evidence or retesting is required.</w:t>
            </w:r>
          </w:p>
        </w:tc>
      </w:tr>
      <w:tr>
        <w:tc>
          <w:tcPr>
            <w:tcW w:type="dxa" w:w="2448"/>
            <w:vAlign w:val="center"/>
          </w:tcPr>
          <w:p>
            <w:pPr>
              <w:spacing w:after="0"/>
            </w:pPr>
            <w:r/>
            <w:r>
              <w:rPr>
                <w:rFonts w:ascii="Arial" w:hAnsi="Arial"/>
                <w:b w:val="0"/>
                <w:sz w:val="17"/>
              </w:rPr>
              <w:t>Closed</w:t>
            </w:r>
          </w:p>
        </w:tc>
        <w:tc>
          <w:tcPr>
            <w:tcW w:type="dxa" w:w="7344"/>
            <w:vAlign w:val="center"/>
          </w:tcPr>
          <w:p>
            <w:pPr>
              <w:spacing w:after="0"/>
            </w:pPr>
            <w:r/>
            <w:r>
              <w:rPr>
                <w:rFonts w:ascii="Arial" w:hAnsi="Arial"/>
                <w:b w:val="0"/>
                <w:sz w:val="17"/>
              </w:rPr>
              <w:t>Retest or other reliable evidence confirms the control gap has been addressed.</w:t>
            </w:r>
          </w:p>
        </w:tc>
      </w:tr>
      <w:tr>
        <w:tc>
          <w:tcPr>
            <w:tcW w:type="dxa" w:w="2448"/>
            <w:vAlign w:val="center"/>
          </w:tcPr>
          <w:p>
            <w:pPr>
              <w:spacing w:after="0"/>
            </w:pPr>
            <w:r/>
            <w:r>
              <w:rPr>
                <w:rFonts w:ascii="Arial" w:hAnsi="Arial"/>
                <w:b w:val="0"/>
                <w:sz w:val="17"/>
              </w:rPr>
              <w:t>Risk accepted</w:t>
            </w:r>
          </w:p>
        </w:tc>
        <w:tc>
          <w:tcPr>
            <w:tcW w:type="dxa" w:w="7344"/>
            <w:vAlign w:val="center"/>
          </w:tcPr>
          <w:p>
            <w:pPr>
              <w:spacing w:after="0"/>
            </w:pPr>
            <w:r/>
            <w:r>
              <w:rPr>
                <w:rFonts w:ascii="Arial" w:hAnsi="Arial"/>
                <w:b w:val="0"/>
                <w:sz w:val="17"/>
              </w:rPr>
              <w:t>Authorized management accepts the residual risk with documented rationale and review date.</w:t>
            </w:r>
          </w:p>
        </w:tc>
      </w:tr>
    </w:tbl>
    <w:p/>
    <w:p>
      <w:pPr>
        <w:pStyle w:val="Heading1"/>
      </w:pPr>
      <w:r>
        <w:t>13. Measures of Audit Effectiveness</w:t>
      </w:r>
    </w:p>
    <w:p>
      <w:pPr>
        <w:pStyle w:val="ListBullet"/>
        <w:spacing w:after="40"/>
      </w:pPr>
      <w:r>
        <w:t>Percentage of planned audit areas completed with sufficient evidence.</w:t>
      </w:r>
    </w:p>
    <w:p>
      <w:pPr>
        <w:pStyle w:val="ListBullet"/>
        <w:spacing w:after="40"/>
      </w:pPr>
      <w:r>
        <w:t>Percentage of findings with a named owner, agreed action, and target date.</w:t>
      </w:r>
    </w:p>
    <w:p>
      <w:pPr>
        <w:pStyle w:val="ListBullet"/>
        <w:spacing w:after="40"/>
      </w:pPr>
      <w:r>
        <w:t>Number of Critical and High findings overdue at each reporting point.</w:t>
      </w:r>
    </w:p>
    <w:p>
      <w:pPr>
        <w:pStyle w:val="ListBullet"/>
        <w:spacing w:after="40"/>
      </w:pPr>
      <w:r>
        <w:t>Percentage of completed remediation actions that pass retesting.</w:t>
      </w:r>
    </w:p>
    <w:p>
      <w:pPr>
        <w:pStyle w:val="ListBullet"/>
        <w:spacing w:after="40"/>
      </w:pPr>
      <w:r>
        <w:t>Time taken to provide requested evidence and resolve factual questions.</w:t>
      </w:r>
    </w:p>
    <w:p>
      <w:pPr>
        <w:pStyle w:val="ListBullet"/>
        <w:spacing w:after="40"/>
      </w:pPr>
      <w:r>
        <w:t>Repeat findings from prior audit cycles, indicating whether controls are improving.</w:t>
      </w:r>
    </w:p>
    <w:p>
      <w:pPr>
        <w:pStyle w:val="Heading1"/>
      </w:pPr>
      <w:r>
        <w:t>14. Risks, Constraints, and Mitigations</w:t>
      </w:r>
    </w:p>
    <w:tbl>
      <w:tblPr>
        <w:tblStyle w:val="TableGrid"/>
        <w:tblW w:type="auto" w:w="0"/>
        <w:jc w:val="center"/>
        <w:tblLook w:firstColumn="1" w:firstRow="1" w:lastColumn="0" w:lastRow="0" w:noHBand="0" w:noVBand="1" w:val="04A0"/>
      </w:tblPr>
      <w:tblGrid>
        <w:gridCol w:w="3312"/>
        <w:gridCol w:w="3312"/>
        <w:gridCol w:w="3312"/>
      </w:tblGrid>
      <w:tr>
        <w:tc>
          <w:tcPr>
            <w:tcW w:type="dxa" w:w="2592"/>
            <w:vAlign w:val="center"/>
            <w:shd w:fill="D9EAF7"/>
          </w:tcPr>
          <w:p>
            <w:pPr>
              <w:spacing w:after="0"/>
            </w:pPr>
            <w:r/>
            <w:r>
              <w:rPr>
                <w:rFonts w:ascii="Arial" w:hAnsi="Arial"/>
                <w:b/>
                <w:sz w:val="18"/>
              </w:rPr>
              <w:t>Risk / constraint</w:t>
            </w:r>
          </w:p>
        </w:tc>
        <w:tc>
          <w:tcPr>
            <w:tcW w:type="dxa" w:w="2880"/>
            <w:vAlign w:val="center"/>
            <w:shd w:fill="D9EAF7"/>
          </w:tcPr>
          <w:p>
            <w:pPr>
              <w:spacing w:after="0"/>
            </w:pPr>
            <w:r/>
            <w:r>
              <w:rPr>
                <w:rFonts w:ascii="Arial" w:hAnsi="Arial"/>
                <w:b/>
                <w:sz w:val="18"/>
              </w:rPr>
              <w:t>Potential effect</w:t>
            </w:r>
          </w:p>
        </w:tc>
        <w:tc>
          <w:tcPr>
            <w:tcW w:type="dxa" w:w="4320"/>
            <w:vAlign w:val="center"/>
            <w:shd w:fill="D9EAF7"/>
          </w:tcPr>
          <w:p>
            <w:pPr>
              <w:spacing w:after="0"/>
            </w:pPr>
            <w:r/>
            <w:r>
              <w:rPr>
                <w:rFonts w:ascii="Arial" w:hAnsi="Arial"/>
                <w:b/>
                <w:sz w:val="18"/>
              </w:rPr>
              <w:t>Mitigation</w:t>
            </w:r>
          </w:p>
        </w:tc>
      </w:tr>
      <w:tr>
        <w:tc>
          <w:tcPr>
            <w:tcW w:type="dxa" w:w="2592"/>
            <w:vAlign w:val="center"/>
          </w:tcPr>
          <w:p>
            <w:pPr>
              <w:spacing w:after="0"/>
            </w:pPr>
            <w:r/>
            <w:r>
              <w:rPr>
                <w:rFonts w:ascii="Arial" w:hAnsi="Arial"/>
                <w:b w:val="0"/>
                <w:sz w:val="17"/>
              </w:rPr>
              <w:t>Incomplete or delayed evidence</w:t>
            </w:r>
          </w:p>
        </w:tc>
        <w:tc>
          <w:tcPr>
            <w:tcW w:type="dxa" w:w="2880"/>
            <w:vAlign w:val="center"/>
          </w:tcPr>
          <w:p>
            <w:pPr>
              <w:spacing w:after="0"/>
            </w:pPr>
            <w:r/>
            <w:r>
              <w:rPr>
                <w:rFonts w:ascii="Arial" w:hAnsi="Arial"/>
                <w:b w:val="0"/>
                <w:sz w:val="17"/>
              </w:rPr>
              <w:t>Reduced assurance and schedule slippage</w:t>
            </w:r>
          </w:p>
        </w:tc>
        <w:tc>
          <w:tcPr>
            <w:tcW w:type="dxa" w:w="4320"/>
            <w:vAlign w:val="center"/>
          </w:tcPr>
          <w:p>
            <w:pPr>
              <w:spacing w:after="0"/>
            </w:pPr>
            <w:r/>
            <w:r>
              <w:rPr>
                <w:rFonts w:ascii="Arial" w:hAnsi="Arial"/>
                <w:b w:val="0"/>
                <w:sz w:val="17"/>
              </w:rPr>
              <w:t>Issue evidence requests early, track owners and due dates, and record limitations.</w:t>
            </w:r>
          </w:p>
        </w:tc>
      </w:tr>
      <w:tr>
        <w:tc>
          <w:tcPr>
            <w:tcW w:type="dxa" w:w="2592"/>
            <w:vAlign w:val="center"/>
          </w:tcPr>
          <w:p>
            <w:pPr>
              <w:spacing w:after="0"/>
            </w:pPr>
            <w:r/>
            <w:r>
              <w:rPr>
                <w:rFonts w:ascii="Arial" w:hAnsi="Arial"/>
                <w:b w:val="0"/>
                <w:sz w:val="17"/>
              </w:rPr>
              <w:t>Limited staff availability</w:t>
            </w:r>
          </w:p>
        </w:tc>
        <w:tc>
          <w:tcPr>
            <w:tcW w:type="dxa" w:w="2880"/>
            <w:vAlign w:val="center"/>
          </w:tcPr>
          <w:p>
            <w:pPr>
              <w:spacing w:after="0"/>
            </w:pPr>
            <w:r/>
            <w:r>
              <w:rPr>
                <w:rFonts w:ascii="Arial" w:hAnsi="Arial"/>
                <w:b w:val="0"/>
                <w:sz w:val="17"/>
              </w:rPr>
              <w:t>Interviews or reviews may be delayed</w:t>
            </w:r>
          </w:p>
        </w:tc>
        <w:tc>
          <w:tcPr>
            <w:tcW w:type="dxa" w:w="4320"/>
            <w:vAlign w:val="center"/>
          </w:tcPr>
          <w:p>
            <w:pPr>
              <w:spacing w:after="0"/>
            </w:pPr>
            <w:r/>
            <w:r>
              <w:rPr>
                <w:rFonts w:ascii="Arial" w:hAnsi="Arial"/>
                <w:b w:val="0"/>
                <w:sz w:val="17"/>
              </w:rPr>
              <w:t>Book sessions in advance and identify alternates.</w:t>
            </w:r>
          </w:p>
        </w:tc>
      </w:tr>
      <w:tr>
        <w:tc>
          <w:tcPr>
            <w:tcW w:type="dxa" w:w="2592"/>
            <w:vAlign w:val="center"/>
          </w:tcPr>
          <w:p>
            <w:pPr>
              <w:spacing w:after="0"/>
            </w:pPr>
            <w:r/>
            <w:r>
              <w:rPr>
                <w:rFonts w:ascii="Arial" w:hAnsi="Arial"/>
                <w:b w:val="0"/>
                <w:sz w:val="17"/>
              </w:rPr>
              <w:t>Production service disruption</w:t>
            </w:r>
          </w:p>
        </w:tc>
        <w:tc>
          <w:tcPr>
            <w:tcW w:type="dxa" w:w="2880"/>
            <w:vAlign w:val="center"/>
          </w:tcPr>
          <w:p>
            <w:pPr>
              <w:spacing w:after="0"/>
            </w:pPr>
            <w:r/>
            <w:r>
              <w:rPr>
                <w:rFonts w:ascii="Arial" w:hAnsi="Arial"/>
                <w:b w:val="0"/>
                <w:sz w:val="17"/>
              </w:rPr>
              <w:t>Business interruption during testing</w:t>
            </w:r>
          </w:p>
        </w:tc>
        <w:tc>
          <w:tcPr>
            <w:tcW w:type="dxa" w:w="4320"/>
            <w:vAlign w:val="center"/>
          </w:tcPr>
          <w:p>
            <w:pPr>
              <w:spacing w:after="0"/>
            </w:pPr>
            <w:r/>
            <w:r>
              <w:rPr>
                <w:rFonts w:ascii="Arial" w:hAnsi="Arial"/>
                <w:b w:val="0"/>
                <w:sz w:val="17"/>
              </w:rPr>
              <w:t>Prefer read-only methods; obtain written approval for technical checks; use change windows and stop conditions.</w:t>
            </w:r>
          </w:p>
        </w:tc>
      </w:tr>
      <w:tr>
        <w:tc>
          <w:tcPr>
            <w:tcW w:type="dxa" w:w="2592"/>
            <w:vAlign w:val="center"/>
          </w:tcPr>
          <w:p>
            <w:pPr>
              <w:spacing w:after="0"/>
            </w:pPr>
            <w:r/>
            <w:r>
              <w:rPr>
                <w:rFonts w:ascii="Arial" w:hAnsi="Arial"/>
                <w:b w:val="0"/>
                <w:sz w:val="17"/>
              </w:rPr>
              <w:t>Sampling misses isolated issues</w:t>
            </w:r>
          </w:p>
        </w:tc>
        <w:tc>
          <w:tcPr>
            <w:tcW w:type="dxa" w:w="2880"/>
            <w:vAlign w:val="center"/>
          </w:tcPr>
          <w:p>
            <w:pPr>
              <w:spacing w:after="0"/>
            </w:pPr>
            <w:r/>
            <w:r>
              <w:rPr>
                <w:rFonts w:ascii="Arial" w:hAnsi="Arial"/>
                <w:b w:val="0"/>
                <w:sz w:val="17"/>
              </w:rPr>
              <w:t>Some weaknesses may remain undiscovered</w:t>
            </w:r>
          </w:p>
        </w:tc>
        <w:tc>
          <w:tcPr>
            <w:tcW w:type="dxa" w:w="4320"/>
            <w:vAlign w:val="center"/>
          </w:tcPr>
          <w:p>
            <w:pPr>
              <w:spacing w:after="0"/>
            </w:pPr>
            <w:r/>
            <w:r>
              <w:rPr>
                <w:rFonts w:ascii="Arial" w:hAnsi="Arial"/>
                <w:b w:val="0"/>
                <w:sz w:val="17"/>
              </w:rPr>
              <w:t>Use risk-based samples, state the sample size, and avoid claiming exhaustive coverage.</w:t>
            </w:r>
          </w:p>
        </w:tc>
      </w:tr>
      <w:tr>
        <w:tc>
          <w:tcPr>
            <w:tcW w:type="dxa" w:w="2592"/>
            <w:vAlign w:val="center"/>
          </w:tcPr>
          <w:p>
            <w:pPr>
              <w:spacing w:after="0"/>
            </w:pPr>
            <w:r/>
            <w:r>
              <w:rPr>
                <w:rFonts w:ascii="Arial" w:hAnsi="Arial"/>
                <w:b w:val="0"/>
                <w:sz w:val="17"/>
              </w:rPr>
              <w:t>Conflicting priorities or disputed findings</w:t>
            </w:r>
          </w:p>
        </w:tc>
        <w:tc>
          <w:tcPr>
            <w:tcW w:type="dxa" w:w="2880"/>
            <w:vAlign w:val="center"/>
          </w:tcPr>
          <w:p>
            <w:pPr>
              <w:spacing w:after="0"/>
            </w:pPr>
            <w:r/>
            <w:r>
              <w:rPr>
                <w:rFonts w:ascii="Arial" w:hAnsi="Arial"/>
                <w:b w:val="0"/>
                <w:sz w:val="17"/>
              </w:rPr>
              <w:t>Remediation may stall</w:t>
            </w:r>
          </w:p>
        </w:tc>
        <w:tc>
          <w:tcPr>
            <w:tcW w:type="dxa" w:w="4320"/>
            <w:vAlign w:val="center"/>
          </w:tcPr>
          <w:p>
            <w:pPr>
              <w:spacing w:after="0"/>
            </w:pPr>
            <w:r/>
            <w:r>
              <w:rPr>
                <w:rFonts w:ascii="Arial" w:hAnsi="Arial"/>
                <w:b w:val="0"/>
                <w:sz w:val="17"/>
              </w:rPr>
              <w:t>Document evidence, business impact, owner response, escalation route, and formal risk acceptance.</w:t>
            </w:r>
          </w:p>
        </w:tc>
      </w:tr>
      <w:tr>
        <w:tc>
          <w:tcPr>
            <w:tcW w:type="dxa" w:w="2592"/>
            <w:vAlign w:val="center"/>
          </w:tcPr>
          <w:p>
            <w:pPr>
              <w:spacing w:after="0"/>
            </w:pPr>
            <w:r/>
            <w:r>
              <w:rPr>
                <w:rFonts w:ascii="Arial" w:hAnsi="Arial"/>
                <w:b w:val="0"/>
                <w:sz w:val="17"/>
              </w:rPr>
              <w:t>Sensitive audit evidence exposure</w:t>
            </w:r>
          </w:p>
        </w:tc>
        <w:tc>
          <w:tcPr>
            <w:tcW w:type="dxa" w:w="2880"/>
            <w:vAlign w:val="center"/>
          </w:tcPr>
          <w:p>
            <w:pPr>
              <w:spacing w:after="0"/>
            </w:pPr>
            <w:r/>
            <w:r>
              <w:rPr>
                <w:rFonts w:ascii="Arial" w:hAnsi="Arial"/>
                <w:b w:val="0"/>
                <w:sz w:val="17"/>
              </w:rPr>
              <w:t>Privacy or security incident</w:t>
            </w:r>
          </w:p>
        </w:tc>
        <w:tc>
          <w:tcPr>
            <w:tcW w:type="dxa" w:w="4320"/>
            <w:vAlign w:val="center"/>
          </w:tcPr>
          <w:p>
            <w:pPr>
              <w:spacing w:after="0"/>
            </w:pPr>
            <w:r/>
            <w:r>
              <w:rPr>
                <w:rFonts w:ascii="Arial" w:hAnsi="Arial"/>
                <w:b w:val="0"/>
                <w:sz w:val="17"/>
              </w:rPr>
              <w:t>Limit collection, redact data, restrict access, and apply approved retention and deletion rules.</w:t>
            </w:r>
          </w:p>
        </w:tc>
      </w:tr>
    </w:tbl>
    <w:p/>
    <w:p>
      <w:pPr>
        <w:pStyle w:val="Heading1"/>
      </w:pPr>
      <w:r>
        <w:t>15. Effort Breakdown (32 Hours)</w:t>
      </w:r>
    </w:p>
    <w:tbl>
      <w:tblPr>
        <w:tblStyle w:val="TableGrid"/>
        <w:tblW w:type="auto" w:w="0"/>
        <w:jc w:val="center"/>
        <w:tblLook w:firstColumn="1" w:firstRow="1" w:lastColumn="0" w:lastRow="0" w:noHBand="0" w:noVBand="1" w:val="04A0"/>
      </w:tblPr>
      <w:tblGrid>
        <w:gridCol w:w="3312"/>
        <w:gridCol w:w="3312"/>
        <w:gridCol w:w="3312"/>
      </w:tblGrid>
      <w:tr>
        <w:tc>
          <w:tcPr>
            <w:tcW w:type="dxa" w:w="2880"/>
            <w:vAlign w:val="center"/>
            <w:shd w:fill="D9EAF7"/>
          </w:tcPr>
          <w:p>
            <w:pPr>
              <w:spacing w:after="0"/>
            </w:pPr>
            <w:r/>
            <w:r>
              <w:rPr>
                <w:rFonts w:ascii="Arial" w:hAnsi="Arial"/>
                <w:b/>
                <w:sz w:val="18"/>
              </w:rPr>
              <w:t>Workstream</w:t>
            </w:r>
          </w:p>
        </w:tc>
        <w:tc>
          <w:tcPr>
            <w:tcW w:type="dxa" w:w="1008"/>
            <w:vAlign w:val="center"/>
            <w:shd w:fill="D9EAF7"/>
          </w:tcPr>
          <w:p>
            <w:pPr>
              <w:spacing w:after="0"/>
            </w:pPr>
            <w:r/>
            <w:r>
              <w:rPr>
                <w:rFonts w:ascii="Arial" w:hAnsi="Arial"/>
                <w:b/>
                <w:sz w:val="18"/>
              </w:rPr>
              <w:t>Hours</w:t>
            </w:r>
          </w:p>
        </w:tc>
        <w:tc>
          <w:tcPr>
            <w:tcW w:type="dxa" w:w="5904"/>
            <w:vAlign w:val="center"/>
            <w:shd w:fill="D9EAF7"/>
          </w:tcPr>
          <w:p>
            <w:pPr>
              <w:spacing w:after="0"/>
            </w:pPr>
            <w:r/>
            <w:r>
              <w:rPr>
                <w:rFonts w:ascii="Arial" w:hAnsi="Arial"/>
                <w:b/>
                <w:sz w:val="18"/>
              </w:rPr>
              <w:t>Expected activity</w:t>
            </w:r>
          </w:p>
        </w:tc>
      </w:tr>
      <w:tr>
        <w:tc>
          <w:tcPr>
            <w:tcW w:type="dxa" w:w="2880"/>
            <w:vAlign w:val="center"/>
          </w:tcPr>
          <w:p>
            <w:pPr>
              <w:spacing w:after="0"/>
            </w:pPr>
            <w:r/>
            <w:r>
              <w:rPr>
                <w:rFonts w:ascii="Arial" w:hAnsi="Arial"/>
                <w:b w:val="0"/>
                <w:sz w:val="17"/>
              </w:rPr>
              <w:t>Planning and scoping</w:t>
            </w:r>
          </w:p>
        </w:tc>
        <w:tc>
          <w:tcPr>
            <w:tcW w:type="dxa" w:w="1008"/>
            <w:vAlign w:val="center"/>
          </w:tcPr>
          <w:p>
            <w:pPr>
              <w:spacing w:after="0"/>
            </w:pPr>
            <w:r/>
            <w:r>
              <w:rPr>
                <w:rFonts w:ascii="Arial" w:hAnsi="Arial"/>
                <w:b w:val="0"/>
                <w:sz w:val="17"/>
              </w:rPr>
              <w:t>4</w:t>
            </w:r>
          </w:p>
        </w:tc>
        <w:tc>
          <w:tcPr>
            <w:tcW w:type="dxa" w:w="5904"/>
            <w:vAlign w:val="center"/>
          </w:tcPr>
          <w:p>
            <w:pPr>
              <w:spacing w:after="0"/>
            </w:pPr>
            <w:r/>
            <w:r>
              <w:rPr>
                <w:rFonts w:ascii="Arial" w:hAnsi="Arial"/>
                <w:b w:val="0"/>
                <w:sz w:val="17"/>
              </w:rPr>
              <w:t>Kickoff, scope confirmation, audit criteria, evidence request list.</w:t>
            </w:r>
          </w:p>
        </w:tc>
      </w:tr>
      <w:tr>
        <w:tc>
          <w:tcPr>
            <w:tcW w:type="dxa" w:w="2880"/>
            <w:vAlign w:val="center"/>
          </w:tcPr>
          <w:p>
            <w:pPr>
              <w:spacing w:after="0"/>
            </w:pPr>
            <w:r/>
            <w:r>
              <w:rPr>
                <w:rFonts w:ascii="Arial" w:hAnsi="Arial"/>
                <w:b w:val="0"/>
                <w:sz w:val="17"/>
              </w:rPr>
              <w:t>Governance and identity controls</w:t>
            </w:r>
          </w:p>
        </w:tc>
        <w:tc>
          <w:tcPr>
            <w:tcW w:type="dxa" w:w="1008"/>
            <w:vAlign w:val="center"/>
          </w:tcPr>
          <w:p>
            <w:pPr>
              <w:spacing w:after="0"/>
            </w:pPr>
            <w:r/>
            <w:r>
              <w:rPr>
                <w:rFonts w:ascii="Arial" w:hAnsi="Arial"/>
                <w:b w:val="0"/>
                <w:sz w:val="17"/>
              </w:rPr>
              <w:t>5</w:t>
            </w:r>
          </w:p>
        </w:tc>
        <w:tc>
          <w:tcPr>
            <w:tcW w:type="dxa" w:w="5904"/>
            <w:vAlign w:val="center"/>
          </w:tcPr>
          <w:p>
            <w:pPr>
              <w:spacing w:after="0"/>
            </w:pPr>
            <w:r/>
            <w:r>
              <w:rPr>
                <w:rFonts w:ascii="Arial" w:hAnsi="Arial"/>
                <w:b w:val="0"/>
                <w:sz w:val="17"/>
              </w:rPr>
              <w:t>Policy review, access samples, MFA and privileged access checks.</w:t>
            </w:r>
          </w:p>
        </w:tc>
      </w:tr>
      <w:tr>
        <w:tc>
          <w:tcPr>
            <w:tcW w:type="dxa" w:w="2880"/>
            <w:vAlign w:val="center"/>
          </w:tcPr>
          <w:p>
            <w:pPr>
              <w:spacing w:after="0"/>
            </w:pPr>
            <w:r/>
            <w:r>
              <w:rPr>
                <w:rFonts w:ascii="Arial" w:hAnsi="Arial"/>
                <w:b w:val="0"/>
                <w:sz w:val="17"/>
              </w:rPr>
              <w:t>Technical and data controls</w:t>
            </w:r>
          </w:p>
        </w:tc>
        <w:tc>
          <w:tcPr>
            <w:tcW w:type="dxa" w:w="1008"/>
            <w:vAlign w:val="center"/>
          </w:tcPr>
          <w:p>
            <w:pPr>
              <w:spacing w:after="0"/>
            </w:pPr>
            <w:r/>
            <w:r>
              <w:rPr>
                <w:rFonts w:ascii="Arial" w:hAnsi="Arial"/>
                <w:b w:val="0"/>
                <w:sz w:val="17"/>
              </w:rPr>
              <w:t>7</w:t>
            </w:r>
          </w:p>
        </w:tc>
        <w:tc>
          <w:tcPr>
            <w:tcW w:type="dxa" w:w="5904"/>
            <w:vAlign w:val="center"/>
          </w:tcPr>
          <w:p>
            <w:pPr>
              <w:spacing w:after="0"/>
            </w:pPr>
            <w:r/>
            <w:r>
              <w:rPr>
                <w:rFonts w:ascii="Arial" w:hAnsi="Arial"/>
                <w:b w:val="0"/>
                <w:sz w:val="17"/>
              </w:rPr>
              <w:t>Endpoint, network, cloud, change, and data protection reviews.</w:t>
            </w:r>
          </w:p>
        </w:tc>
      </w:tr>
      <w:tr>
        <w:tc>
          <w:tcPr>
            <w:tcW w:type="dxa" w:w="2880"/>
            <w:vAlign w:val="center"/>
          </w:tcPr>
          <w:p>
            <w:pPr>
              <w:spacing w:after="0"/>
            </w:pPr>
            <w:r/>
            <w:r>
              <w:rPr>
                <w:rFonts w:ascii="Arial" w:hAnsi="Arial"/>
                <w:b w:val="0"/>
                <w:sz w:val="17"/>
              </w:rPr>
              <w:t>Resilience and third-party controls</w:t>
            </w:r>
          </w:p>
        </w:tc>
        <w:tc>
          <w:tcPr>
            <w:tcW w:type="dxa" w:w="1008"/>
            <w:vAlign w:val="center"/>
          </w:tcPr>
          <w:p>
            <w:pPr>
              <w:spacing w:after="0"/>
            </w:pPr>
            <w:r/>
            <w:r>
              <w:rPr>
                <w:rFonts w:ascii="Arial" w:hAnsi="Arial"/>
                <w:b w:val="0"/>
                <w:sz w:val="17"/>
              </w:rPr>
              <w:t>6</w:t>
            </w:r>
          </w:p>
        </w:tc>
        <w:tc>
          <w:tcPr>
            <w:tcW w:type="dxa" w:w="5904"/>
            <w:vAlign w:val="center"/>
          </w:tcPr>
          <w:p>
            <w:pPr>
              <w:spacing w:after="0"/>
            </w:pPr>
            <w:r/>
            <w:r>
              <w:rPr>
                <w:rFonts w:ascii="Arial" w:hAnsi="Arial"/>
                <w:b w:val="0"/>
                <w:sz w:val="17"/>
              </w:rPr>
              <w:t>Backup, logging, incident response, continuity, vendors, awareness.</w:t>
            </w:r>
          </w:p>
        </w:tc>
      </w:tr>
      <w:tr>
        <w:tc>
          <w:tcPr>
            <w:tcW w:type="dxa" w:w="2880"/>
            <w:vAlign w:val="center"/>
          </w:tcPr>
          <w:p>
            <w:pPr>
              <w:spacing w:after="0"/>
            </w:pPr>
            <w:r/>
            <w:r>
              <w:rPr>
                <w:rFonts w:ascii="Arial" w:hAnsi="Arial"/>
                <w:b w:val="0"/>
                <w:sz w:val="17"/>
              </w:rPr>
              <w:t>Analysis and reporting</w:t>
            </w:r>
          </w:p>
        </w:tc>
        <w:tc>
          <w:tcPr>
            <w:tcW w:type="dxa" w:w="1008"/>
            <w:vAlign w:val="center"/>
          </w:tcPr>
          <w:p>
            <w:pPr>
              <w:spacing w:after="0"/>
            </w:pPr>
            <w:r/>
            <w:r>
              <w:rPr>
                <w:rFonts w:ascii="Arial" w:hAnsi="Arial"/>
                <w:b w:val="0"/>
                <w:sz w:val="17"/>
              </w:rPr>
              <w:t>6</w:t>
            </w:r>
          </w:p>
        </w:tc>
        <w:tc>
          <w:tcPr>
            <w:tcW w:type="dxa" w:w="5904"/>
            <w:vAlign w:val="center"/>
          </w:tcPr>
          <w:p>
            <w:pPr>
              <w:spacing w:after="0"/>
            </w:pPr>
            <w:r/>
            <w:r>
              <w:rPr>
                <w:rFonts w:ascii="Arial" w:hAnsi="Arial"/>
                <w:b w:val="0"/>
                <w:sz w:val="17"/>
              </w:rPr>
              <w:t>Risk ratings, evidence traceability, report drafting, owner discussion.</w:t>
            </w:r>
          </w:p>
        </w:tc>
      </w:tr>
      <w:tr>
        <w:tc>
          <w:tcPr>
            <w:tcW w:type="dxa" w:w="2880"/>
            <w:vAlign w:val="center"/>
          </w:tcPr>
          <w:p>
            <w:pPr>
              <w:spacing w:after="0"/>
            </w:pPr>
            <w:r/>
            <w:r>
              <w:rPr>
                <w:rFonts w:ascii="Arial" w:hAnsi="Arial"/>
                <w:b w:val="0"/>
                <w:sz w:val="17"/>
              </w:rPr>
              <w:t>Closeout and follow-up setup</w:t>
            </w:r>
          </w:p>
        </w:tc>
        <w:tc>
          <w:tcPr>
            <w:tcW w:type="dxa" w:w="1008"/>
            <w:vAlign w:val="center"/>
          </w:tcPr>
          <w:p>
            <w:pPr>
              <w:spacing w:after="0"/>
            </w:pPr>
            <w:r/>
            <w:r>
              <w:rPr>
                <w:rFonts w:ascii="Arial" w:hAnsi="Arial"/>
                <w:b w:val="0"/>
                <w:sz w:val="17"/>
              </w:rPr>
              <w:t>4</w:t>
            </w:r>
          </w:p>
        </w:tc>
        <w:tc>
          <w:tcPr>
            <w:tcW w:type="dxa" w:w="5904"/>
            <w:vAlign w:val="center"/>
          </w:tcPr>
          <w:p>
            <w:pPr>
              <w:spacing w:after="0"/>
            </w:pPr>
            <w:r/>
            <w:r>
              <w:rPr>
                <w:rFonts w:ascii="Arial" w:hAnsi="Arial"/>
                <w:b w:val="0"/>
                <w:sz w:val="17"/>
              </w:rPr>
              <w:t>Final meeting, action tracker, final quality check, follow-up calendar.</w:t>
            </w:r>
          </w:p>
        </w:tc>
      </w:tr>
      <w:tr>
        <w:tc>
          <w:tcPr>
            <w:tcW w:type="dxa" w:w="2880"/>
            <w:vAlign w:val="center"/>
          </w:tcPr>
          <w:p>
            <w:pPr>
              <w:spacing w:after="0"/>
            </w:pPr>
            <w:r/>
            <w:r>
              <w:rPr>
                <w:rFonts w:ascii="Arial" w:hAnsi="Arial"/>
                <w:b w:val="0"/>
                <w:sz w:val="17"/>
              </w:rPr>
              <w:t>Total</w:t>
            </w:r>
          </w:p>
        </w:tc>
        <w:tc>
          <w:tcPr>
            <w:tcW w:type="dxa" w:w="1008"/>
            <w:vAlign w:val="center"/>
          </w:tcPr>
          <w:p>
            <w:pPr>
              <w:spacing w:after="0"/>
            </w:pPr>
            <w:r/>
            <w:r>
              <w:rPr>
                <w:rFonts w:ascii="Arial" w:hAnsi="Arial"/>
                <w:b w:val="0"/>
                <w:sz w:val="17"/>
              </w:rPr>
              <w:t>32</w:t>
            </w:r>
          </w:p>
        </w:tc>
        <w:tc>
          <w:tcPr>
            <w:tcW w:type="dxa" w:w="5904"/>
            <w:vAlign w:val="center"/>
          </w:tcPr>
          <w:p>
            <w:pPr>
              <w:spacing w:after="0"/>
            </w:pPr>
            <w:r/>
            <w:r>
              <w:rPr>
                <w:rFonts w:ascii="Arial" w:hAnsi="Arial"/>
                <w:b w:val="0"/>
                <w:sz w:val="17"/>
              </w:rPr>
              <w:t>Within the required 30–35-hour range.</w:t>
            </w:r>
          </w:p>
        </w:tc>
      </w:tr>
    </w:tbl>
    <w:p/>
    <w:p>
      <w:pPr>
        <w:pStyle w:val="Heading1"/>
      </w:pPr>
      <w:r>
        <w:t>16. Proposed Recurring Audit Cycle</w:t>
      </w:r>
    </w:p>
    <w:tbl>
      <w:tblPr>
        <w:tblStyle w:val="TableGrid"/>
        <w:tblW w:type="auto" w:w="0"/>
        <w:jc w:val="center"/>
        <w:tblLook w:firstColumn="1" w:firstRow="1" w:lastColumn="0" w:lastRow="0" w:noHBand="0" w:noVBand="1" w:val="04A0"/>
      </w:tblPr>
      <w:tblGrid>
        <w:gridCol w:w="4968"/>
        <w:gridCol w:w="4968"/>
      </w:tblGrid>
      <w:tr>
        <w:tc>
          <w:tcPr>
            <w:tcW w:type="dxa" w:w="2448"/>
            <w:vAlign w:val="center"/>
            <w:shd w:fill="D9EAF7"/>
          </w:tcPr>
          <w:p>
            <w:pPr>
              <w:spacing w:after="0"/>
            </w:pPr>
            <w:r/>
            <w:r>
              <w:rPr>
                <w:rFonts w:ascii="Arial" w:hAnsi="Arial"/>
                <w:b/>
                <w:sz w:val="18"/>
              </w:rPr>
              <w:t>Frequency</w:t>
            </w:r>
          </w:p>
        </w:tc>
        <w:tc>
          <w:tcPr>
            <w:tcW w:type="dxa" w:w="7344"/>
            <w:vAlign w:val="center"/>
            <w:shd w:fill="D9EAF7"/>
          </w:tcPr>
          <w:p>
            <w:pPr>
              <w:spacing w:after="0"/>
            </w:pPr>
            <w:r/>
            <w:r>
              <w:rPr>
                <w:rFonts w:ascii="Arial" w:hAnsi="Arial"/>
                <w:b/>
                <w:sz w:val="18"/>
              </w:rPr>
              <w:t>Suggested activity</w:t>
            </w:r>
          </w:p>
        </w:tc>
      </w:tr>
      <w:tr>
        <w:tc>
          <w:tcPr>
            <w:tcW w:type="dxa" w:w="2448"/>
            <w:vAlign w:val="center"/>
          </w:tcPr>
          <w:p>
            <w:pPr>
              <w:spacing w:after="0"/>
            </w:pPr>
            <w:r/>
            <w:r>
              <w:rPr>
                <w:rFonts w:ascii="Arial" w:hAnsi="Arial"/>
                <w:b w:val="0"/>
                <w:sz w:val="17"/>
              </w:rPr>
              <w:t>Monthly</w:t>
            </w:r>
          </w:p>
        </w:tc>
        <w:tc>
          <w:tcPr>
            <w:tcW w:type="dxa" w:w="7344"/>
            <w:vAlign w:val="center"/>
          </w:tcPr>
          <w:p>
            <w:pPr>
              <w:spacing w:after="0"/>
            </w:pPr>
            <w:r/>
            <w:r>
              <w:rPr>
                <w:rFonts w:ascii="Arial" w:hAnsi="Arial"/>
                <w:b w:val="0"/>
                <w:sz w:val="17"/>
              </w:rPr>
              <w:t>Review critical alerts, privileged account changes, backup failures, and overdue high-risk remediation.</w:t>
            </w:r>
          </w:p>
        </w:tc>
      </w:tr>
      <w:tr>
        <w:tc>
          <w:tcPr>
            <w:tcW w:type="dxa" w:w="2448"/>
            <w:vAlign w:val="center"/>
          </w:tcPr>
          <w:p>
            <w:pPr>
              <w:spacing w:after="0"/>
            </w:pPr>
            <w:r/>
            <w:r>
              <w:rPr>
                <w:rFonts w:ascii="Arial" w:hAnsi="Arial"/>
                <w:b w:val="0"/>
                <w:sz w:val="17"/>
              </w:rPr>
              <w:t>Quarterly</w:t>
            </w:r>
          </w:p>
        </w:tc>
        <w:tc>
          <w:tcPr>
            <w:tcW w:type="dxa" w:w="7344"/>
            <w:vAlign w:val="center"/>
          </w:tcPr>
          <w:p>
            <w:pPr>
              <w:spacing w:after="0"/>
            </w:pPr>
            <w:r/>
            <w:r>
              <w:rPr>
                <w:rFonts w:ascii="Arial" w:hAnsi="Arial"/>
                <w:b w:val="0"/>
                <w:sz w:val="17"/>
              </w:rPr>
              <w:t>Review user access, security exceptions, vulnerability/patch status, vendor access, and a sample of change records.</w:t>
            </w:r>
          </w:p>
        </w:tc>
      </w:tr>
      <w:tr>
        <w:tc>
          <w:tcPr>
            <w:tcW w:type="dxa" w:w="2448"/>
            <w:vAlign w:val="center"/>
          </w:tcPr>
          <w:p>
            <w:pPr>
              <w:spacing w:after="0"/>
            </w:pPr>
            <w:r/>
            <w:r>
              <w:rPr>
                <w:rFonts w:ascii="Arial" w:hAnsi="Arial"/>
                <w:b w:val="0"/>
                <w:sz w:val="17"/>
              </w:rPr>
              <w:t>Twice yearly</w:t>
            </w:r>
          </w:p>
        </w:tc>
        <w:tc>
          <w:tcPr>
            <w:tcW w:type="dxa" w:w="7344"/>
            <w:vAlign w:val="center"/>
          </w:tcPr>
          <w:p>
            <w:pPr>
              <w:spacing w:after="0"/>
            </w:pPr>
            <w:r/>
            <w:r>
              <w:rPr>
                <w:rFonts w:ascii="Arial" w:hAnsi="Arial"/>
                <w:b w:val="0"/>
                <w:sz w:val="17"/>
              </w:rPr>
              <w:t>Review incident response readiness, restore testing, security awareness, and selected cloud/network controls.</w:t>
            </w:r>
          </w:p>
        </w:tc>
      </w:tr>
      <w:tr>
        <w:tc>
          <w:tcPr>
            <w:tcW w:type="dxa" w:w="2448"/>
            <w:vAlign w:val="center"/>
          </w:tcPr>
          <w:p>
            <w:pPr>
              <w:spacing w:after="0"/>
            </w:pPr>
            <w:r/>
            <w:r>
              <w:rPr>
                <w:rFonts w:ascii="Arial" w:hAnsi="Arial"/>
                <w:b w:val="0"/>
                <w:sz w:val="17"/>
              </w:rPr>
              <w:t>Annually</w:t>
            </w:r>
          </w:p>
        </w:tc>
        <w:tc>
          <w:tcPr>
            <w:tcW w:type="dxa" w:w="7344"/>
            <w:vAlign w:val="center"/>
          </w:tcPr>
          <w:p>
            <w:pPr>
              <w:spacing w:after="0"/>
            </w:pPr>
            <w:r/>
            <w:r>
              <w:rPr>
                <w:rFonts w:ascii="Arial" w:hAnsi="Arial"/>
                <w:b w:val="0"/>
                <w:sz w:val="17"/>
              </w:rPr>
              <w:t>Conduct the broader risk-based cybersecurity audit, refresh the asset and risk inventories, and approve the next plan.</w:t>
            </w:r>
          </w:p>
        </w:tc>
      </w:tr>
      <w:tr>
        <w:tc>
          <w:tcPr>
            <w:tcW w:type="dxa" w:w="2448"/>
            <w:vAlign w:val="center"/>
          </w:tcPr>
          <w:p>
            <w:pPr>
              <w:spacing w:after="0"/>
            </w:pPr>
            <w:r/>
            <w:r>
              <w:rPr>
                <w:rFonts w:ascii="Arial" w:hAnsi="Arial"/>
                <w:b w:val="0"/>
                <w:sz w:val="17"/>
              </w:rPr>
              <w:t>After major change or incident</w:t>
            </w:r>
          </w:p>
        </w:tc>
        <w:tc>
          <w:tcPr>
            <w:tcW w:type="dxa" w:w="7344"/>
            <w:vAlign w:val="center"/>
          </w:tcPr>
          <w:p>
            <w:pPr>
              <w:spacing w:after="0"/>
            </w:pPr>
            <w:r/>
            <w:r>
              <w:rPr>
                <w:rFonts w:ascii="Arial" w:hAnsi="Arial"/>
                <w:b w:val="0"/>
                <w:sz w:val="17"/>
              </w:rPr>
              <w:t>Perform a focused review of the affected service, control area, or incident lessons learned.</w:t>
            </w:r>
          </w:p>
        </w:tc>
      </w:tr>
    </w:tbl>
    <w:p/>
    <w:p>
      <w:pPr>
        <w:pStyle w:val="Heading1"/>
      </w:pPr>
      <w:r>
        <w:t>17. Approval and Sign-off</w:t>
      </w:r>
    </w:p>
    <w:p>
      <w:r>
        <w:t>This plan becomes active only after the appropriate organizational authority approves the scope, schedule, resources, and evidence-handling arrangements. Any material change to scope or testing methods must be documented and approved before work proceeds.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160"/>
            <w:vAlign w:val="center"/>
            <w:shd w:fill="D9EAF7"/>
          </w:tcPr>
          <w:p>
            <w:pPr>
              <w:spacing w:after="0"/>
            </w:pPr>
            <w:r/>
            <w:r>
              <w:rPr>
                <w:rFonts w:ascii="Arial" w:hAnsi="Arial"/>
                <w:b/>
                <w:sz w:val="18"/>
              </w:rPr>
              <w:t>Approver</w:t>
            </w:r>
          </w:p>
        </w:tc>
        <w:tc>
          <w:tcPr>
            <w:tcW w:type="dxa" w:w="3312"/>
            <w:vAlign w:val="center"/>
            <w:shd w:fill="D9EAF7"/>
          </w:tcPr>
          <w:p>
            <w:pPr>
              <w:spacing w:after="0"/>
            </w:pPr>
            <w:r/>
            <w:r>
              <w:rPr>
                <w:rFonts w:ascii="Arial" w:hAnsi="Arial"/>
                <w:b/>
                <w:sz w:val="18"/>
              </w:rPr>
              <w:t>Name / role</w:t>
            </w:r>
          </w:p>
        </w:tc>
        <w:tc>
          <w:tcPr>
            <w:tcW w:type="dxa" w:w="2592"/>
            <w:vAlign w:val="center"/>
            <w:shd w:fill="D9EAF7"/>
          </w:tcPr>
          <w:p>
            <w:pPr>
              <w:spacing w:after="0"/>
            </w:pPr>
            <w:r/>
            <w:r>
              <w:rPr>
                <w:rFonts w:ascii="Arial" w:hAnsi="Arial"/>
                <w:b/>
                <w:sz w:val="18"/>
              </w:rPr>
              <w:t>Signature</w:t>
            </w:r>
          </w:p>
        </w:tc>
        <w:tc>
          <w:tcPr>
            <w:tcW w:type="dxa" w:w="1728"/>
            <w:vAlign w:val="center"/>
            <w:shd w:fill="D9EAF7"/>
          </w:tcPr>
          <w:p>
            <w:pPr>
              <w:spacing w:after="0"/>
            </w:pPr>
            <w:r/>
            <w:r>
              <w:rPr>
                <w:rFonts w:ascii="Arial" w:hAnsi="Arial"/>
                <w:b/>
                <w:sz w:val="18"/>
              </w:rPr>
              <w:t>Date</w:t>
            </w:r>
          </w:p>
        </w:tc>
      </w:tr>
      <w:tr>
        <w:tc>
          <w:tcPr>
            <w:tcW w:type="dxa" w:w="2160"/>
            <w:vAlign w:val="center"/>
          </w:tcPr>
          <w:p>
            <w:pPr>
              <w:spacing w:after="0"/>
            </w:pPr>
            <w:r/>
            <w:r>
              <w:rPr>
                <w:rFonts w:ascii="Arial" w:hAnsi="Arial"/>
                <w:b w:val="0"/>
                <w:sz w:val="17"/>
              </w:rPr>
              <w:t>Executive sponsor</w:t>
            </w:r>
          </w:p>
        </w:tc>
        <w:tc>
          <w:tcPr>
            <w:tcW w:type="dxa" w:w="3312"/>
            <w:vAlign w:val="center"/>
          </w:tcPr>
          <w:p>
            <w:pPr>
              <w:spacing w:after="0"/>
            </w:pPr>
            <w:r/>
            <w:r>
              <w:rPr>
                <w:rFonts w:ascii="Arial" w:hAnsi="Arial"/>
                <w:b w:val="0"/>
                <w:sz w:val="17"/>
              </w:rPr>
              <w:t>________________________</w:t>
            </w:r>
          </w:p>
        </w:tc>
        <w:tc>
          <w:tcPr>
            <w:tcW w:type="dxa" w:w="2592"/>
            <w:vAlign w:val="center"/>
          </w:tcPr>
          <w:p>
            <w:pPr>
              <w:spacing w:after="0"/>
            </w:pPr>
            <w:r/>
            <w:r>
              <w:rPr>
                <w:rFonts w:ascii="Arial" w:hAnsi="Arial"/>
                <w:b w:val="0"/>
                <w:sz w:val="17"/>
              </w:rPr>
              <w:t>________________</w:t>
            </w:r>
          </w:p>
        </w:tc>
        <w:tc>
          <w:tcPr>
            <w:tcW w:type="dxa" w:w="1728"/>
            <w:vAlign w:val="center"/>
          </w:tcPr>
          <w:p>
            <w:pPr>
              <w:spacing w:after="0"/>
            </w:pPr>
            <w:r/>
            <w:r>
              <w:rPr>
                <w:rFonts w:ascii="Arial" w:hAnsi="Arial"/>
                <w:b w:val="0"/>
                <w:sz w:val="17"/>
              </w:rPr>
              <w:t>____________</w:t>
            </w:r>
          </w:p>
        </w:tc>
      </w:tr>
      <w:tr>
        <w:tc>
          <w:tcPr>
            <w:tcW w:type="dxa" w:w="2160"/>
            <w:vAlign w:val="center"/>
          </w:tcPr>
          <w:p>
            <w:pPr>
              <w:spacing w:after="0"/>
            </w:pPr>
            <w:r/>
            <w:r>
              <w:rPr>
                <w:rFonts w:ascii="Arial" w:hAnsi="Arial"/>
                <w:b w:val="0"/>
                <w:sz w:val="17"/>
              </w:rPr>
              <w:t>Audit lead</w:t>
            </w:r>
          </w:p>
        </w:tc>
        <w:tc>
          <w:tcPr>
            <w:tcW w:type="dxa" w:w="3312"/>
            <w:vAlign w:val="center"/>
          </w:tcPr>
          <w:p>
            <w:pPr>
              <w:spacing w:after="0"/>
            </w:pPr>
            <w:r/>
            <w:r>
              <w:rPr>
                <w:rFonts w:ascii="Arial" w:hAnsi="Arial"/>
                <w:b w:val="0"/>
                <w:sz w:val="17"/>
              </w:rPr>
              <w:t>________________________</w:t>
            </w:r>
          </w:p>
        </w:tc>
        <w:tc>
          <w:tcPr>
            <w:tcW w:type="dxa" w:w="2592"/>
            <w:vAlign w:val="center"/>
          </w:tcPr>
          <w:p>
            <w:pPr>
              <w:spacing w:after="0"/>
            </w:pPr>
            <w:r/>
            <w:r>
              <w:rPr>
                <w:rFonts w:ascii="Arial" w:hAnsi="Arial"/>
                <w:b w:val="0"/>
                <w:sz w:val="17"/>
              </w:rPr>
              <w:t>________________</w:t>
            </w:r>
          </w:p>
        </w:tc>
        <w:tc>
          <w:tcPr>
            <w:tcW w:type="dxa" w:w="1728"/>
            <w:vAlign w:val="center"/>
          </w:tcPr>
          <w:p>
            <w:pPr>
              <w:spacing w:after="0"/>
            </w:pPr>
            <w:r/>
            <w:r>
              <w:rPr>
                <w:rFonts w:ascii="Arial" w:hAnsi="Arial"/>
                <w:b w:val="0"/>
                <w:sz w:val="17"/>
              </w:rPr>
              <w:t>____________</w:t>
            </w:r>
          </w:p>
        </w:tc>
      </w:tr>
      <w:tr>
        <w:tc>
          <w:tcPr>
            <w:tcW w:type="dxa" w:w="2160"/>
            <w:vAlign w:val="center"/>
          </w:tcPr>
          <w:p>
            <w:pPr>
              <w:spacing w:after="0"/>
            </w:pPr>
            <w:r/>
            <w:r>
              <w:rPr>
                <w:rFonts w:ascii="Arial" w:hAnsi="Arial"/>
                <w:b w:val="0"/>
                <w:sz w:val="17"/>
              </w:rPr>
              <w:t>IT / security owner</w:t>
            </w:r>
          </w:p>
        </w:tc>
        <w:tc>
          <w:tcPr>
            <w:tcW w:type="dxa" w:w="3312"/>
            <w:vAlign w:val="center"/>
          </w:tcPr>
          <w:p>
            <w:pPr>
              <w:spacing w:after="0"/>
            </w:pPr>
            <w:r/>
            <w:r>
              <w:rPr>
                <w:rFonts w:ascii="Arial" w:hAnsi="Arial"/>
                <w:b w:val="0"/>
                <w:sz w:val="17"/>
              </w:rPr>
              <w:t>________________________</w:t>
            </w:r>
          </w:p>
        </w:tc>
        <w:tc>
          <w:tcPr>
            <w:tcW w:type="dxa" w:w="2592"/>
            <w:vAlign w:val="center"/>
          </w:tcPr>
          <w:p>
            <w:pPr>
              <w:spacing w:after="0"/>
            </w:pPr>
            <w:r/>
            <w:r>
              <w:rPr>
                <w:rFonts w:ascii="Arial" w:hAnsi="Arial"/>
                <w:b w:val="0"/>
                <w:sz w:val="17"/>
              </w:rPr>
              <w:t>________________</w:t>
            </w:r>
          </w:p>
        </w:tc>
        <w:tc>
          <w:tcPr>
            <w:tcW w:type="dxa" w:w="1728"/>
            <w:vAlign w:val="center"/>
          </w:tcPr>
          <w:p>
            <w:pPr>
              <w:spacing w:after="0"/>
            </w:pPr>
            <w:r/>
            <w:r>
              <w:rPr>
                <w:rFonts w:ascii="Arial" w:hAnsi="Arial"/>
                <w:b w:val="0"/>
                <w:sz w:val="17"/>
              </w:rPr>
              <w:t>____________</w:t>
            </w:r>
          </w:p>
        </w:tc>
      </w:tr>
    </w:tbl>
    <w:p/>
    <w:p>
      <w:pPr>
        <w:pStyle w:val="Heading1"/>
      </w:pPr>
      <w:r>
        <w:t>Appendix A: Evidence Request Checklist</w:t>
      </w:r>
    </w:p>
    <w:p>
      <w:pPr>
        <w:pStyle w:val="ListBullet"/>
        <w:spacing w:after="40"/>
      </w:pPr>
      <w:r>
        <w:t>Current organization chart, security responsibilities, and approved policies.</w:t>
      </w:r>
    </w:p>
    <w:p>
      <w:pPr>
        <w:pStyle w:val="ListBullet"/>
        <w:spacing w:after="40"/>
      </w:pPr>
      <w:r>
        <w:t>Asset inventory and list of critical business applications and data stores.</w:t>
      </w:r>
    </w:p>
    <w:p>
      <w:pPr>
        <w:pStyle w:val="ListBullet"/>
        <w:spacing w:after="40"/>
      </w:pPr>
      <w:r>
        <w:t>User and privileged account lists, MFA coverage, access approvals, and recent leaver records.</w:t>
      </w:r>
    </w:p>
    <w:p>
      <w:pPr>
        <w:pStyle w:val="ListBullet"/>
        <w:spacing w:after="40"/>
      </w:pPr>
      <w:r>
        <w:t>Patch compliance, endpoint protection, encryption, and secure configuration reports.</w:t>
      </w:r>
    </w:p>
    <w:p>
      <w:pPr>
        <w:pStyle w:val="ListBullet"/>
        <w:spacing w:after="40"/>
      </w:pPr>
      <w:r>
        <w:t>Network diagram, firewall review records, remote access settings, and approved exceptions.</w:t>
      </w:r>
    </w:p>
    <w:p>
      <w:pPr>
        <w:pStyle w:val="ListBullet"/>
        <w:spacing w:after="40"/>
      </w:pPr>
      <w:r>
        <w:t>Cloud/application role exports, external sharing settings, audit-log coverage, and change tickets.</w:t>
      </w:r>
    </w:p>
    <w:p>
      <w:pPr>
        <w:pStyle w:val="ListBullet"/>
        <w:spacing w:after="40"/>
      </w:pPr>
      <w:r>
        <w:t>Data classification, retention, encryption, and secure disposal procedures.</w:t>
      </w:r>
    </w:p>
    <w:p>
      <w:pPr>
        <w:pStyle w:val="ListBullet"/>
        <w:spacing w:after="40"/>
      </w:pPr>
      <w:r>
        <w:t>Backup coverage, failure reports, restore-test results, and recovery objectives.</w:t>
      </w:r>
    </w:p>
    <w:p>
      <w:pPr>
        <w:pStyle w:val="ListBullet"/>
        <w:spacing w:after="40"/>
      </w:pPr>
      <w:r>
        <w:t>Logging and monitoring sources, alert samples, escalation records, and retention settings.</w:t>
      </w:r>
    </w:p>
    <w:p>
      <w:pPr>
        <w:pStyle w:val="ListBullet"/>
        <w:spacing w:after="40"/>
      </w:pPr>
      <w:r>
        <w:t>Incident response plan, exercise records, continuity plans, and lessons learned.</w:t>
      </w:r>
    </w:p>
    <w:p>
      <w:pPr>
        <w:pStyle w:val="ListBullet"/>
        <w:spacing w:after="40"/>
      </w:pPr>
      <w:r>
        <w:t>Vendor register, security assessments, contract clauses, and third-party access reviews.</w:t>
      </w:r>
    </w:p>
    <w:p>
      <w:pPr>
        <w:pStyle w:val="ListBullet"/>
        <w:spacing w:after="40"/>
      </w:pPr>
      <w:r>
        <w:t>Awareness training completion and physical access/visitor procedures where applicable.</w:t>
      </w:r>
    </w:p>
    <w:p>
      <w:pPr>
        <w:pStyle w:val="Heading1"/>
      </w:pPr>
      <w:r>
        <w:t>Appendix B: Finding Template</w:t>
      </w:r>
    </w:p>
    <w:tbl>
      <w:tblPr>
        <w:tblStyle w:val="TableGrid"/>
        <w:tblW w:type="auto" w:w="0"/>
        <w:jc w:val="center"/>
        <w:tblLook w:firstColumn="1" w:firstRow="1" w:lastColumn="0" w:lastRow="0" w:noHBand="0" w:noVBand="1" w:val="04A0"/>
      </w:tblPr>
      <w:tblGrid>
        <w:gridCol w:w="4968"/>
        <w:gridCol w:w="4968"/>
      </w:tblGrid>
      <w:tr>
        <w:tc>
          <w:tcPr>
            <w:tcW w:type="dxa" w:w="2880"/>
            <w:vAlign w:val="center"/>
            <w:shd w:fill="D9EAF7"/>
          </w:tcPr>
          <w:p>
            <w:pPr>
              <w:spacing w:after="0"/>
            </w:pPr>
            <w:r/>
            <w:r>
              <w:rPr>
                <w:rFonts w:ascii="Arial" w:hAnsi="Arial"/>
                <w:b/>
                <w:sz w:val="18"/>
              </w:rPr>
              <w:t>Field</w:t>
            </w:r>
          </w:p>
        </w:tc>
        <w:tc>
          <w:tcPr>
            <w:tcW w:type="dxa" w:w="6912"/>
            <w:vAlign w:val="center"/>
            <w:shd w:fill="D9EAF7"/>
          </w:tcPr>
          <w:p>
            <w:pPr>
              <w:spacing w:after="0"/>
            </w:pPr>
            <w:r/>
            <w:r>
              <w:rPr>
                <w:rFonts w:ascii="Arial" w:hAnsi="Arial"/>
                <w:b/>
                <w:sz w:val="18"/>
              </w:rPr>
              <w:t>What to record</w:t>
            </w:r>
          </w:p>
        </w:tc>
      </w:tr>
      <w:tr>
        <w:tc>
          <w:tcPr>
            <w:tcW w:type="dxa" w:w="2880"/>
            <w:vAlign w:val="center"/>
          </w:tcPr>
          <w:p>
            <w:pPr>
              <w:spacing w:after="0"/>
            </w:pPr>
            <w:r/>
            <w:r>
              <w:rPr>
                <w:rFonts w:ascii="Arial" w:hAnsi="Arial"/>
                <w:b w:val="0"/>
                <w:sz w:val="17"/>
              </w:rPr>
              <w:t>Finding ID and title</w:t>
            </w:r>
          </w:p>
        </w:tc>
        <w:tc>
          <w:tcPr>
            <w:tcW w:type="dxa" w:w="6912"/>
            <w:vAlign w:val="center"/>
          </w:tcPr>
          <w:p>
            <w:pPr>
              <w:spacing w:after="0"/>
            </w:pPr>
            <w:r/>
            <w:r>
              <w:rPr>
                <w:rFonts w:ascii="Arial" w:hAnsi="Arial"/>
                <w:b w:val="0"/>
                <w:sz w:val="17"/>
              </w:rPr>
              <w:t>Unique identifier and concise description.</w:t>
            </w:r>
          </w:p>
        </w:tc>
      </w:tr>
      <w:tr>
        <w:tc>
          <w:tcPr>
            <w:tcW w:type="dxa" w:w="2880"/>
            <w:vAlign w:val="center"/>
          </w:tcPr>
          <w:p>
            <w:pPr>
              <w:spacing w:after="0"/>
            </w:pPr>
            <w:r/>
            <w:r>
              <w:rPr>
                <w:rFonts w:ascii="Arial" w:hAnsi="Arial"/>
                <w:b w:val="0"/>
                <w:sz w:val="17"/>
              </w:rPr>
              <w:t>Control area</w:t>
            </w:r>
          </w:p>
        </w:tc>
        <w:tc>
          <w:tcPr>
            <w:tcW w:type="dxa" w:w="6912"/>
            <w:vAlign w:val="center"/>
          </w:tcPr>
          <w:p>
            <w:pPr>
              <w:spacing w:after="0"/>
            </w:pPr>
            <w:r/>
            <w:r>
              <w:rPr>
                <w:rFonts w:ascii="Arial" w:hAnsi="Arial"/>
                <w:b w:val="0"/>
                <w:sz w:val="17"/>
              </w:rPr>
              <w:t>Relevant system, process, policy, or audit domain.</w:t>
            </w:r>
          </w:p>
        </w:tc>
      </w:tr>
      <w:tr>
        <w:tc>
          <w:tcPr>
            <w:tcW w:type="dxa" w:w="2880"/>
            <w:vAlign w:val="center"/>
          </w:tcPr>
          <w:p>
            <w:pPr>
              <w:spacing w:after="0"/>
            </w:pPr>
            <w:r/>
            <w:r>
              <w:rPr>
                <w:rFonts w:ascii="Arial" w:hAnsi="Arial"/>
                <w:b w:val="0"/>
                <w:sz w:val="17"/>
              </w:rPr>
              <w:t>Condition and evidence</w:t>
            </w:r>
          </w:p>
        </w:tc>
        <w:tc>
          <w:tcPr>
            <w:tcW w:type="dxa" w:w="6912"/>
            <w:vAlign w:val="center"/>
          </w:tcPr>
          <w:p>
            <w:pPr>
              <w:spacing w:after="0"/>
            </w:pPr>
            <w:r/>
            <w:r>
              <w:rPr>
                <w:rFonts w:ascii="Arial" w:hAnsi="Arial"/>
                <w:b w:val="0"/>
                <w:sz w:val="17"/>
              </w:rPr>
              <w:t>What was observed and the evidence reference; avoid unsupported assumptions.</w:t>
            </w:r>
          </w:p>
        </w:tc>
      </w:tr>
      <w:tr>
        <w:tc>
          <w:tcPr>
            <w:tcW w:type="dxa" w:w="2880"/>
            <w:vAlign w:val="center"/>
          </w:tcPr>
          <w:p>
            <w:pPr>
              <w:spacing w:after="0"/>
            </w:pPr>
            <w:r/>
            <w:r>
              <w:rPr>
                <w:rFonts w:ascii="Arial" w:hAnsi="Arial"/>
                <w:b w:val="0"/>
                <w:sz w:val="17"/>
              </w:rPr>
              <w:t>Expected control / criteria</w:t>
            </w:r>
          </w:p>
        </w:tc>
        <w:tc>
          <w:tcPr>
            <w:tcW w:type="dxa" w:w="6912"/>
            <w:vAlign w:val="center"/>
          </w:tcPr>
          <w:p>
            <w:pPr>
              <w:spacing w:after="0"/>
            </w:pPr>
            <w:r/>
            <w:r>
              <w:rPr>
                <w:rFonts w:ascii="Arial" w:hAnsi="Arial"/>
                <w:b w:val="0"/>
                <w:sz w:val="17"/>
              </w:rPr>
              <w:t>The approved policy or selected control expectation.</w:t>
            </w:r>
          </w:p>
        </w:tc>
      </w:tr>
      <w:tr>
        <w:tc>
          <w:tcPr>
            <w:tcW w:type="dxa" w:w="2880"/>
            <w:vAlign w:val="center"/>
          </w:tcPr>
          <w:p>
            <w:pPr>
              <w:spacing w:after="0"/>
            </w:pPr>
            <w:r/>
            <w:r>
              <w:rPr>
                <w:rFonts w:ascii="Arial" w:hAnsi="Arial"/>
                <w:b w:val="0"/>
                <w:sz w:val="17"/>
              </w:rPr>
              <w:t>Risk and impact</w:t>
            </w:r>
          </w:p>
        </w:tc>
        <w:tc>
          <w:tcPr>
            <w:tcW w:type="dxa" w:w="6912"/>
            <w:vAlign w:val="center"/>
          </w:tcPr>
          <w:p>
            <w:pPr>
              <w:spacing w:after="0"/>
            </w:pPr>
            <w:r/>
            <w:r>
              <w:rPr>
                <w:rFonts w:ascii="Arial" w:hAnsi="Arial"/>
                <w:b w:val="0"/>
                <w:sz w:val="17"/>
              </w:rPr>
              <w:t>Likelihood, impact, affected assets, and business consequence.</w:t>
            </w:r>
          </w:p>
        </w:tc>
      </w:tr>
      <w:tr>
        <w:tc>
          <w:tcPr>
            <w:tcW w:type="dxa" w:w="2880"/>
            <w:vAlign w:val="center"/>
          </w:tcPr>
          <w:p>
            <w:pPr>
              <w:spacing w:after="0"/>
            </w:pPr>
            <w:r/>
            <w:r>
              <w:rPr>
                <w:rFonts w:ascii="Arial" w:hAnsi="Arial"/>
                <w:b w:val="0"/>
                <w:sz w:val="17"/>
              </w:rPr>
              <w:t>Rating</w:t>
            </w:r>
          </w:p>
        </w:tc>
        <w:tc>
          <w:tcPr>
            <w:tcW w:type="dxa" w:w="6912"/>
            <w:vAlign w:val="center"/>
          </w:tcPr>
          <w:p>
            <w:pPr>
              <w:spacing w:after="0"/>
            </w:pPr>
            <w:r/>
            <w:r>
              <w:rPr>
                <w:rFonts w:ascii="Arial" w:hAnsi="Arial"/>
                <w:b w:val="0"/>
                <w:sz w:val="17"/>
              </w:rPr>
              <w:t>Critical, High, Medium, Low, or Observation, with rationale.</w:t>
            </w:r>
          </w:p>
        </w:tc>
      </w:tr>
      <w:tr>
        <w:tc>
          <w:tcPr>
            <w:tcW w:type="dxa" w:w="2880"/>
            <w:vAlign w:val="center"/>
          </w:tcPr>
          <w:p>
            <w:pPr>
              <w:spacing w:after="0"/>
            </w:pPr>
            <w:r/>
            <w:r>
              <w:rPr>
                <w:rFonts w:ascii="Arial" w:hAnsi="Arial"/>
                <w:b w:val="0"/>
                <w:sz w:val="17"/>
              </w:rPr>
              <w:t>Recommendation</w:t>
            </w:r>
          </w:p>
        </w:tc>
        <w:tc>
          <w:tcPr>
            <w:tcW w:type="dxa" w:w="6912"/>
            <w:vAlign w:val="center"/>
          </w:tcPr>
          <w:p>
            <w:pPr>
              <w:spacing w:after="0"/>
            </w:pPr>
            <w:r/>
            <w:r>
              <w:rPr>
                <w:rFonts w:ascii="Arial" w:hAnsi="Arial"/>
                <w:b w:val="0"/>
                <w:sz w:val="17"/>
              </w:rPr>
              <w:t>Specific, practical corrective action.</w:t>
            </w:r>
          </w:p>
        </w:tc>
      </w:tr>
      <w:tr>
        <w:tc>
          <w:tcPr>
            <w:tcW w:type="dxa" w:w="2880"/>
            <w:vAlign w:val="center"/>
          </w:tcPr>
          <w:p>
            <w:pPr>
              <w:spacing w:after="0"/>
            </w:pPr>
            <w:r/>
            <w:r>
              <w:rPr>
                <w:rFonts w:ascii="Arial" w:hAnsi="Arial"/>
                <w:b w:val="0"/>
                <w:sz w:val="17"/>
              </w:rPr>
              <w:t>Owner and due date</w:t>
            </w:r>
          </w:p>
        </w:tc>
        <w:tc>
          <w:tcPr>
            <w:tcW w:type="dxa" w:w="6912"/>
            <w:vAlign w:val="center"/>
          </w:tcPr>
          <w:p>
            <w:pPr>
              <w:spacing w:after="0"/>
            </w:pPr>
            <w:r/>
            <w:r>
              <w:rPr>
                <w:rFonts w:ascii="Arial" w:hAnsi="Arial"/>
                <w:b w:val="0"/>
                <w:sz w:val="17"/>
              </w:rPr>
              <w:t>Named responsible role and agreed target date.</w:t>
            </w:r>
          </w:p>
        </w:tc>
      </w:tr>
      <w:tr>
        <w:tc>
          <w:tcPr>
            <w:tcW w:type="dxa" w:w="2880"/>
            <w:vAlign w:val="center"/>
          </w:tcPr>
          <w:p>
            <w:pPr>
              <w:spacing w:after="0"/>
            </w:pPr>
            <w:r/>
            <w:r>
              <w:rPr>
                <w:rFonts w:ascii="Arial" w:hAnsi="Arial"/>
                <w:b w:val="0"/>
                <w:sz w:val="17"/>
              </w:rPr>
              <w:t>Management response</w:t>
            </w:r>
          </w:p>
        </w:tc>
        <w:tc>
          <w:tcPr>
            <w:tcW w:type="dxa" w:w="6912"/>
            <w:vAlign w:val="center"/>
          </w:tcPr>
          <w:p>
            <w:pPr>
              <w:spacing w:after="0"/>
            </w:pPr>
            <w:r/>
            <w:r>
              <w:rPr>
                <w:rFonts w:ascii="Arial" w:hAnsi="Arial"/>
                <w:b w:val="0"/>
                <w:sz w:val="17"/>
              </w:rPr>
              <w:t>Agreement, alternative action, dependencies, or documented disagreement.</w:t>
            </w:r>
          </w:p>
        </w:tc>
      </w:tr>
      <w:tr>
        <w:tc>
          <w:tcPr>
            <w:tcW w:type="dxa" w:w="2880"/>
            <w:vAlign w:val="center"/>
          </w:tcPr>
          <w:p>
            <w:pPr>
              <w:spacing w:after="0"/>
            </w:pPr>
            <w:r/>
            <w:r>
              <w:rPr>
                <w:rFonts w:ascii="Arial" w:hAnsi="Arial"/>
                <w:b w:val="0"/>
                <w:sz w:val="17"/>
              </w:rPr>
              <w:t>Retest and closure</w:t>
            </w:r>
          </w:p>
        </w:tc>
        <w:tc>
          <w:tcPr>
            <w:tcW w:type="dxa" w:w="6912"/>
            <w:vAlign w:val="center"/>
          </w:tcPr>
          <w:p>
            <w:pPr>
              <w:spacing w:after="0"/>
            </w:pPr>
            <w:r/>
            <w:r>
              <w:rPr>
                <w:rFonts w:ascii="Arial" w:hAnsi="Arial"/>
                <w:b w:val="0"/>
                <w:sz w:val="17"/>
              </w:rPr>
              <w:t>Validation method, evidence of completion, result, and closure approver.</w:t>
            </w:r>
          </w:p>
        </w:tc>
      </w:tr>
    </w:tbl>
    <w:p/>
    <w:p>
      <w:pPr>
        <w:pStyle w:val="Heading1"/>
      </w:pPr>
      <w:r>
        <w:t>Conclusion</w:t>
      </w:r>
    </w:p>
    <w:p>
      <w:r>
        <w:t>This cybersecurity audit plan provides Northstar Services with a structured way to assess its security controls, identify and prioritize weaknesses, and improve accountability for remediation. Its risk-based scope, defined audit procedures, four-week schedule, clear responsibilities, and follow-up process make the plan practical for a small organization while allowing it to be adapted as the environment grows. The plan should be reviewed annually and updated when business operations, technology, threats, or regulatory obligations change. Because Northstar Services is fictional, the plan is illustrative and must be tailored and approved before use in a real environment.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Week 6 Task – Cybersecurity Audit Plan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